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r>
        <w:rPr>
          <w:rFonts w:hint="eastAsia"/>
          <w:b/>
          <w:color w:val="auto"/>
          <w:sz w:val="44"/>
          <w:szCs w:val="44"/>
        </w:rPr>
        <w:t>五华河东绿色生态工业小镇油新水质净化厂一期工程建设项目环境影响报告书</w:t>
      </w:r>
    </w:p>
    <w:p>
      <w:pPr>
        <w:jc w:val="center"/>
        <w:rPr>
          <w:b/>
          <w:color w:val="auto"/>
          <w:sz w:val="44"/>
          <w:szCs w:val="44"/>
        </w:rPr>
      </w:pPr>
      <w:r>
        <w:rPr>
          <w:rFonts w:hint="eastAsia"/>
          <w:b/>
          <w:color w:val="auto"/>
          <w:sz w:val="44"/>
          <w:szCs w:val="44"/>
        </w:rPr>
        <w:t>（报批稿）</w:t>
      </w: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32"/>
          <w:szCs w:val="32"/>
        </w:rPr>
      </w:pPr>
      <w:r>
        <w:rPr>
          <w:rFonts w:hint="eastAsia"/>
          <w:b/>
          <w:color w:val="auto"/>
          <w:sz w:val="32"/>
          <w:szCs w:val="32"/>
        </w:rPr>
        <w:t>建设单位：广东五华经济开发区管理委员会</w:t>
      </w:r>
    </w:p>
    <w:p>
      <w:pPr>
        <w:jc w:val="center"/>
        <w:rPr>
          <w:b/>
          <w:color w:val="auto"/>
          <w:sz w:val="32"/>
          <w:szCs w:val="32"/>
        </w:rPr>
      </w:pPr>
      <w:r>
        <w:rPr>
          <w:rFonts w:hint="eastAsia"/>
          <w:b/>
          <w:color w:val="auto"/>
          <w:sz w:val="32"/>
          <w:szCs w:val="32"/>
        </w:rPr>
        <w:t>评价单位：广东志华环保科技有限公司</w:t>
      </w:r>
    </w:p>
    <w:p>
      <w:pPr>
        <w:jc w:val="center"/>
        <w:rPr>
          <w:b/>
          <w:color w:val="auto"/>
          <w:sz w:val="32"/>
          <w:szCs w:val="32"/>
        </w:rPr>
      </w:pPr>
      <w:r>
        <w:rPr>
          <w:rFonts w:hint="eastAsia"/>
          <w:b/>
          <w:color w:val="auto"/>
          <w:sz w:val="32"/>
          <w:szCs w:val="32"/>
        </w:rPr>
        <w:t>编制日期：2021年03月</w:t>
      </w:r>
    </w:p>
    <w:p>
      <w:pPr>
        <w:jc w:val="center"/>
        <w:rPr>
          <w:b/>
          <w:color w:val="auto"/>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p>
      <w:pPr>
        <w:jc w:val="center"/>
        <w:rPr>
          <w:b/>
          <w:color w:val="auto"/>
          <w:sz w:val="32"/>
          <w:szCs w:val="32"/>
        </w:rPr>
        <w:sectPr>
          <w:pgSz w:w="11906" w:h="16838"/>
          <w:pgMar w:top="1440" w:right="1800" w:bottom="1440" w:left="1800" w:header="851" w:footer="992" w:gutter="0"/>
          <w:cols w:space="425" w:num="1"/>
          <w:docGrid w:type="lines" w:linePitch="312" w:charSpace="0"/>
        </w:sectPr>
      </w:pPr>
    </w:p>
    <w:p>
      <w:pPr>
        <w:jc w:val="center"/>
        <w:rPr>
          <w:b/>
          <w:color w:val="auto"/>
          <w:sz w:val="32"/>
          <w:szCs w:val="32"/>
        </w:rPr>
      </w:pPr>
      <w:r>
        <w:rPr>
          <w:rFonts w:hint="eastAsia"/>
          <w:b/>
          <w:color w:val="auto"/>
          <w:sz w:val="32"/>
          <w:szCs w:val="32"/>
        </w:rPr>
        <w:t>目录</w:t>
      </w:r>
    </w:p>
    <w:p>
      <w:pPr>
        <w:pStyle w:val="18"/>
        <w:tabs>
          <w:tab w:val="right" w:leader="dot" w:pos="8306"/>
        </w:tabs>
        <w:adjustRightInd w:val="0"/>
        <w:snapToGrid w:val="0"/>
        <w:spacing w:line="360" w:lineRule="auto"/>
        <w:rPr>
          <w:color w:val="auto"/>
          <w:sz w:val="24"/>
          <w:szCs w:val="24"/>
        </w:rPr>
      </w:pPr>
      <w:r>
        <w:rPr>
          <w:b/>
          <w:color w:val="auto"/>
          <w:sz w:val="24"/>
          <w:szCs w:val="24"/>
        </w:rPr>
        <w:fldChar w:fldCharType="begin"/>
      </w:r>
      <w:r>
        <w:rPr>
          <w:b/>
          <w:color w:val="auto"/>
          <w:sz w:val="24"/>
          <w:szCs w:val="24"/>
        </w:rPr>
        <w:instrText xml:space="preserve"> TOC \o "1-2" \h \z \u </w:instrText>
      </w:r>
      <w:r>
        <w:rPr>
          <w:b/>
          <w:color w:val="auto"/>
          <w:sz w:val="24"/>
          <w:szCs w:val="24"/>
        </w:rPr>
        <w:fldChar w:fldCharType="separate"/>
      </w:r>
      <w:r>
        <w:rPr>
          <w:color w:val="auto"/>
        </w:rPr>
        <w:fldChar w:fldCharType="begin"/>
      </w:r>
      <w:r>
        <w:rPr>
          <w:color w:val="auto"/>
        </w:rPr>
        <w:instrText xml:space="preserve"> HYPERLINK \l "_Toc24066" </w:instrText>
      </w:r>
      <w:r>
        <w:rPr>
          <w:color w:val="auto"/>
        </w:rPr>
        <w:fldChar w:fldCharType="separate"/>
      </w:r>
      <w:r>
        <w:rPr>
          <w:rFonts w:hint="eastAsia"/>
          <w:color w:val="auto"/>
          <w:sz w:val="24"/>
          <w:szCs w:val="24"/>
        </w:rPr>
        <w:t>1概述</w:t>
      </w:r>
      <w:r>
        <w:rPr>
          <w:color w:val="auto"/>
          <w:sz w:val="24"/>
          <w:szCs w:val="24"/>
        </w:rPr>
        <w:tab/>
      </w:r>
      <w:r>
        <w:rPr>
          <w:color w:val="auto"/>
          <w:sz w:val="24"/>
          <w:szCs w:val="24"/>
        </w:rPr>
        <w:fldChar w:fldCharType="begin"/>
      </w:r>
      <w:r>
        <w:rPr>
          <w:color w:val="auto"/>
          <w:sz w:val="24"/>
          <w:szCs w:val="24"/>
        </w:rPr>
        <w:instrText xml:space="preserve"> PAGEREF _Toc24066 \h </w:instrText>
      </w:r>
      <w:r>
        <w:rPr>
          <w:color w:val="auto"/>
          <w:sz w:val="24"/>
          <w:szCs w:val="24"/>
        </w:rPr>
        <w:fldChar w:fldCharType="separate"/>
      </w:r>
      <w:r>
        <w:rPr>
          <w:color w:val="auto"/>
          <w:sz w:val="24"/>
          <w:szCs w:val="24"/>
        </w:rPr>
        <w:t>6</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"_Toc22151" </w:instrText>
      </w:r>
      <w:r>
        <w:rPr>
          <w:color w:val="auto"/>
        </w:rPr>
        <w:fldChar w:fldCharType="separate"/>
      </w:r>
      <w:r>
        <w:rPr>
          <w:rFonts w:hint="eastAsia"/>
          <w:color w:val="auto"/>
          <w:sz w:val="24"/>
          <w:szCs w:val="24"/>
        </w:rPr>
        <w:t>1.1项目由来</w:t>
      </w:r>
      <w:r>
        <w:rPr>
          <w:color w:val="auto"/>
          <w:sz w:val="24"/>
          <w:szCs w:val="24"/>
        </w:rPr>
        <w:tab/>
      </w:r>
      <w:r>
        <w:rPr>
          <w:color w:val="auto"/>
          <w:sz w:val="24"/>
          <w:szCs w:val="24"/>
        </w:rPr>
        <w:fldChar w:fldCharType="begin"/>
      </w:r>
      <w:r>
        <w:rPr>
          <w:color w:val="auto"/>
          <w:sz w:val="24"/>
          <w:szCs w:val="24"/>
        </w:rPr>
        <w:instrText xml:space="preserve"> PAGEREF _Toc22151 \h </w:instrText>
      </w:r>
      <w:r>
        <w:rPr>
          <w:color w:val="auto"/>
          <w:sz w:val="24"/>
          <w:szCs w:val="24"/>
        </w:rPr>
        <w:fldChar w:fldCharType="separate"/>
      </w:r>
      <w:r>
        <w:rPr>
          <w:color w:val="auto"/>
          <w:sz w:val="24"/>
          <w:szCs w:val="24"/>
        </w:rPr>
        <w:t>6</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"_Toc27111" </w:instrText>
      </w:r>
      <w:r>
        <w:rPr>
          <w:color w:val="auto"/>
        </w:rPr>
        <w:fldChar w:fldCharType="separate"/>
      </w:r>
      <w:r>
        <w:rPr>
          <w:rFonts w:hint="eastAsia"/>
          <w:color w:val="auto"/>
          <w:sz w:val="24"/>
          <w:szCs w:val="24"/>
        </w:rPr>
        <w:t>1.2建设项目的特点</w:t>
      </w:r>
      <w:r>
        <w:rPr>
          <w:color w:val="auto"/>
          <w:sz w:val="24"/>
          <w:szCs w:val="24"/>
        </w:rPr>
        <w:tab/>
      </w:r>
      <w:r>
        <w:rPr>
          <w:color w:val="auto"/>
          <w:sz w:val="24"/>
          <w:szCs w:val="24"/>
        </w:rPr>
        <w:fldChar w:fldCharType="begin"/>
      </w:r>
      <w:r>
        <w:rPr>
          <w:color w:val="auto"/>
          <w:sz w:val="24"/>
          <w:szCs w:val="24"/>
        </w:rPr>
        <w:instrText xml:space="preserve"> PAGEREF _Toc27111 \h </w:instrText>
      </w:r>
      <w:r>
        <w:rPr>
          <w:color w:val="auto"/>
          <w:sz w:val="24"/>
          <w:szCs w:val="24"/>
        </w:rPr>
        <w:fldChar w:fldCharType="separate"/>
      </w:r>
      <w:r>
        <w:rPr>
          <w:color w:val="auto"/>
          <w:sz w:val="24"/>
          <w:szCs w:val="24"/>
        </w:rPr>
        <w:t>7</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"_Toc8877" </w:instrText>
      </w:r>
      <w:r>
        <w:rPr>
          <w:color w:val="auto"/>
        </w:rPr>
        <w:fldChar w:fldCharType="separate"/>
      </w:r>
      <w:r>
        <w:rPr>
          <w:rFonts w:hint="eastAsia"/>
          <w:color w:val="auto"/>
          <w:sz w:val="24"/>
          <w:szCs w:val="24"/>
        </w:rPr>
        <w:t>1.3环境影响评价的工作过程</w:t>
      </w:r>
      <w:r>
        <w:rPr>
          <w:color w:val="auto"/>
          <w:sz w:val="24"/>
          <w:szCs w:val="24"/>
        </w:rPr>
        <w:tab/>
      </w:r>
      <w:r>
        <w:rPr>
          <w:color w:val="auto"/>
          <w:sz w:val="24"/>
          <w:szCs w:val="24"/>
        </w:rPr>
        <w:fldChar w:fldCharType="begin"/>
      </w:r>
      <w:r>
        <w:rPr>
          <w:color w:val="auto"/>
          <w:sz w:val="24"/>
          <w:szCs w:val="24"/>
        </w:rPr>
        <w:instrText xml:space="preserve"> PAGEREF _Toc8877 \h </w:instrText>
      </w:r>
      <w:r>
        <w:rPr>
          <w:color w:val="auto"/>
          <w:sz w:val="24"/>
          <w:szCs w:val="24"/>
        </w:rPr>
        <w:fldChar w:fldCharType="separate"/>
      </w:r>
      <w:r>
        <w:rPr>
          <w:color w:val="auto"/>
          <w:sz w:val="24"/>
          <w:szCs w:val="24"/>
        </w:rPr>
        <w:t>7</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"_Toc8861" </w:instrText>
      </w:r>
      <w:r>
        <w:rPr>
          <w:color w:val="auto"/>
        </w:rPr>
        <w:fldChar w:fldCharType="separate"/>
      </w:r>
      <w:r>
        <w:rPr>
          <w:rFonts w:hint="eastAsia"/>
          <w:color w:val="auto"/>
          <w:sz w:val="24"/>
          <w:szCs w:val="24"/>
        </w:rPr>
        <w:t>1.4关注的主要环境问题及环境影响</w:t>
      </w:r>
      <w:r>
        <w:rPr>
          <w:color w:val="auto"/>
          <w:sz w:val="24"/>
          <w:szCs w:val="24"/>
        </w:rPr>
        <w:tab/>
      </w:r>
      <w:r>
        <w:rPr>
          <w:color w:val="auto"/>
          <w:sz w:val="24"/>
          <w:szCs w:val="24"/>
        </w:rPr>
        <w:fldChar w:fldCharType="begin"/>
      </w:r>
      <w:r>
        <w:rPr>
          <w:color w:val="auto"/>
          <w:sz w:val="24"/>
          <w:szCs w:val="24"/>
        </w:rPr>
        <w:instrText xml:space="preserve"> PAGEREF _Toc8861 \h </w:instrText>
      </w:r>
      <w:r>
        <w:rPr>
          <w:color w:val="auto"/>
          <w:sz w:val="24"/>
          <w:szCs w:val="24"/>
        </w:rPr>
        <w:fldChar w:fldCharType="separate"/>
      </w:r>
      <w:r>
        <w:rPr>
          <w:color w:val="auto"/>
          <w:sz w:val="24"/>
          <w:szCs w:val="24"/>
        </w:rPr>
        <w:t>9</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"_Toc23346" </w:instrText>
      </w:r>
      <w:r>
        <w:rPr>
          <w:color w:val="auto"/>
        </w:rPr>
        <w:fldChar w:fldCharType="separate"/>
      </w:r>
      <w:r>
        <w:rPr>
          <w:rFonts w:hint="eastAsia"/>
          <w:color w:val="auto"/>
          <w:sz w:val="24"/>
          <w:szCs w:val="24"/>
        </w:rPr>
        <w:t>1.5分析判定相关情况</w:t>
      </w:r>
      <w:r>
        <w:rPr>
          <w:color w:val="auto"/>
          <w:sz w:val="24"/>
          <w:szCs w:val="24"/>
        </w:rPr>
        <w:tab/>
      </w:r>
      <w:r>
        <w:rPr>
          <w:color w:val="auto"/>
          <w:sz w:val="24"/>
          <w:szCs w:val="24"/>
        </w:rPr>
        <w:fldChar w:fldCharType="begin"/>
      </w:r>
      <w:r>
        <w:rPr>
          <w:color w:val="auto"/>
          <w:sz w:val="24"/>
          <w:szCs w:val="24"/>
        </w:rPr>
        <w:instrText xml:space="preserve"> PAGEREF _Toc23346 \h </w:instrText>
      </w:r>
      <w:r>
        <w:rPr>
          <w:color w:val="auto"/>
          <w:sz w:val="24"/>
          <w:szCs w:val="24"/>
        </w:rPr>
        <w:fldChar w:fldCharType="separate"/>
      </w:r>
      <w:r>
        <w:rPr>
          <w:color w:val="auto"/>
          <w:sz w:val="24"/>
          <w:szCs w:val="24"/>
        </w:rPr>
        <w:t>9</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"_Toc8888" </w:instrText>
      </w:r>
      <w:r>
        <w:rPr>
          <w:color w:val="auto"/>
        </w:rPr>
        <w:fldChar w:fldCharType="separate"/>
      </w:r>
      <w:r>
        <w:rPr>
          <w:rFonts w:hint="eastAsia"/>
          <w:color w:val="auto"/>
          <w:sz w:val="24"/>
          <w:szCs w:val="24"/>
        </w:rPr>
        <w:t>1.6环境影响评价的主要结论</w:t>
      </w:r>
      <w:r>
        <w:rPr>
          <w:color w:val="auto"/>
          <w:sz w:val="24"/>
          <w:szCs w:val="24"/>
        </w:rPr>
        <w:tab/>
      </w:r>
      <w:r>
        <w:rPr>
          <w:color w:val="auto"/>
          <w:sz w:val="24"/>
          <w:szCs w:val="24"/>
        </w:rPr>
        <w:fldChar w:fldCharType="begin"/>
      </w:r>
      <w:r>
        <w:rPr>
          <w:color w:val="auto"/>
          <w:sz w:val="24"/>
          <w:szCs w:val="24"/>
        </w:rPr>
        <w:instrText xml:space="preserve"> PAGEREF _Toc8888 \h </w:instrText>
      </w:r>
      <w:r>
        <w:rPr>
          <w:color w:val="auto"/>
          <w:sz w:val="24"/>
          <w:szCs w:val="24"/>
        </w:rPr>
        <w:fldChar w:fldCharType="separate"/>
      </w:r>
      <w:r>
        <w:rPr>
          <w:color w:val="auto"/>
          <w:sz w:val="24"/>
          <w:szCs w:val="24"/>
        </w:rPr>
        <w:t>21</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"_Toc26889" </w:instrText>
      </w:r>
      <w:r>
        <w:rPr>
          <w:color w:val="auto"/>
        </w:rPr>
        <w:fldChar w:fldCharType="separate"/>
      </w:r>
      <w:r>
        <w:rPr>
          <w:rFonts w:hint="eastAsia"/>
          <w:color w:val="auto"/>
          <w:sz w:val="24"/>
          <w:szCs w:val="24"/>
        </w:rPr>
        <w:t>2总则</w:t>
      </w:r>
      <w:r>
        <w:rPr>
          <w:color w:val="auto"/>
          <w:sz w:val="24"/>
          <w:szCs w:val="24"/>
        </w:rPr>
        <w:tab/>
      </w:r>
      <w:r>
        <w:rPr>
          <w:color w:val="auto"/>
          <w:sz w:val="24"/>
          <w:szCs w:val="24"/>
        </w:rPr>
        <w:fldChar w:fldCharType="begin"/>
      </w:r>
      <w:r>
        <w:rPr>
          <w:color w:val="auto"/>
          <w:sz w:val="24"/>
          <w:szCs w:val="24"/>
        </w:rPr>
        <w:instrText xml:space="preserve"> PAGEREF _Toc26889 \h </w:instrText>
      </w:r>
      <w:r>
        <w:rPr>
          <w:color w:val="auto"/>
          <w:sz w:val="24"/>
          <w:szCs w:val="24"/>
        </w:rPr>
        <w:fldChar w:fldCharType="separate"/>
      </w:r>
      <w:r>
        <w:rPr>
          <w:color w:val="auto"/>
          <w:sz w:val="24"/>
          <w:szCs w:val="24"/>
        </w:rPr>
        <w:t>22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"_Toc11614" </w:instrText>
      </w:r>
      <w:r>
        <w:rPr>
          <w:color w:val="auto"/>
        </w:rPr>
        <w:fldChar w:fldCharType="separate"/>
      </w:r>
      <w:r>
        <w:rPr>
          <w:rFonts w:hint="eastAsia"/>
          <w:color w:val="auto"/>
          <w:sz w:val="24"/>
          <w:szCs w:val="24"/>
        </w:rPr>
        <w:t>2.1编制依据</w:t>
      </w:r>
      <w:r>
        <w:rPr>
          <w:color w:val="auto"/>
          <w:sz w:val="24"/>
          <w:szCs w:val="24"/>
        </w:rPr>
        <w:tab/>
      </w:r>
      <w:r>
        <w:rPr>
          <w:color w:val="auto"/>
          <w:sz w:val="24"/>
          <w:szCs w:val="24"/>
        </w:rPr>
        <w:fldChar w:fldCharType="begin"/>
      </w:r>
      <w:r>
        <w:rPr>
          <w:color w:val="auto"/>
          <w:sz w:val="24"/>
          <w:szCs w:val="24"/>
        </w:rPr>
        <w:instrText xml:space="preserve"> PAGEREF _Toc11614 \h </w:instrText>
      </w:r>
      <w:r>
        <w:rPr>
          <w:color w:val="auto"/>
          <w:sz w:val="24"/>
          <w:szCs w:val="24"/>
        </w:rPr>
        <w:fldChar w:fldCharType="separate"/>
      </w:r>
      <w:r>
        <w:rPr>
          <w:color w:val="auto"/>
          <w:sz w:val="24"/>
          <w:szCs w:val="24"/>
        </w:rPr>
        <w:t>22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"_Toc4278" </w:instrText>
      </w:r>
      <w:r>
        <w:rPr>
          <w:color w:val="auto"/>
        </w:rPr>
        <w:fldChar w:fldCharType="separate"/>
      </w:r>
      <w:r>
        <w:rPr>
          <w:rFonts w:hint="eastAsia"/>
          <w:color w:val="auto"/>
          <w:sz w:val="24"/>
          <w:szCs w:val="24"/>
        </w:rPr>
        <w:t>2.2评价目的和原则</w:t>
      </w:r>
      <w:r>
        <w:rPr>
          <w:color w:val="auto"/>
          <w:sz w:val="24"/>
          <w:szCs w:val="24"/>
        </w:rPr>
        <w:tab/>
      </w:r>
      <w:r>
        <w:rPr>
          <w:color w:val="auto"/>
          <w:sz w:val="24"/>
          <w:szCs w:val="24"/>
        </w:rPr>
        <w:fldChar w:fldCharType="begin"/>
      </w:r>
      <w:r>
        <w:rPr>
          <w:color w:val="auto"/>
          <w:sz w:val="24"/>
          <w:szCs w:val="24"/>
        </w:rPr>
        <w:instrText xml:space="preserve"> PAGEREF _Toc4278 \h </w:instrText>
      </w:r>
      <w:r>
        <w:rPr>
          <w:color w:val="auto"/>
          <w:sz w:val="24"/>
          <w:szCs w:val="24"/>
        </w:rPr>
        <w:fldChar w:fldCharType="separate"/>
      </w:r>
      <w:r>
        <w:rPr>
          <w:color w:val="auto"/>
          <w:sz w:val="24"/>
          <w:szCs w:val="24"/>
        </w:rPr>
        <w:t>27</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"_Toc13077" </w:instrText>
      </w:r>
      <w:r>
        <w:rPr>
          <w:color w:val="auto"/>
        </w:rPr>
        <w:fldChar w:fldCharType="separate"/>
      </w:r>
      <w:r>
        <w:rPr>
          <w:rFonts w:hint="eastAsia"/>
          <w:color w:val="auto"/>
          <w:sz w:val="24"/>
          <w:szCs w:val="24"/>
        </w:rPr>
        <w:t>2.3评价内容和重点</w:t>
      </w:r>
      <w:r>
        <w:rPr>
          <w:color w:val="auto"/>
          <w:sz w:val="24"/>
          <w:szCs w:val="24"/>
        </w:rPr>
        <w:tab/>
      </w:r>
      <w:r>
        <w:rPr>
          <w:color w:val="auto"/>
          <w:sz w:val="24"/>
          <w:szCs w:val="24"/>
        </w:rPr>
        <w:fldChar w:fldCharType="begin"/>
      </w:r>
      <w:r>
        <w:rPr>
          <w:color w:val="auto"/>
          <w:sz w:val="24"/>
          <w:szCs w:val="24"/>
        </w:rPr>
        <w:instrText xml:space="preserve"> PAGEREF _Toc13077 \h </w:instrText>
      </w:r>
      <w:r>
        <w:rPr>
          <w:color w:val="auto"/>
          <w:sz w:val="24"/>
          <w:szCs w:val="24"/>
        </w:rPr>
        <w:fldChar w:fldCharType="separate"/>
      </w:r>
      <w:r>
        <w:rPr>
          <w:color w:val="auto"/>
          <w:sz w:val="24"/>
          <w:szCs w:val="24"/>
        </w:rPr>
        <w:t>28</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"_Toc3701" </w:instrText>
      </w:r>
      <w:r>
        <w:rPr>
          <w:color w:val="auto"/>
        </w:rPr>
        <w:fldChar w:fldCharType="separate"/>
      </w:r>
      <w:r>
        <w:rPr>
          <w:rFonts w:hint="eastAsia"/>
          <w:color w:val="auto"/>
          <w:sz w:val="24"/>
          <w:szCs w:val="24"/>
        </w:rPr>
        <w:t>2.4环境影响识别与评价因子筛选</w:t>
      </w:r>
      <w:r>
        <w:rPr>
          <w:color w:val="auto"/>
          <w:sz w:val="24"/>
          <w:szCs w:val="24"/>
        </w:rPr>
        <w:tab/>
      </w:r>
      <w:r>
        <w:rPr>
          <w:color w:val="auto"/>
          <w:sz w:val="24"/>
          <w:szCs w:val="24"/>
        </w:rPr>
        <w:fldChar w:fldCharType="begin"/>
      </w:r>
      <w:r>
        <w:rPr>
          <w:color w:val="auto"/>
          <w:sz w:val="24"/>
          <w:szCs w:val="24"/>
        </w:rPr>
        <w:instrText xml:space="preserve"> PAGEREF _Toc3701 \h </w:instrText>
      </w:r>
      <w:r>
        <w:rPr>
          <w:color w:val="auto"/>
          <w:sz w:val="24"/>
          <w:szCs w:val="24"/>
        </w:rPr>
        <w:fldChar w:fldCharType="separate"/>
      </w:r>
      <w:r>
        <w:rPr>
          <w:color w:val="auto"/>
          <w:sz w:val="24"/>
          <w:szCs w:val="24"/>
        </w:rPr>
        <w:t>29</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"_Toc32205" </w:instrText>
      </w:r>
      <w:r>
        <w:rPr>
          <w:color w:val="auto"/>
        </w:rPr>
        <w:fldChar w:fldCharType="separate"/>
      </w:r>
      <w:r>
        <w:rPr>
          <w:rFonts w:hint="eastAsia"/>
          <w:color w:val="auto"/>
          <w:sz w:val="24"/>
          <w:szCs w:val="24"/>
        </w:rPr>
        <w:t>2.5环境功能区划</w:t>
      </w:r>
      <w:r>
        <w:rPr>
          <w:color w:val="auto"/>
          <w:sz w:val="24"/>
          <w:szCs w:val="24"/>
        </w:rPr>
        <w:tab/>
      </w:r>
      <w:r>
        <w:rPr>
          <w:color w:val="auto"/>
          <w:sz w:val="24"/>
          <w:szCs w:val="24"/>
        </w:rPr>
        <w:fldChar w:fldCharType="begin"/>
      </w:r>
      <w:r>
        <w:rPr>
          <w:color w:val="auto"/>
          <w:sz w:val="24"/>
          <w:szCs w:val="24"/>
        </w:rPr>
        <w:instrText xml:space="preserve"> PAGEREF _Toc32205 \h </w:instrText>
      </w:r>
      <w:r>
        <w:rPr>
          <w:color w:val="auto"/>
          <w:sz w:val="24"/>
          <w:szCs w:val="24"/>
        </w:rPr>
        <w:fldChar w:fldCharType="separate"/>
      </w:r>
      <w:r>
        <w:rPr>
          <w:color w:val="auto"/>
          <w:sz w:val="24"/>
          <w:szCs w:val="24"/>
        </w:rPr>
        <w:t>31</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"_Toc4239" </w:instrText>
      </w:r>
      <w:r>
        <w:rPr>
          <w:color w:val="auto"/>
        </w:rPr>
        <w:fldChar w:fldCharType="separate"/>
      </w:r>
      <w:r>
        <w:rPr>
          <w:rFonts w:hint="eastAsia"/>
          <w:color w:val="auto"/>
          <w:sz w:val="24"/>
          <w:szCs w:val="24"/>
        </w:rPr>
        <w:t>2.6评价标准</w:t>
      </w:r>
      <w:r>
        <w:rPr>
          <w:color w:val="auto"/>
          <w:sz w:val="24"/>
          <w:szCs w:val="24"/>
        </w:rPr>
        <w:tab/>
      </w:r>
      <w:r>
        <w:rPr>
          <w:color w:val="auto"/>
          <w:sz w:val="24"/>
          <w:szCs w:val="24"/>
        </w:rPr>
        <w:fldChar w:fldCharType="begin"/>
      </w:r>
      <w:r>
        <w:rPr>
          <w:color w:val="auto"/>
          <w:sz w:val="24"/>
          <w:szCs w:val="24"/>
        </w:rPr>
        <w:instrText xml:space="preserve"> PAGEREF _Toc4239 \h </w:instrText>
      </w:r>
      <w:r>
        <w:rPr>
          <w:color w:val="auto"/>
          <w:sz w:val="24"/>
          <w:szCs w:val="24"/>
        </w:rPr>
        <w:fldChar w:fldCharType="separate"/>
      </w:r>
      <w:r>
        <w:rPr>
          <w:color w:val="auto"/>
          <w:sz w:val="24"/>
          <w:szCs w:val="24"/>
        </w:rPr>
        <w:t>39</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"_Toc18011" </w:instrText>
      </w:r>
      <w:r>
        <w:rPr>
          <w:color w:val="auto"/>
        </w:rPr>
        <w:fldChar w:fldCharType="separate"/>
      </w:r>
      <w:r>
        <w:rPr>
          <w:rFonts w:hint="eastAsia"/>
          <w:color w:val="auto"/>
          <w:sz w:val="24"/>
          <w:szCs w:val="24"/>
        </w:rPr>
        <w:t>2.7评价工作等级</w:t>
      </w:r>
      <w:r>
        <w:rPr>
          <w:color w:val="auto"/>
          <w:sz w:val="24"/>
          <w:szCs w:val="24"/>
        </w:rPr>
        <w:tab/>
      </w:r>
      <w:r>
        <w:rPr>
          <w:color w:val="auto"/>
          <w:sz w:val="24"/>
          <w:szCs w:val="24"/>
        </w:rPr>
        <w:fldChar w:fldCharType="begin"/>
      </w:r>
      <w:r>
        <w:rPr>
          <w:color w:val="auto"/>
          <w:sz w:val="24"/>
          <w:szCs w:val="24"/>
        </w:rPr>
        <w:instrText xml:space="preserve"> PAGEREF _Toc18011 \h </w:instrText>
      </w:r>
      <w:r>
        <w:rPr>
          <w:color w:val="auto"/>
          <w:sz w:val="24"/>
          <w:szCs w:val="24"/>
        </w:rPr>
        <w:fldChar w:fldCharType="separate"/>
      </w:r>
      <w:r>
        <w:rPr>
          <w:color w:val="auto"/>
          <w:sz w:val="24"/>
          <w:szCs w:val="24"/>
        </w:rPr>
        <w:t>45</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"_Toc26988" </w:instrText>
      </w:r>
      <w:r>
        <w:rPr>
          <w:color w:val="auto"/>
        </w:rPr>
        <w:fldChar w:fldCharType="separate"/>
      </w:r>
      <w:r>
        <w:rPr>
          <w:rFonts w:hint="eastAsia"/>
          <w:color w:val="auto"/>
          <w:sz w:val="24"/>
          <w:szCs w:val="24"/>
        </w:rPr>
        <w:t>2.8评价范围及评价时段</w:t>
      </w:r>
      <w:r>
        <w:rPr>
          <w:color w:val="auto"/>
          <w:sz w:val="24"/>
          <w:szCs w:val="24"/>
        </w:rPr>
        <w:tab/>
      </w:r>
      <w:r>
        <w:rPr>
          <w:color w:val="auto"/>
          <w:sz w:val="24"/>
          <w:szCs w:val="24"/>
        </w:rPr>
        <w:fldChar w:fldCharType="begin"/>
      </w:r>
      <w:r>
        <w:rPr>
          <w:color w:val="auto"/>
          <w:sz w:val="24"/>
          <w:szCs w:val="24"/>
        </w:rPr>
        <w:instrText xml:space="preserve"> PAGEREF _Toc26988 \h </w:instrText>
      </w:r>
      <w:r>
        <w:rPr>
          <w:color w:val="auto"/>
          <w:sz w:val="24"/>
          <w:szCs w:val="24"/>
        </w:rPr>
        <w:fldChar w:fldCharType="separate"/>
      </w:r>
      <w:r>
        <w:rPr>
          <w:color w:val="auto"/>
          <w:sz w:val="24"/>
          <w:szCs w:val="24"/>
        </w:rPr>
        <w:t>52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"_Toc18124" </w:instrText>
      </w:r>
      <w:r>
        <w:rPr>
          <w:color w:val="auto"/>
        </w:rPr>
        <w:fldChar w:fldCharType="separate"/>
      </w:r>
      <w:r>
        <w:rPr>
          <w:rFonts w:hint="eastAsia"/>
          <w:color w:val="auto"/>
          <w:sz w:val="24"/>
          <w:szCs w:val="24"/>
        </w:rPr>
        <w:t>2.9项目外环境关系和主要保护目标</w:t>
      </w:r>
      <w:r>
        <w:rPr>
          <w:color w:val="auto"/>
          <w:sz w:val="24"/>
          <w:szCs w:val="24"/>
        </w:rPr>
        <w:tab/>
      </w:r>
      <w:r>
        <w:rPr>
          <w:color w:val="auto"/>
          <w:sz w:val="24"/>
          <w:szCs w:val="24"/>
        </w:rPr>
        <w:fldChar w:fldCharType="begin"/>
      </w:r>
      <w:r>
        <w:rPr>
          <w:color w:val="auto"/>
          <w:sz w:val="24"/>
          <w:szCs w:val="24"/>
        </w:rPr>
        <w:instrText xml:space="preserve"> PAGEREF _Toc18124 \h </w:instrText>
      </w:r>
      <w:r>
        <w:rPr>
          <w:color w:val="auto"/>
          <w:sz w:val="24"/>
          <w:szCs w:val="24"/>
        </w:rPr>
        <w:fldChar w:fldCharType="separate"/>
      </w:r>
      <w:r>
        <w:rPr>
          <w:color w:val="auto"/>
          <w:sz w:val="24"/>
          <w:szCs w:val="24"/>
        </w:rPr>
        <w:t>56</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"_Toc24354" </w:instrText>
      </w:r>
      <w:r>
        <w:rPr>
          <w:color w:val="auto"/>
        </w:rPr>
        <w:fldChar w:fldCharType="separate"/>
      </w:r>
      <w:r>
        <w:rPr>
          <w:rFonts w:hint="eastAsia"/>
          <w:color w:val="auto"/>
          <w:sz w:val="24"/>
          <w:szCs w:val="24"/>
        </w:rPr>
        <w:t>3建设项目工程分析</w:t>
      </w:r>
      <w:r>
        <w:rPr>
          <w:color w:val="auto"/>
          <w:sz w:val="24"/>
          <w:szCs w:val="24"/>
        </w:rPr>
        <w:tab/>
      </w:r>
      <w:r>
        <w:rPr>
          <w:color w:val="auto"/>
          <w:sz w:val="24"/>
          <w:szCs w:val="24"/>
        </w:rPr>
        <w:fldChar w:fldCharType="begin"/>
      </w:r>
      <w:r>
        <w:rPr>
          <w:color w:val="auto"/>
          <w:sz w:val="24"/>
          <w:szCs w:val="24"/>
        </w:rPr>
        <w:instrText xml:space="preserve"> PAGEREF _Toc24354 \h </w:instrText>
      </w:r>
      <w:r>
        <w:rPr>
          <w:color w:val="auto"/>
          <w:sz w:val="24"/>
          <w:szCs w:val="24"/>
        </w:rPr>
        <w:fldChar w:fldCharType="separate"/>
      </w:r>
      <w:r>
        <w:rPr>
          <w:color w:val="auto"/>
          <w:sz w:val="24"/>
          <w:szCs w:val="24"/>
        </w:rPr>
        <w:t>58</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"_Toc14382" </w:instrText>
      </w:r>
      <w:r>
        <w:rPr>
          <w:color w:val="auto"/>
        </w:rPr>
        <w:fldChar w:fldCharType="separate"/>
      </w:r>
      <w:r>
        <w:rPr>
          <w:rFonts w:hint="eastAsia"/>
          <w:color w:val="auto"/>
          <w:sz w:val="24"/>
          <w:szCs w:val="24"/>
        </w:rPr>
        <w:t>3.1建设项目概况</w:t>
      </w:r>
      <w:r>
        <w:rPr>
          <w:color w:val="auto"/>
          <w:sz w:val="24"/>
          <w:szCs w:val="24"/>
        </w:rPr>
        <w:tab/>
      </w:r>
      <w:r>
        <w:rPr>
          <w:color w:val="auto"/>
          <w:sz w:val="24"/>
          <w:szCs w:val="24"/>
        </w:rPr>
        <w:fldChar w:fldCharType="begin"/>
      </w:r>
      <w:r>
        <w:rPr>
          <w:color w:val="auto"/>
          <w:sz w:val="24"/>
          <w:szCs w:val="24"/>
        </w:rPr>
        <w:instrText xml:space="preserve"> PAGEREF _Toc14382 \h </w:instrText>
      </w:r>
      <w:r>
        <w:rPr>
          <w:color w:val="auto"/>
          <w:sz w:val="24"/>
          <w:szCs w:val="24"/>
        </w:rPr>
        <w:fldChar w:fldCharType="separate"/>
      </w:r>
      <w:r>
        <w:rPr>
          <w:color w:val="auto"/>
          <w:sz w:val="24"/>
          <w:szCs w:val="24"/>
        </w:rPr>
        <w:t>58</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"_Toc27793" </w:instrText>
      </w:r>
      <w:r>
        <w:rPr>
          <w:color w:val="auto"/>
        </w:rPr>
        <w:fldChar w:fldCharType="separate"/>
      </w:r>
      <w:r>
        <w:rPr>
          <w:rFonts w:hint="eastAsia"/>
          <w:color w:val="auto"/>
          <w:sz w:val="24"/>
          <w:szCs w:val="24"/>
        </w:rPr>
        <w:t>3.2污水处理规模合理性分析</w:t>
      </w:r>
      <w:r>
        <w:rPr>
          <w:color w:val="auto"/>
          <w:sz w:val="24"/>
          <w:szCs w:val="24"/>
        </w:rPr>
        <w:tab/>
      </w:r>
      <w:r>
        <w:rPr>
          <w:color w:val="auto"/>
          <w:sz w:val="24"/>
          <w:szCs w:val="24"/>
        </w:rPr>
        <w:fldChar w:fldCharType="begin"/>
      </w:r>
      <w:r>
        <w:rPr>
          <w:color w:val="auto"/>
          <w:sz w:val="24"/>
          <w:szCs w:val="24"/>
        </w:rPr>
        <w:instrText xml:space="preserve"> PAGEREF _Toc27793 \h </w:instrText>
      </w:r>
      <w:r>
        <w:rPr>
          <w:color w:val="auto"/>
          <w:sz w:val="24"/>
          <w:szCs w:val="24"/>
        </w:rPr>
        <w:fldChar w:fldCharType="separate"/>
      </w:r>
      <w:r>
        <w:rPr>
          <w:color w:val="auto"/>
          <w:sz w:val="24"/>
          <w:szCs w:val="24"/>
        </w:rPr>
        <w:t>66</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"_Toc24514" </w:instrText>
      </w:r>
      <w:r>
        <w:rPr>
          <w:color w:val="auto"/>
        </w:rPr>
        <w:fldChar w:fldCharType="separate"/>
      </w:r>
      <w:r>
        <w:rPr>
          <w:rFonts w:hint="eastAsia"/>
          <w:color w:val="auto"/>
          <w:sz w:val="24"/>
          <w:szCs w:val="24"/>
        </w:rPr>
        <w:t>3.3污水处理厂进、出水水质分析</w:t>
      </w:r>
      <w:r>
        <w:rPr>
          <w:color w:val="auto"/>
          <w:sz w:val="24"/>
          <w:szCs w:val="24"/>
        </w:rPr>
        <w:tab/>
      </w:r>
      <w:r>
        <w:rPr>
          <w:color w:val="auto"/>
          <w:sz w:val="24"/>
          <w:szCs w:val="24"/>
        </w:rPr>
        <w:fldChar w:fldCharType="begin"/>
      </w:r>
      <w:r>
        <w:rPr>
          <w:color w:val="auto"/>
          <w:sz w:val="24"/>
          <w:szCs w:val="24"/>
        </w:rPr>
        <w:instrText xml:space="preserve"> PAGEREF _Toc24514 \h </w:instrText>
      </w:r>
      <w:r>
        <w:rPr>
          <w:color w:val="auto"/>
          <w:sz w:val="24"/>
          <w:szCs w:val="24"/>
        </w:rPr>
        <w:fldChar w:fldCharType="separate"/>
      </w:r>
      <w:r>
        <w:rPr>
          <w:color w:val="auto"/>
          <w:sz w:val="24"/>
          <w:szCs w:val="24"/>
        </w:rPr>
        <w:t>70</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"_Toc10318" </w:instrText>
      </w:r>
      <w:r>
        <w:rPr>
          <w:color w:val="auto"/>
        </w:rPr>
        <w:fldChar w:fldCharType="separate"/>
      </w:r>
      <w:r>
        <w:rPr>
          <w:rFonts w:hint="eastAsia"/>
          <w:color w:val="auto"/>
          <w:sz w:val="24"/>
          <w:szCs w:val="24"/>
        </w:rPr>
        <w:t>3.4项目的组成</w:t>
      </w:r>
      <w:r>
        <w:rPr>
          <w:color w:val="auto"/>
          <w:sz w:val="24"/>
          <w:szCs w:val="24"/>
        </w:rPr>
        <w:tab/>
      </w:r>
      <w:r>
        <w:rPr>
          <w:color w:val="auto"/>
          <w:sz w:val="24"/>
          <w:szCs w:val="24"/>
        </w:rPr>
        <w:fldChar w:fldCharType="begin"/>
      </w:r>
      <w:r>
        <w:rPr>
          <w:color w:val="auto"/>
          <w:sz w:val="24"/>
          <w:szCs w:val="24"/>
        </w:rPr>
        <w:instrText xml:space="preserve"> PAGEREF _Toc10318 \h </w:instrText>
      </w:r>
      <w:r>
        <w:rPr>
          <w:color w:val="auto"/>
          <w:sz w:val="24"/>
          <w:szCs w:val="24"/>
        </w:rPr>
        <w:fldChar w:fldCharType="separate"/>
      </w:r>
      <w:r>
        <w:rPr>
          <w:color w:val="auto"/>
          <w:sz w:val="24"/>
          <w:szCs w:val="24"/>
        </w:rPr>
        <w:t>72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"_Toc11965" </w:instrText>
      </w:r>
      <w:r>
        <w:rPr>
          <w:color w:val="auto"/>
        </w:rPr>
        <w:fldChar w:fldCharType="separate"/>
      </w:r>
      <w:r>
        <w:rPr>
          <w:rFonts w:hint="eastAsia"/>
          <w:color w:val="auto"/>
          <w:sz w:val="24"/>
          <w:szCs w:val="24"/>
        </w:rPr>
        <w:t>3.5污水处理工艺论证分析</w:t>
      </w:r>
      <w:r>
        <w:rPr>
          <w:color w:val="auto"/>
          <w:sz w:val="24"/>
          <w:szCs w:val="24"/>
        </w:rPr>
        <w:tab/>
      </w:r>
      <w:r>
        <w:rPr>
          <w:color w:val="auto"/>
          <w:sz w:val="24"/>
          <w:szCs w:val="24"/>
        </w:rPr>
        <w:fldChar w:fldCharType="begin"/>
      </w:r>
      <w:r>
        <w:rPr>
          <w:color w:val="auto"/>
          <w:sz w:val="24"/>
          <w:szCs w:val="24"/>
        </w:rPr>
        <w:instrText xml:space="preserve"> PAGEREF _Toc11965 \h </w:instrText>
      </w:r>
      <w:r>
        <w:rPr>
          <w:color w:val="auto"/>
          <w:sz w:val="24"/>
          <w:szCs w:val="24"/>
        </w:rPr>
        <w:fldChar w:fldCharType="separate"/>
      </w:r>
      <w:r>
        <w:rPr>
          <w:color w:val="auto"/>
          <w:sz w:val="24"/>
          <w:szCs w:val="24"/>
        </w:rPr>
        <w:t>87</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"_Toc26599" </w:instrText>
      </w:r>
      <w:r>
        <w:rPr>
          <w:color w:val="auto"/>
        </w:rPr>
        <w:fldChar w:fldCharType="separate"/>
      </w:r>
      <w:r>
        <w:rPr>
          <w:rFonts w:hint="eastAsia"/>
          <w:color w:val="auto"/>
          <w:sz w:val="24"/>
          <w:szCs w:val="24"/>
        </w:rPr>
        <w:t>3.6污染源源强核算及影响因素分析</w:t>
      </w:r>
      <w:r>
        <w:rPr>
          <w:color w:val="auto"/>
          <w:sz w:val="24"/>
          <w:szCs w:val="24"/>
        </w:rPr>
        <w:tab/>
      </w:r>
      <w:r>
        <w:rPr>
          <w:color w:val="auto"/>
          <w:sz w:val="24"/>
          <w:szCs w:val="24"/>
        </w:rPr>
        <w:fldChar w:fldCharType="begin"/>
      </w:r>
      <w:r>
        <w:rPr>
          <w:color w:val="auto"/>
          <w:sz w:val="24"/>
          <w:szCs w:val="24"/>
        </w:rPr>
        <w:instrText xml:space="preserve"> PAGEREF _Toc26599 \h </w:instrText>
      </w:r>
      <w:r>
        <w:rPr>
          <w:color w:val="auto"/>
          <w:sz w:val="24"/>
          <w:szCs w:val="24"/>
        </w:rPr>
        <w:fldChar w:fldCharType="separate"/>
      </w:r>
      <w:r>
        <w:rPr>
          <w:color w:val="auto"/>
          <w:sz w:val="24"/>
          <w:szCs w:val="24"/>
        </w:rPr>
        <w:t>102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"_Toc20729" </w:instrText>
      </w:r>
      <w:r>
        <w:rPr>
          <w:color w:val="auto"/>
        </w:rPr>
        <w:fldChar w:fldCharType="separate"/>
      </w:r>
      <w:r>
        <w:rPr>
          <w:rFonts w:hint="eastAsia"/>
          <w:color w:val="auto"/>
          <w:sz w:val="24"/>
          <w:szCs w:val="24"/>
        </w:rPr>
        <w:t>3.7项目“三废”排放汇总</w:t>
      </w:r>
      <w:r>
        <w:rPr>
          <w:color w:val="auto"/>
          <w:sz w:val="24"/>
          <w:szCs w:val="24"/>
        </w:rPr>
        <w:tab/>
      </w:r>
      <w:r>
        <w:rPr>
          <w:color w:val="auto"/>
          <w:sz w:val="24"/>
          <w:szCs w:val="24"/>
        </w:rPr>
        <w:fldChar w:fldCharType="begin"/>
      </w:r>
      <w:r>
        <w:rPr>
          <w:color w:val="auto"/>
          <w:sz w:val="24"/>
          <w:szCs w:val="24"/>
        </w:rPr>
        <w:instrText xml:space="preserve"> PAGEREF _Toc20729 \h </w:instrText>
      </w:r>
      <w:r>
        <w:rPr>
          <w:color w:val="auto"/>
          <w:sz w:val="24"/>
          <w:szCs w:val="24"/>
        </w:rPr>
        <w:fldChar w:fldCharType="separate"/>
      </w:r>
      <w:r>
        <w:rPr>
          <w:color w:val="auto"/>
          <w:sz w:val="24"/>
          <w:szCs w:val="24"/>
        </w:rPr>
        <w:t>123</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"_Toc10821" </w:instrText>
      </w:r>
      <w:r>
        <w:rPr>
          <w:color w:val="auto"/>
        </w:rPr>
        <w:fldChar w:fldCharType="separate"/>
      </w:r>
      <w:r>
        <w:rPr>
          <w:rFonts w:hint="eastAsia"/>
          <w:color w:val="auto"/>
          <w:sz w:val="24"/>
          <w:szCs w:val="24"/>
        </w:rPr>
        <w:t>3.8清洁生产分析</w:t>
      </w:r>
      <w:r>
        <w:rPr>
          <w:color w:val="auto"/>
          <w:sz w:val="24"/>
          <w:szCs w:val="24"/>
        </w:rPr>
        <w:tab/>
      </w:r>
      <w:r>
        <w:rPr>
          <w:color w:val="auto"/>
          <w:sz w:val="24"/>
          <w:szCs w:val="24"/>
        </w:rPr>
        <w:fldChar w:fldCharType="begin"/>
      </w:r>
      <w:r>
        <w:rPr>
          <w:color w:val="auto"/>
          <w:sz w:val="24"/>
          <w:szCs w:val="24"/>
        </w:rPr>
        <w:instrText xml:space="preserve"> PAGEREF _Toc10821 \h </w:instrText>
      </w:r>
      <w:r>
        <w:rPr>
          <w:color w:val="auto"/>
          <w:sz w:val="24"/>
          <w:szCs w:val="24"/>
        </w:rPr>
        <w:fldChar w:fldCharType="separate"/>
      </w:r>
      <w:r>
        <w:rPr>
          <w:color w:val="auto"/>
          <w:sz w:val="24"/>
          <w:szCs w:val="24"/>
        </w:rPr>
        <w:t>125</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"_Toc10823" </w:instrText>
      </w:r>
      <w:r>
        <w:rPr>
          <w:color w:val="auto"/>
        </w:rPr>
        <w:fldChar w:fldCharType="separate"/>
      </w:r>
      <w:r>
        <w:rPr>
          <w:rFonts w:hint="eastAsia"/>
          <w:color w:val="auto"/>
          <w:sz w:val="24"/>
          <w:szCs w:val="24"/>
        </w:rPr>
        <w:t>4环境现状调查与评价</w:t>
      </w:r>
      <w:r>
        <w:rPr>
          <w:color w:val="auto"/>
          <w:sz w:val="24"/>
          <w:szCs w:val="24"/>
        </w:rPr>
        <w:tab/>
      </w:r>
      <w:r>
        <w:rPr>
          <w:color w:val="auto"/>
          <w:sz w:val="24"/>
          <w:szCs w:val="24"/>
        </w:rPr>
        <w:fldChar w:fldCharType="begin"/>
      </w:r>
      <w:r>
        <w:rPr>
          <w:color w:val="auto"/>
          <w:sz w:val="24"/>
          <w:szCs w:val="24"/>
        </w:rPr>
        <w:instrText xml:space="preserve"> PAGEREF _Toc10823 \h </w:instrText>
      </w:r>
      <w:r>
        <w:rPr>
          <w:color w:val="auto"/>
          <w:sz w:val="24"/>
          <w:szCs w:val="24"/>
        </w:rPr>
        <w:fldChar w:fldCharType="separate"/>
      </w:r>
      <w:r>
        <w:rPr>
          <w:color w:val="auto"/>
          <w:sz w:val="24"/>
          <w:szCs w:val="24"/>
        </w:rPr>
        <w:t>129</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"_Toc27200" </w:instrText>
      </w:r>
      <w:r>
        <w:rPr>
          <w:color w:val="auto"/>
        </w:rPr>
        <w:fldChar w:fldCharType="separate"/>
      </w:r>
      <w:r>
        <w:rPr>
          <w:rFonts w:hint="eastAsia"/>
          <w:color w:val="auto"/>
          <w:sz w:val="24"/>
          <w:szCs w:val="24"/>
        </w:rPr>
        <w:t>4.1自然环境概况</w:t>
      </w:r>
      <w:r>
        <w:rPr>
          <w:color w:val="auto"/>
          <w:sz w:val="24"/>
          <w:szCs w:val="24"/>
        </w:rPr>
        <w:tab/>
      </w:r>
      <w:r>
        <w:rPr>
          <w:color w:val="auto"/>
          <w:sz w:val="24"/>
          <w:szCs w:val="24"/>
        </w:rPr>
        <w:fldChar w:fldCharType="begin"/>
      </w:r>
      <w:r>
        <w:rPr>
          <w:color w:val="auto"/>
          <w:sz w:val="24"/>
          <w:szCs w:val="24"/>
        </w:rPr>
        <w:instrText xml:space="preserve"> PAGEREF _Toc27200 \h </w:instrText>
      </w:r>
      <w:r>
        <w:rPr>
          <w:color w:val="auto"/>
          <w:sz w:val="24"/>
          <w:szCs w:val="24"/>
        </w:rPr>
        <w:fldChar w:fldCharType="separate"/>
      </w:r>
      <w:r>
        <w:rPr>
          <w:color w:val="auto"/>
          <w:sz w:val="24"/>
          <w:szCs w:val="24"/>
        </w:rPr>
        <w:t>129</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"_Toc32581" </w:instrText>
      </w:r>
      <w:r>
        <w:rPr>
          <w:color w:val="auto"/>
        </w:rPr>
        <w:fldChar w:fldCharType="separate"/>
      </w:r>
      <w:r>
        <w:rPr>
          <w:rFonts w:hint="eastAsia"/>
          <w:color w:val="auto"/>
          <w:sz w:val="24"/>
          <w:szCs w:val="24"/>
        </w:rPr>
        <w:t>4.2环境质量现状调查与评价</w:t>
      </w:r>
      <w:r>
        <w:rPr>
          <w:color w:val="auto"/>
          <w:sz w:val="24"/>
          <w:szCs w:val="24"/>
        </w:rPr>
        <w:tab/>
      </w:r>
      <w:r>
        <w:rPr>
          <w:color w:val="auto"/>
          <w:sz w:val="24"/>
          <w:szCs w:val="24"/>
        </w:rPr>
        <w:fldChar w:fldCharType="begin"/>
      </w:r>
      <w:r>
        <w:rPr>
          <w:color w:val="auto"/>
          <w:sz w:val="24"/>
          <w:szCs w:val="24"/>
        </w:rPr>
        <w:instrText xml:space="preserve"> PAGEREF _Toc32581 \h </w:instrText>
      </w:r>
      <w:r>
        <w:rPr>
          <w:color w:val="auto"/>
          <w:sz w:val="24"/>
          <w:szCs w:val="24"/>
        </w:rPr>
        <w:fldChar w:fldCharType="separate"/>
      </w:r>
      <w:r>
        <w:rPr>
          <w:color w:val="auto"/>
          <w:sz w:val="24"/>
          <w:szCs w:val="24"/>
        </w:rPr>
        <w:t>137</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"_Toc17050" </w:instrText>
      </w:r>
      <w:r>
        <w:rPr>
          <w:color w:val="auto"/>
        </w:rPr>
        <w:fldChar w:fldCharType="separate"/>
      </w:r>
      <w:r>
        <w:rPr>
          <w:rFonts w:hint="eastAsia"/>
          <w:color w:val="auto"/>
          <w:sz w:val="24"/>
          <w:szCs w:val="24"/>
        </w:rPr>
        <w:t>5环境影响预测与评价</w:t>
      </w:r>
      <w:r>
        <w:rPr>
          <w:color w:val="auto"/>
          <w:sz w:val="24"/>
          <w:szCs w:val="24"/>
        </w:rPr>
        <w:tab/>
      </w:r>
      <w:r>
        <w:rPr>
          <w:color w:val="auto"/>
          <w:sz w:val="24"/>
          <w:szCs w:val="24"/>
        </w:rPr>
        <w:fldChar w:fldCharType="begin"/>
      </w:r>
      <w:r>
        <w:rPr>
          <w:color w:val="auto"/>
          <w:sz w:val="24"/>
          <w:szCs w:val="24"/>
        </w:rPr>
        <w:instrText xml:space="preserve"> PAGEREF _Toc17050 \h </w:instrText>
      </w:r>
      <w:r>
        <w:rPr>
          <w:color w:val="auto"/>
          <w:sz w:val="24"/>
          <w:szCs w:val="24"/>
        </w:rPr>
        <w:fldChar w:fldCharType="separate"/>
      </w:r>
      <w:r>
        <w:rPr>
          <w:color w:val="auto"/>
          <w:sz w:val="24"/>
          <w:szCs w:val="24"/>
        </w:rPr>
        <w:t>162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"_Toc11743" </w:instrText>
      </w:r>
      <w:r>
        <w:rPr>
          <w:color w:val="auto"/>
        </w:rPr>
        <w:fldChar w:fldCharType="separate"/>
      </w:r>
      <w:r>
        <w:rPr>
          <w:rFonts w:hint="eastAsia"/>
          <w:color w:val="auto"/>
          <w:sz w:val="24"/>
          <w:szCs w:val="24"/>
        </w:rPr>
        <w:t>5.1施工期环境影响分析</w:t>
      </w:r>
      <w:r>
        <w:rPr>
          <w:color w:val="auto"/>
          <w:sz w:val="24"/>
          <w:szCs w:val="24"/>
        </w:rPr>
        <w:tab/>
      </w:r>
      <w:r>
        <w:rPr>
          <w:color w:val="auto"/>
          <w:sz w:val="24"/>
          <w:szCs w:val="24"/>
        </w:rPr>
        <w:fldChar w:fldCharType="begin"/>
      </w:r>
      <w:r>
        <w:rPr>
          <w:color w:val="auto"/>
          <w:sz w:val="24"/>
          <w:szCs w:val="24"/>
        </w:rPr>
        <w:instrText xml:space="preserve"> PAGEREF _Toc11743 \h </w:instrText>
      </w:r>
      <w:r>
        <w:rPr>
          <w:color w:val="auto"/>
          <w:sz w:val="24"/>
          <w:szCs w:val="24"/>
        </w:rPr>
        <w:fldChar w:fldCharType="separate"/>
      </w:r>
      <w:r>
        <w:rPr>
          <w:color w:val="auto"/>
          <w:sz w:val="24"/>
          <w:szCs w:val="24"/>
        </w:rPr>
        <w:t>162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"_Toc22264" </w:instrText>
      </w:r>
      <w:r>
        <w:rPr>
          <w:color w:val="auto"/>
        </w:rPr>
        <w:fldChar w:fldCharType="separate"/>
      </w:r>
      <w:r>
        <w:rPr>
          <w:rFonts w:hint="eastAsia"/>
          <w:color w:val="auto"/>
          <w:sz w:val="24"/>
          <w:szCs w:val="24"/>
        </w:rPr>
        <w:t>5.2运营期环境影响分析</w:t>
      </w:r>
      <w:r>
        <w:rPr>
          <w:color w:val="auto"/>
          <w:sz w:val="24"/>
          <w:szCs w:val="24"/>
        </w:rPr>
        <w:tab/>
      </w:r>
      <w:r>
        <w:rPr>
          <w:color w:val="auto"/>
          <w:sz w:val="24"/>
          <w:szCs w:val="24"/>
        </w:rPr>
        <w:fldChar w:fldCharType="begin"/>
      </w:r>
      <w:r>
        <w:rPr>
          <w:color w:val="auto"/>
          <w:sz w:val="24"/>
          <w:szCs w:val="24"/>
        </w:rPr>
        <w:instrText xml:space="preserve"> PAGEREF _Toc22264 \h </w:instrText>
      </w:r>
      <w:r>
        <w:rPr>
          <w:color w:val="auto"/>
          <w:sz w:val="24"/>
          <w:szCs w:val="24"/>
        </w:rPr>
        <w:fldChar w:fldCharType="separate"/>
      </w:r>
      <w:r>
        <w:rPr>
          <w:color w:val="auto"/>
          <w:sz w:val="24"/>
          <w:szCs w:val="24"/>
        </w:rPr>
        <w:t>167</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"_Toc15079" </w:instrText>
      </w:r>
      <w:r>
        <w:rPr>
          <w:color w:val="auto"/>
        </w:rPr>
        <w:fldChar w:fldCharType="separate"/>
      </w:r>
      <w:r>
        <w:rPr>
          <w:rFonts w:hint="eastAsia"/>
          <w:color w:val="auto"/>
          <w:sz w:val="24"/>
          <w:szCs w:val="24"/>
        </w:rPr>
        <w:t>6环境保护措施及其可行性论证</w:t>
      </w:r>
      <w:r>
        <w:rPr>
          <w:color w:val="auto"/>
          <w:sz w:val="24"/>
          <w:szCs w:val="24"/>
        </w:rPr>
        <w:tab/>
      </w:r>
      <w:r>
        <w:rPr>
          <w:color w:val="auto"/>
          <w:sz w:val="24"/>
          <w:szCs w:val="24"/>
        </w:rPr>
        <w:fldChar w:fldCharType="begin"/>
      </w:r>
      <w:r>
        <w:rPr>
          <w:color w:val="auto"/>
          <w:sz w:val="24"/>
          <w:szCs w:val="24"/>
        </w:rPr>
        <w:instrText xml:space="preserve"> PAGEREF _Toc15079 \h </w:instrText>
      </w:r>
      <w:r>
        <w:rPr>
          <w:color w:val="auto"/>
          <w:sz w:val="24"/>
          <w:szCs w:val="24"/>
        </w:rPr>
        <w:fldChar w:fldCharType="separate"/>
      </w:r>
      <w:r>
        <w:rPr>
          <w:color w:val="auto"/>
          <w:sz w:val="24"/>
          <w:szCs w:val="24"/>
        </w:rPr>
        <w:t>217</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"_Toc20891" </w:instrText>
      </w:r>
      <w:r>
        <w:rPr>
          <w:color w:val="auto"/>
        </w:rPr>
        <w:fldChar w:fldCharType="separate"/>
      </w:r>
      <w:r>
        <w:rPr>
          <w:rFonts w:hint="eastAsia"/>
          <w:color w:val="auto"/>
          <w:sz w:val="24"/>
          <w:szCs w:val="24"/>
        </w:rPr>
        <w:t>6.1 施工期环境影响防治措施</w:t>
      </w:r>
      <w:r>
        <w:rPr>
          <w:color w:val="auto"/>
          <w:sz w:val="24"/>
          <w:szCs w:val="24"/>
        </w:rPr>
        <w:tab/>
      </w:r>
      <w:r>
        <w:rPr>
          <w:color w:val="auto"/>
          <w:sz w:val="24"/>
          <w:szCs w:val="24"/>
        </w:rPr>
        <w:fldChar w:fldCharType="begin"/>
      </w:r>
      <w:r>
        <w:rPr>
          <w:color w:val="auto"/>
          <w:sz w:val="24"/>
          <w:szCs w:val="24"/>
        </w:rPr>
        <w:instrText xml:space="preserve"> PAGEREF _Toc20891 \h </w:instrText>
      </w:r>
      <w:r>
        <w:rPr>
          <w:color w:val="auto"/>
          <w:sz w:val="24"/>
          <w:szCs w:val="24"/>
        </w:rPr>
        <w:fldChar w:fldCharType="separate"/>
      </w:r>
      <w:r>
        <w:rPr>
          <w:color w:val="auto"/>
          <w:sz w:val="24"/>
          <w:szCs w:val="24"/>
        </w:rPr>
        <w:t>217</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"_Toc25964" </w:instrText>
      </w:r>
      <w:r>
        <w:rPr>
          <w:color w:val="auto"/>
        </w:rPr>
        <w:fldChar w:fldCharType="separate"/>
      </w:r>
      <w:r>
        <w:rPr>
          <w:rFonts w:hint="eastAsia"/>
          <w:color w:val="auto"/>
          <w:sz w:val="24"/>
          <w:szCs w:val="24"/>
        </w:rPr>
        <w:t>6.2运营期环境影响防治措施</w:t>
      </w:r>
      <w:r>
        <w:rPr>
          <w:color w:val="auto"/>
          <w:sz w:val="24"/>
          <w:szCs w:val="24"/>
        </w:rPr>
        <w:tab/>
      </w:r>
      <w:r>
        <w:rPr>
          <w:color w:val="auto"/>
          <w:sz w:val="24"/>
          <w:szCs w:val="24"/>
        </w:rPr>
        <w:fldChar w:fldCharType="begin"/>
      </w:r>
      <w:r>
        <w:rPr>
          <w:color w:val="auto"/>
          <w:sz w:val="24"/>
          <w:szCs w:val="24"/>
        </w:rPr>
        <w:instrText xml:space="preserve"> PAGEREF _Toc25964 \h </w:instrText>
      </w:r>
      <w:r>
        <w:rPr>
          <w:color w:val="auto"/>
          <w:sz w:val="24"/>
          <w:szCs w:val="24"/>
        </w:rPr>
        <w:fldChar w:fldCharType="separate"/>
      </w:r>
      <w:r>
        <w:rPr>
          <w:color w:val="auto"/>
          <w:sz w:val="24"/>
          <w:szCs w:val="24"/>
        </w:rPr>
        <w:t>223</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"_Toc994" </w:instrText>
      </w:r>
      <w:r>
        <w:rPr>
          <w:color w:val="auto"/>
        </w:rPr>
        <w:fldChar w:fldCharType="separate"/>
      </w:r>
      <w:r>
        <w:rPr>
          <w:rFonts w:hint="eastAsia"/>
          <w:color w:val="auto"/>
          <w:sz w:val="24"/>
          <w:szCs w:val="24"/>
        </w:rPr>
        <w:t>6.3环保投资估算</w:t>
      </w:r>
      <w:r>
        <w:rPr>
          <w:color w:val="auto"/>
          <w:sz w:val="24"/>
          <w:szCs w:val="24"/>
        </w:rPr>
        <w:tab/>
      </w:r>
      <w:r>
        <w:rPr>
          <w:color w:val="auto"/>
          <w:sz w:val="24"/>
          <w:szCs w:val="24"/>
        </w:rPr>
        <w:fldChar w:fldCharType="begin"/>
      </w:r>
      <w:r>
        <w:rPr>
          <w:color w:val="auto"/>
          <w:sz w:val="24"/>
          <w:szCs w:val="24"/>
        </w:rPr>
        <w:instrText xml:space="preserve"> PAGEREF _Toc994 \h </w:instrText>
      </w:r>
      <w:r>
        <w:rPr>
          <w:color w:val="auto"/>
          <w:sz w:val="24"/>
          <w:szCs w:val="24"/>
        </w:rPr>
        <w:fldChar w:fldCharType="separate"/>
      </w:r>
      <w:r>
        <w:rPr>
          <w:color w:val="auto"/>
          <w:sz w:val="24"/>
          <w:szCs w:val="24"/>
        </w:rPr>
        <w:t>239</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"_Toc13744" </w:instrText>
      </w:r>
      <w:r>
        <w:rPr>
          <w:color w:val="auto"/>
        </w:rPr>
        <w:fldChar w:fldCharType="separate"/>
      </w:r>
      <w:r>
        <w:rPr>
          <w:rFonts w:hint="eastAsia"/>
          <w:color w:val="auto"/>
          <w:sz w:val="24"/>
          <w:szCs w:val="24"/>
        </w:rPr>
        <w:t>7污染物排放总量控制</w:t>
      </w:r>
      <w:r>
        <w:rPr>
          <w:color w:val="auto"/>
          <w:sz w:val="24"/>
          <w:szCs w:val="24"/>
        </w:rPr>
        <w:tab/>
      </w:r>
      <w:r>
        <w:rPr>
          <w:color w:val="auto"/>
          <w:sz w:val="24"/>
          <w:szCs w:val="24"/>
        </w:rPr>
        <w:fldChar w:fldCharType="begin"/>
      </w:r>
      <w:r>
        <w:rPr>
          <w:color w:val="auto"/>
          <w:sz w:val="24"/>
          <w:szCs w:val="24"/>
        </w:rPr>
        <w:instrText xml:space="preserve"> PAGEREF _Toc13744 \h </w:instrText>
      </w:r>
      <w:r>
        <w:rPr>
          <w:color w:val="auto"/>
          <w:sz w:val="24"/>
          <w:szCs w:val="24"/>
        </w:rPr>
        <w:fldChar w:fldCharType="separate"/>
      </w:r>
      <w:r>
        <w:rPr>
          <w:color w:val="auto"/>
          <w:sz w:val="24"/>
          <w:szCs w:val="24"/>
        </w:rPr>
        <w:t>241</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"_Toc26592" </w:instrText>
      </w:r>
      <w:r>
        <w:rPr>
          <w:color w:val="auto"/>
        </w:rPr>
        <w:fldChar w:fldCharType="separate"/>
      </w:r>
      <w:r>
        <w:rPr>
          <w:rFonts w:hint="eastAsia"/>
          <w:color w:val="auto"/>
          <w:sz w:val="24"/>
          <w:szCs w:val="24"/>
        </w:rPr>
        <w:t>8环境影响经济损益分析</w:t>
      </w:r>
      <w:r>
        <w:rPr>
          <w:color w:val="auto"/>
          <w:sz w:val="24"/>
          <w:szCs w:val="24"/>
        </w:rPr>
        <w:tab/>
      </w:r>
      <w:r>
        <w:rPr>
          <w:color w:val="auto"/>
          <w:sz w:val="24"/>
          <w:szCs w:val="24"/>
        </w:rPr>
        <w:fldChar w:fldCharType="begin"/>
      </w:r>
      <w:r>
        <w:rPr>
          <w:color w:val="auto"/>
          <w:sz w:val="24"/>
          <w:szCs w:val="24"/>
        </w:rPr>
        <w:instrText xml:space="preserve"> PAGEREF _Toc26592 \h </w:instrText>
      </w:r>
      <w:r>
        <w:rPr>
          <w:color w:val="auto"/>
          <w:sz w:val="24"/>
          <w:szCs w:val="24"/>
        </w:rPr>
        <w:fldChar w:fldCharType="separate"/>
      </w:r>
      <w:r>
        <w:rPr>
          <w:color w:val="auto"/>
          <w:sz w:val="24"/>
          <w:szCs w:val="24"/>
        </w:rPr>
        <w:t>242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"_Toc27891" </w:instrText>
      </w:r>
      <w:r>
        <w:rPr>
          <w:color w:val="auto"/>
        </w:rPr>
        <w:fldChar w:fldCharType="separate"/>
      </w:r>
      <w:r>
        <w:rPr>
          <w:rFonts w:hint="eastAsia"/>
          <w:color w:val="auto"/>
          <w:sz w:val="24"/>
          <w:szCs w:val="24"/>
        </w:rPr>
        <w:t>8.1 经济效益分析</w:t>
      </w:r>
      <w:r>
        <w:rPr>
          <w:color w:val="auto"/>
          <w:sz w:val="24"/>
          <w:szCs w:val="24"/>
        </w:rPr>
        <w:tab/>
      </w:r>
      <w:r>
        <w:rPr>
          <w:color w:val="auto"/>
          <w:sz w:val="24"/>
          <w:szCs w:val="24"/>
        </w:rPr>
        <w:fldChar w:fldCharType="begin"/>
      </w:r>
      <w:r>
        <w:rPr>
          <w:color w:val="auto"/>
          <w:sz w:val="24"/>
          <w:szCs w:val="24"/>
        </w:rPr>
        <w:instrText xml:space="preserve"> PAGEREF _Toc27891 \h </w:instrText>
      </w:r>
      <w:r>
        <w:rPr>
          <w:color w:val="auto"/>
          <w:sz w:val="24"/>
          <w:szCs w:val="24"/>
        </w:rPr>
        <w:fldChar w:fldCharType="separate"/>
      </w:r>
      <w:r>
        <w:rPr>
          <w:color w:val="auto"/>
          <w:sz w:val="24"/>
          <w:szCs w:val="24"/>
        </w:rPr>
        <w:t>242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"_Toc29571" </w:instrText>
      </w:r>
      <w:r>
        <w:rPr>
          <w:color w:val="auto"/>
        </w:rPr>
        <w:fldChar w:fldCharType="separate"/>
      </w:r>
      <w:r>
        <w:rPr>
          <w:rFonts w:hint="eastAsia"/>
          <w:color w:val="auto"/>
          <w:sz w:val="24"/>
          <w:szCs w:val="24"/>
        </w:rPr>
        <w:t>8.2 社会效益分析</w:t>
      </w:r>
      <w:r>
        <w:rPr>
          <w:color w:val="auto"/>
          <w:sz w:val="24"/>
          <w:szCs w:val="24"/>
        </w:rPr>
        <w:tab/>
      </w:r>
      <w:r>
        <w:rPr>
          <w:color w:val="auto"/>
          <w:sz w:val="24"/>
          <w:szCs w:val="24"/>
        </w:rPr>
        <w:fldChar w:fldCharType="begin"/>
      </w:r>
      <w:r>
        <w:rPr>
          <w:color w:val="auto"/>
          <w:sz w:val="24"/>
          <w:szCs w:val="24"/>
        </w:rPr>
        <w:instrText xml:space="preserve"> PAGEREF _Toc29571 \h </w:instrText>
      </w:r>
      <w:r>
        <w:rPr>
          <w:color w:val="auto"/>
          <w:sz w:val="24"/>
          <w:szCs w:val="24"/>
        </w:rPr>
        <w:fldChar w:fldCharType="separate"/>
      </w:r>
      <w:r>
        <w:rPr>
          <w:color w:val="auto"/>
          <w:sz w:val="24"/>
          <w:szCs w:val="24"/>
        </w:rPr>
        <w:t>242</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"_Toc9322" </w:instrText>
      </w:r>
      <w:r>
        <w:rPr>
          <w:color w:val="auto"/>
        </w:rPr>
        <w:fldChar w:fldCharType="separate"/>
      </w:r>
      <w:r>
        <w:rPr>
          <w:rFonts w:hint="eastAsia"/>
          <w:color w:val="auto"/>
          <w:sz w:val="24"/>
          <w:szCs w:val="24"/>
        </w:rPr>
        <w:t>8.3环境效益分析</w:t>
      </w:r>
      <w:r>
        <w:rPr>
          <w:color w:val="auto"/>
          <w:sz w:val="24"/>
          <w:szCs w:val="24"/>
        </w:rPr>
        <w:tab/>
      </w:r>
      <w:r>
        <w:rPr>
          <w:color w:val="auto"/>
          <w:sz w:val="24"/>
          <w:szCs w:val="24"/>
        </w:rPr>
        <w:fldChar w:fldCharType="begin"/>
      </w:r>
      <w:r>
        <w:rPr>
          <w:color w:val="auto"/>
          <w:sz w:val="24"/>
          <w:szCs w:val="24"/>
        </w:rPr>
        <w:instrText xml:space="preserve"> PAGEREF _Toc9322 \h </w:instrText>
      </w:r>
      <w:r>
        <w:rPr>
          <w:color w:val="auto"/>
          <w:sz w:val="24"/>
          <w:szCs w:val="24"/>
        </w:rPr>
        <w:fldChar w:fldCharType="separate"/>
      </w:r>
      <w:r>
        <w:rPr>
          <w:color w:val="auto"/>
          <w:sz w:val="24"/>
          <w:szCs w:val="24"/>
        </w:rPr>
        <w:t>243</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"_Toc29220" </w:instrText>
      </w:r>
      <w:r>
        <w:rPr>
          <w:color w:val="auto"/>
        </w:rPr>
        <w:fldChar w:fldCharType="separate"/>
      </w:r>
      <w:r>
        <w:rPr>
          <w:rFonts w:hint="eastAsia"/>
          <w:color w:val="auto"/>
          <w:sz w:val="24"/>
          <w:szCs w:val="24"/>
        </w:rPr>
        <w:t>8.4小结</w:t>
      </w:r>
      <w:r>
        <w:rPr>
          <w:color w:val="auto"/>
          <w:sz w:val="24"/>
          <w:szCs w:val="24"/>
        </w:rPr>
        <w:tab/>
      </w:r>
      <w:r>
        <w:rPr>
          <w:color w:val="auto"/>
          <w:sz w:val="24"/>
          <w:szCs w:val="24"/>
        </w:rPr>
        <w:fldChar w:fldCharType="begin"/>
      </w:r>
      <w:r>
        <w:rPr>
          <w:color w:val="auto"/>
          <w:sz w:val="24"/>
          <w:szCs w:val="24"/>
        </w:rPr>
        <w:instrText xml:space="preserve"> PAGEREF _Toc29220 \h </w:instrText>
      </w:r>
      <w:r>
        <w:rPr>
          <w:color w:val="auto"/>
          <w:sz w:val="24"/>
          <w:szCs w:val="24"/>
        </w:rPr>
        <w:fldChar w:fldCharType="separate"/>
      </w:r>
      <w:r>
        <w:rPr>
          <w:color w:val="auto"/>
          <w:sz w:val="24"/>
          <w:szCs w:val="24"/>
        </w:rPr>
        <w:t>243</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"_Toc7449" </w:instrText>
      </w:r>
      <w:r>
        <w:rPr>
          <w:color w:val="auto"/>
        </w:rPr>
        <w:fldChar w:fldCharType="separate"/>
      </w:r>
      <w:r>
        <w:rPr>
          <w:rFonts w:hint="eastAsia"/>
          <w:color w:val="auto"/>
          <w:sz w:val="24"/>
          <w:szCs w:val="24"/>
        </w:rPr>
        <w:t>9环境管理与监测计划</w:t>
      </w:r>
      <w:r>
        <w:rPr>
          <w:color w:val="auto"/>
          <w:sz w:val="24"/>
          <w:szCs w:val="24"/>
        </w:rPr>
        <w:tab/>
      </w:r>
      <w:r>
        <w:rPr>
          <w:color w:val="auto"/>
          <w:sz w:val="24"/>
          <w:szCs w:val="24"/>
        </w:rPr>
        <w:fldChar w:fldCharType="begin"/>
      </w:r>
      <w:r>
        <w:rPr>
          <w:color w:val="auto"/>
          <w:sz w:val="24"/>
          <w:szCs w:val="24"/>
        </w:rPr>
        <w:instrText xml:space="preserve"> PAGEREF _Toc7449 \h </w:instrText>
      </w:r>
      <w:r>
        <w:rPr>
          <w:color w:val="auto"/>
          <w:sz w:val="24"/>
          <w:szCs w:val="24"/>
        </w:rPr>
        <w:fldChar w:fldCharType="separate"/>
      </w:r>
      <w:r>
        <w:rPr>
          <w:color w:val="auto"/>
          <w:sz w:val="24"/>
          <w:szCs w:val="24"/>
        </w:rPr>
        <w:t>244</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"_Toc32638" </w:instrText>
      </w:r>
      <w:r>
        <w:rPr>
          <w:color w:val="auto"/>
        </w:rPr>
        <w:fldChar w:fldCharType="separate"/>
      </w:r>
      <w:r>
        <w:rPr>
          <w:rFonts w:hint="eastAsia"/>
          <w:color w:val="auto"/>
          <w:sz w:val="24"/>
          <w:szCs w:val="24"/>
        </w:rPr>
        <w:t>9.1环境管理</w:t>
      </w:r>
      <w:r>
        <w:rPr>
          <w:color w:val="auto"/>
          <w:sz w:val="24"/>
          <w:szCs w:val="24"/>
        </w:rPr>
        <w:tab/>
      </w:r>
      <w:r>
        <w:rPr>
          <w:color w:val="auto"/>
          <w:sz w:val="24"/>
          <w:szCs w:val="24"/>
        </w:rPr>
        <w:fldChar w:fldCharType="begin"/>
      </w:r>
      <w:r>
        <w:rPr>
          <w:color w:val="auto"/>
          <w:sz w:val="24"/>
          <w:szCs w:val="24"/>
        </w:rPr>
        <w:instrText xml:space="preserve"> PAGEREF _Toc32638 \h </w:instrText>
      </w:r>
      <w:r>
        <w:rPr>
          <w:color w:val="auto"/>
          <w:sz w:val="24"/>
          <w:szCs w:val="24"/>
        </w:rPr>
        <w:fldChar w:fldCharType="separate"/>
      </w:r>
      <w:r>
        <w:rPr>
          <w:color w:val="auto"/>
          <w:sz w:val="24"/>
          <w:szCs w:val="24"/>
        </w:rPr>
        <w:t>244</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"_Toc3955" </w:instrText>
      </w:r>
      <w:r>
        <w:rPr>
          <w:color w:val="auto"/>
        </w:rPr>
        <w:fldChar w:fldCharType="separate"/>
      </w:r>
      <w:r>
        <w:rPr>
          <w:rFonts w:hint="eastAsia"/>
          <w:color w:val="auto"/>
          <w:sz w:val="24"/>
          <w:szCs w:val="24"/>
        </w:rPr>
        <w:t>9.2环境监测规划与措施</w:t>
      </w:r>
      <w:r>
        <w:rPr>
          <w:color w:val="auto"/>
          <w:sz w:val="24"/>
          <w:szCs w:val="24"/>
        </w:rPr>
        <w:tab/>
      </w:r>
      <w:r>
        <w:rPr>
          <w:color w:val="auto"/>
          <w:sz w:val="24"/>
          <w:szCs w:val="24"/>
        </w:rPr>
        <w:fldChar w:fldCharType="begin"/>
      </w:r>
      <w:r>
        <w:rPr>
          <w:color w:val="auto"/>
          <w:sz w:val="24"/>
          <w:szCs w:val="24"/>
        </w:rPr>
        <w:instrText xml:space="preserve"> PAGEREF _Toc3955 \h </w:instrText>
      </w:r>
      <w:r>
        <w:rPr>
          <w:color w:val="auto"/>
          <w:sz w:val="24"/>
          <w:szCs w:val="24"/>
        </w:rPr>
        <w:fldChar w:fldCharType="separate"/>
      </w:r>
      <w:r>
        <w:rPr>
          <w:color w:val="auto"/>
          <w:sz w:val="24"/>
          <w:szCs w:val="24"/>
        </w:rPr>
        <w:t>245</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"_Toc22356" </w:instrText>
      </w:r>
      <w:r>
        <w:rPr>
          <w:color w:val="auto"/>
        </w:rPr>
        <w:fldChar w:fldCharType="separate"/>
      </w:r>
      <w:r>
        <w:rPr>
          <w:rFonts w:hint="eastAsia"/>
          <w:color w:val="auto"/>
          <w:sz w:val="24"/>
          <w:szCs w:val="24"/>
        </w:rPr>
        <w:t>9.3排污口规范化设置</w:t>
      </w:r>
      <w:r>
        <w:rPr>
          <w:color w:val="auto"/>
          <w:sz w:val="24"/>
          <w:szCs w:val="24"/>
        </w:rPr>
        <w:tab/>
      </w:r>
      <w:r>
        <w:rPr>
          <w:color w:val="auto"/>
          <w:sz w:val="24"/>
          <w:szCs w:val="24"/>
        </w:rPr>
        <w:fldChar w:fldCharType="begin"/>
      </w:r>
      <w:r>
        <w:rPr>
          <w:color w:val="auto"/>
          <w:sz w:val="24"/>
          <w:szCs w:val="24"/>
        </w:rPr>
        <w:instrText xml:space="preserve"> PAGEREF _Toc22356 \h </w:instrText>
      </w:r>
      <w:r>
        <w:rPr>
          <w:color w:val="auto"/>
          <w:sz w:val="24"/>
          <w:szCs w:val="24"/>
        </w:rPr>
        <w:fldChar w:fldCharType="separate"/>
      </w:r>
      <w:r>
        <w:rPr>
          <w:color w:val="auto"/>
          <w:sz w:val="24"/>
          <w:szCs w:val="24"/>
        </w:rPr>
        <w:t>248</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"_Toc227" </w:instrText>
      </w:r>
      <w:r>
        <w:rPr>
          <w:color w:val="auto"/>
        </w:rPr>
        <w:fldChar w:fldCharType="separate"/>
      </w:r>
      <w:r>
        <w:rPr>
          <w:rFonts w:hint="eastAsia"/>
          <w:color w:val="auto"/>
          <w:sz w:val="24"/>
          <w:szCs w:val="24"/>
        </w:rPr>
        <w:t>9.4排污许可制度要求</w:t>
      </w:r>
      <w:r>
        <w:rPr>
          <w:color w:val="auto"/>
          <w:sz w:val="24"/>
          <w:szCs w:val="24"/>
        </w:rPr>
        <w:tab/>
      </w:r>
      <w:r>
        <w:rPr>
          <w:color w:val="auto"/>
          <w:sz w:val="24"/>
          <w:szCs w:val="24"/>
        </w:rPr>
        <w:fldChar w:fldCharType="begin"/>
      </w:r>
      <w:r>
        <w:rPr>
          <w:color w:val="auto"/>
          <w:sz w:val="24"/>
          <w:szCs w:val="24"/>
        </w:rPr>
        <w:instrText xml:space="preserve"> PAGEREF _Toc227 \h </w:instrText>
      </w:r>
      <w:r>
        <w:rPr>
          <w:color w:val="auto"/>
          <w:sz w:val="24"/>
          <w:szCs w:val="24"/>
        </w:rPr>
        <w:fldChar w:fldCharType="separate"/>
      </w:r>
      <w:r>
        <w:rPr>
          <w:color w:val="auto"/>
          <w:sz w:val="24"/>
          <w:szCs w:val="24"/>
        </w:rPr>
        <w:t>249</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"_Toc1872" </w:instrText>
      </w:r>
      <w:r>
        <w:rPr>
          <w:color w:val="auto"/>
        </w:rPr>
        <w:fldChar w:fldCharType="separate"/>
      </w:r>
      <w:r>
        <w:rPr>
          <w:rFonts w:hint="eastAsia"/>
          <w:color w:val="auto"/>
          <w:sz w:val="24"/>
          <w:szCs w:val="24"/>
        </w:rPr>
        <w:t>9.5环保设施竣工验收管理</w:t>
      </w:r>
      <w:r>
        <w:rPr>
          <w:color w:val="auto"/>
          <w:sz w:val="24"/>
          <w:szCs w:val="24"/>
        </w:rPr>
        <w:tab/>
      </w:r>
      <w:r>
        <w:rPr>
          <w:color w:val="auto"/>
          <w:sz w:val="24"/>
          <w:szCs w:val="24"/>
        </w:rPr>
        <w:fldChar w:fldCharType="begin"/>
      </w:r>
      <w:r>
        <w:rPr>
          <w:color w:val="auto"/>
          <w:sz w:val="24"/>
          <w:szCs w:val="24"/>
        </w:rPr>
        <w:instrText xml:space="preserve"> PAGEREF _Toc1872 \h </w:instrText>
      </w:r>
      <w:r>
        <w:rPr>
          <w:color w:val="auto"/>
          <w:sz w:val="24"/>
          <w:szCs w:val="24"/>
        </w:rPr>
        <w:fldChar w:fldCharType="separate"/>
      </w:r>
      <w:r>
        <w:rPr>
          <w:color w:val="auto"/>
          <w:sz w:val="24"/>
          <w:szCs w:val="24"/>
        </w:rPr>
        <w:t>250</w:t>
      </w:r>
      <w:r>
        <w:rPr>
          <w:color w:val="auto"/>
          <w:sz w:val="24"/>
          <w:szCs w:val="24"/>
        </w:rPr>
        <w:fldChar w:fldCharType="end"/>
      </w:r>
      <w:r>
        <w:rPr>
          <w:color w:val="auto"/>
          <w:sz w:val="24"/>
          <w:szCs w:val="24"/>
        </w:rPr>
        <w:fldChar w:fldCharType="end"/>
      </w:r>
    </w:p>
    <w:p>
      <w:pPr>
        <w:pStyle w:val="18"/>
        <w:tabs>
          <w:tab w:val="right" w:leader="dot" w:pos="8306"/>
        </w:tabs>
        <w:adjustRightInd w:val="0"/>
        <w:snapToGrid w:val="0"/>
        <w:spacing w:line="360" w:lineRule="auto"/>
        <w:rPr>
          <w:color w:val="auto"/>
          <w:sz w:val="24"/>
          <w:szCs w:val="24"/>
        </w:rPr>
      </w:pPr>
      <w:r>
        <w:rPr>
          <w:color w:val="auto"/>
        </w:rPr>
        <w:fldChar w:fldCharType="begin"/>
      </w:r>
      <w:r>
        <w:rPr>
          <w:color w:val="auto"/>
        </w:rPr>
        <w:instrText xml:space="preserve"> HYPERLINK \l "_Toc5803" </w:instrText>
      </w:r>
      <w:r>
        <w:rPr>
          <w:color w:val="auto"/>
        </w:rPr>
        <w:fldChar w:fldCharType="separate"/>
      </w:r>
      <w:r>
        <w:rPr>
          <w:rFonts w:hint="eastAsia"/>
          <w:color w:val="auto"/>
          <w:sz w:val="24"/>
          <w:szCs w:val="24"/>
        </w:rPr>
        <w:t>10环境影响评价结论</w:t>
      </w:r>
      <w:r>
        <w:rPr>
          <w:color w:val="auto"/>
          <w:sz w:val="24"/>
          <w:szCs w:val="24"/>
        </w:rPr>
        <w:tab/>
      </w:r>
      <w:r>
        <w:rPr>
          <w:color w:val="auto"/>
          <w:sz w:val="24"/>
          <w:szCs w:val="24"/>
        </w:rPr>
        <w:fldChar w:fldCharType="begin"/>
      </w:r>
      <w:r>
        <w:rPr>
          <w:color w:val="auto"/>
          <w:sz w:val="24"/>
          <w:szCs w:val="24"/>
        </w:rPr>
        <w:instrText xml:space="preserve"> PAGEREF _Toc5803 \h </w:instrText>
      </w:r>
      <w:r>
        <w:rPr>
          <w:color w:val="auto"/>
          <w:sz w:val="24"/>
          <w:szCs w:val="24"/>
        </w:rPr>
        <w:fldChar w:fldCharType="separate"/>
      </w:r>
      <w:r>
        <w:rPr>
          <w:color w:val="auto"/>
          <w:sz w:val="24"/>
          <w:szCs w:val="24"/>
        </w:rPr>
        <w:t>254</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"_Toc15590" </w:instrText>
      </w:r>
      <w:r>
        <w:rPr>
          <w:color w:val="auto"/>
        </w:rPr>
        <w:fldChar w:fldCharType="separate"/>
      </w:r>
      <w:r>
        <w:rPr>
          <w:rFonts w:hint="eastAsia"/>
          <w:color w:val="auto"/>
          <w:sz w:val="24"/>
          <w:szCs w:val="24"/>
        </w:rPr>
        <w:t>10.1工程概况</w:t>
      </w:r>
      <w:r>
        <w:rPr>
          <w:color w:val="auto"/>
          <w:sz w:val="24"/>
          <w:szCs w:val="24"/>
        </w:rPr>
        <w:tab/>
      </w:r>
      <w:r>
        <w:rPr>
          <w:color w:val="auto"/>
          <w:sz w:val="24"/>
          <w:szCs w:val="24"/>
        </w:rPr>
        <w:fldChar w:fldCharType="begin"/>
      </w:r>
      <w:r>
        <w:rPr>
          <w:color w:val="auto"/>
          <w:sz w:val="24"/>
          <w:szCs w:val="24"/>
        </w:rPr>
        <w:instrText xml:space="preserve"> PAGEREF _Toc15590 \h </w:instrText>
      </w:r>
      <w:r>
        <w:rPr>
          <w:color w:val="auto"/>
          <w:sz w:val="24"/>
          <w:szCs w:val="24"/>
        </w:rPr>
        <w:fldChar w:fldCharType="separate"/>
      </w:r>
      <w:r>
        <w:rPr>
          <w:color w:val="auto"/>
          <w:sz w:val="24"/>
          <w:szCs w:val="24"/>
        </w:rPr>
        <w:t>254</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"_Toc22721" </w:instrText>
      </w:r>
      <w:r>
        <w:rPr>
          <w:color w:val="auto"/>
        </w:rPr>
        <w:fldChar w:fldCharType="separate"/>
      </w:r>
      <w:r>
        <w:rPr>
          <w:rFonts w:hint="eastAsia"/>
          <w:color w:val="auto"/>
          <w:sz w:val="24"/>
          <w:szCs w:val="24"/>
        </w:rPr>
        <w:t>10.2产业政策符合性结论</w:t>
      </w:r>
      <w:r>
        <w:rPr>
          <w:color w:val="auto"/>
          <w:sz w:val="24"/>
          <w:szCs w:val="24"/>
        </w:rPr>
        <w:tab/>
      </w:r>
      <w:r>
        <w:rPr>
          <w:color w:val="auto"/>
          <w:sz w:val="24"/>
          <w:szCs w:val="24"/>
        </w:rPr>
        <w:fldChar w:fldCharType="begin"/>
      </w:r>
      <w:r>
        <w:rPr>
          <w:color w:val="auto"/>
          <w:sz w:val="24"/>
          <w:szCs w:val="24"/>
        </w:rPr>
        <w:instrText xml:space="preserve"> PAGEREF _Toc22721 \h </w:instrText>
      </w:r>
      <w:r>
        <w:rPr>
          <w:color w:val="auto"/>
          <w:sz w:val="24"/>
          <w:szCs w:val="24"/>
        </w:rPr>
        <w:fldChar w:fldCharType="separate"/>
      </w:r>
      <w:r>
        <w:rPr>
          <w:color w:val="auto"/>
          <w:sz w:val="24"/>
          <w:szCs w:val="24"/>
        </w:rPr>
        <w:t>254</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"_Toc30525" </w:instrText>
      </w:r>
      <w:r>
        <w:rPr>
          <w:color w:val="auto"/>
        </w:rPr>
        <w:fldChar w:fldCharType="separate"/>
      </w:r>
      <w:r>
        <w:rPr>
          <w:rFonts w:hint="eastAsia"/>
          <w:color w:val="auto"/>
          <w:sz w:val="24"/>
          <w:szCs w:val="24"/>
        </w:rPr>
        <w:t>10.3环境现状调查与评价结论</w:t>
      </w:r>
      <w:r>
        <w:rPr>
          <w:color w:val="auto"/>
          <w:sz w:val="24"/>
          <w:szCs w:val="24"/>
        </w:rPr>
        <w:tab/>
      </w:r>
      <w:r>
        <w:rPr>
          <w:color w:val="auto"/>
          <w:sz w:val="24"/>
          <w:szCs w:val="24"/>
        </w:rPr>
        <w:fldChar w:fldCharType="begin"/>
      </w:r>
      <w:r>
        <w:rPr>
          <w:color w:val="auto"/>
          <w:sz w:val="24"/>
          <w:szCs w:val="24"/>
        </w:rPr>
        <w:instrText xml:space="preserve"> PAGEREF _Toc30525 \h </w:instrText>
      </w:r>
      <w:r>
        <w:rPr>
          <w:color w:val="auto"/>
          <w:sz w:val="24"/>
          <w:szCs w:val="24"/>
        </w:rPr>
        <w:fldChar w:fldCharType="separate"/>
      </w:r>
      <w:r>
        <w:rPr>
          <w:color w:val="auto"/>
          <w:sz w:val="24"/>
          <w:szCs w:val="24"/>
        </w:rPr>
        <w:t>255</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"_Toc11408" </w:instrText>
      </w:r>
      <w:r>
        <w:rPr>
          <w:color w:val="auto"/>
        </w:rPr>
        <w:fldChar w:fldCharType="separate"/>
      </w:r>
      <w:r>
        <w:rPr>
          <w:rFonts w:hint="eastAsia"/>
          <w:color w:val="auto"/>
          <w:sz w:val="24"/>
          <w:szCs w:val="24"/>
        </w:rPr>
        <w:t>10.4环境影响预测与评价结论</w:t>
      </w:r>
      <w:r>
        <w:rPr>
          <w:color w:val="auto"/>
          <w:sz w:val="24"/>
          <w:szCs w:val="24"/>
        </w:rPr>
        <w:tab/>
      </w:r>
      <w:r>
        <w:rPr>
          <w:color w:val="auto"/>
          <w:sz w:val="24"/>
          <w:szCs w:val="24"/>
        </w:rPr>
        <w:fldChar w:fldCharType="begin"/>
      </w:r>
      <w:r>
        <w:rPr>
          <w:color w:val="auto"/>
          <w:sz w:val="24"/>
          <w:szCs w:val="24"/>
        </w:rPr>
        <w:instrText xml:space="preserve"> PAGEREF _Toc11408 \h </w:instrText>
      </w:r>
      <w:r>
        <w:rPr>
          <w:color w:val="auto"/>
          <w:sz w:val="24"/>
          <w:szCs w:val="24"/>
        </w:rPr>
        <w:fldChar w:fldCharType="separate"/>
      </w:r>
      <w:r>
        <w:rPr>
          <w:color w:val="auto"/>
          <w:sz w:val="24"/>
          <w:szCs w:val="24"/>
        </w:rPr>
        <w:t>257</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"_Toc20171" </w:instrText>
      </w:r>
      <w:r>
        <w:rPr>
          <w:color w:val="auto"/>
        </w:rPr>
        <w:fldChar w:fldCharType="separate"/>
      </w:r>
      <w:r>
        <w:rPr>
          <w:rFonts w:hint="eastAsia"/>
          <w:color w:val="auto"/>
          <w:sz w:val="24"/>
          <w:szCs w:val="24"/>
        </w:rPr>
        <w:t>10.5环境风险分析结论</w:t>
      </w:r>
      <w:r>
        <w:rPr>
          <w:color w:val="auto"/>
          <w:sz w:val="24"/>
          <w:szCs w:val="24"/>
        </w:rPr>
        <w:tab/>
      </w:r>
      <w:r>
        <w:rPr>
          <w:color w:val="auto"/>
          <w:sz w:val="24"/>
          <w:szCs w:val="24"/>
        </w:rPr>
        <w:fldChar w:fldCharType="begin"/>
      </w:r>
      <w:r>
        <w:rPr>
          <w:color w:val="auto"/>
          <w:sz w:val="24"/>
          <w:szCs w:val="24"/>
        </w:rPr>
        <w:instrText xml:space="preserve"> PAGEREF _Toc20171 \h </w:instrText>
      </w:r>
      <w:r>
        <w:rPr>
          <w:color w:val="auto"/>
          <w:sz w:val="24"/>
          <w:szCs w:val="24"/>
        </w:rPr>
        <w:fldChar w:fldCharType="separate"/>
      </w:r>
      <w:r>
        <w:rPr>
          <w:color w:val="auto"/>
          <w:sz w:val="24"/>
          <w:szCs w:val="24"/>
        </w:rPr>
        <w:t>260</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"_Toc15242" </w:instrText>
      </w:r>
      <w:r>
        <w:rPr>
          <w:color w:val="auto"/>
        </w:rPr>
        <w:fldChar w:fldCharType="separate"/>
      </w:r>
      <w:r>
        <w:rPr>
          <w:rFonts w:hint="eastAsia"/>
          <w:color w:val="auto"/>
          <w:sz w:val="24"/>
          <w:szCs w:val="24"/>
        </w:rPr>
        <w:t>10.6清洁生产及总量指标结论</w:t>
      </w:r>
      <w:r>
        <w:rPr>
          <w:color w:val="auto"/>
          <w:sz w:val="24"/>
          <w:szCs w:val="24"/>
        </w:rPr>
        <w:tab/>
      </w:r>
      <w:r>
        <w:rPr>
          <w:color w:val="auto"/>
          <w:sz w:val="24"/>
          <w:szCs w:val="24"/>
        </w:rPr>
        <w:fldChar w:fldCharType="begin"/>
      </w:r>
      <w:r>
        <w:rPr>
          <w:color w:val="auto"/>
          <w:sz w:val="24"/>
          <w:szCs w:val="24"/>
        </w:rPr>
        <w:instrText xml:space="preserve"> PAGEREF _Toc15242 \h </w:instrText>
      </w:r>
      <w:r>
        <w:rPr>
          <w:color w:val="auto"/>
          <w:sz w:val="24"/>
          <w:szCs w:val="24"/>
        </w:rPr>
        <w:fldChar w:fldCharType="separate"/>
      </w:r>
      <w:r>
        <w:rPr>
          <w:color w:val="auto"/>
          <w:sz w:val="24"/>
          <w:szCs w:val="24"/>
        </w:rPr>
        <w:t>260</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"_Toc3240" </w:instrText>
      </w:r>
      <w:r>
        <w:rPr>
          <w:color w:val="auto"/>
        </w:rPr>
        <w:fldChar w:fldCharType="separate"/>
      </w:r>
      <w:r>
        <w:rPr>
          <w:rFonts w:hint="eastAsia"/>
          <w:color w:val="auto"/>
          <w:sz w:val="24"/>
          <w:szCs w:val="24"/>
        </w:rPr>
        <w:t>10.7公众参与结论</w:t>
      </w:r>
      <w:r>
        <w:rPr>
          <w:color w:val="auto"/>
          <w:sz w:val="24"/>
          <w:szCs w:val="24"/>
        </w:rPr>
        <w:tab/>
      </w:r>
      <w:r>
        <w:rPr>
          <w:color w:val="auto"/>
          <w:sz w:val="24"/>
          <w:szCs w:val="24"/>
        </w:rPr>
        <w:fldChar w:fldCharType="begin"/>
      </w:r>
      <w:r>
        <w:rPr>
          <w:color w:val="auto"/>
          <w:sz w:val="24"/>
          <w:szCs w:val="24"/>
        </w:rPr>
        <w:instrText xml:space="preserve"> PAGEREF _Toc3240 \h </w:instrText>
      </w:r>
      <w:r>
        <w:rPr>
          <w:color w:val="auto"/>
          <w:sz w:val="24"/>
          <w:szCs w:val="24"/>
        </w:rPr>
        <w:fldChar w:fldCharType="separate"/>
      </w:r>
      <w:r>
        <w:rPr>
          <w:color w:val="auto"/>
          <w:sz w:val="24"/>
          <w:szCs w:val="24"/>
        </w:rPr>
        <w:t>260</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sz w:val="24"/>
          <w:szCs w:val="24"/>
        </w:rPr>
      </w:pPr>
      <w:r>
        <w:rPr>
          <w:color w:val="auto"/>
        </w:rPr>
        <w:fldChar w:fldCharType="begin"/>
      </w:r>
      <w:r>
        <w:rPr>
          <w:color w:val="auto"/>
        </w:rPr>
        <w:instrText xml:space="preserve"> HYPERLINK \l "_Toc23913" </w:instrText>
      </w:r>
      <w:r>
        <w:rPr>
          <w:color w:val="auto"/>
        </w:rPr>
        <w:fldChar w:fldCharType="separate"/>
      </w:r>
      <w:r>
        <w:rPr>
          <w:rFonts w:hint="eastAsia"/>
          <w:color w:val="auto"/>
          <w:sz w:val="24"/>
          <w:szCs w:val="24"/>
        </w:rPr>
        <w:t>10.8结论</w:t>
      </w:r>
      <w:r>
        <w:rPr>
          <w:color w:val="auto"/>
          <w:sz w:val="24"/>
          <w:szCs w:val="24"/>
        </w:rPr>
        <w:tab/>
      </w:r>
      <w:r>
        <w:rPr>
          <w:color w:val="auto"/>
          <w:sz w:val="24"/>
          <w:szCs w:val="24"/>
        </w:rPr>
        <w:fldChar w:fldCharType="begin"/>
      </w:r>
      <w:r>
        <w:rPr>
          <w:color w:val="auto"/>
          <w:sz w:val="24"/>
          <w:szCs w:val="24"/>
        </w:rPr>
        <w:instrText xml:space="preserve"> PAGEREF _Toc23913 \h </w:instrText>
      </w:r>
      <w:r>
        <w:rPr>
          <w:color w:val="auto"/>
          <w:sz w:val="24"/>
          <w:szCs w:val="24"/>
        </w:rPr>
        <w:fldChar w:fldCharType="separate"/>
      </w:r>
      <w:r>
        <w:rPr>
          <w:color w:val="auto"/>
          <w:sz w:val="24"/>
          <w:szCs w:val="24"/>
        </w:rPr>
        <w:t>261</w:t>
      </w:r>
      <w:r>
        <w:rPr>
          <w:color w:val="auto"/>
          <w:sz w:val="24"/>
          <w:szCs w:val="24"/>
        </w:rPr>
        <w:fldChar w:fldCharType="end"/>
      </w:r>
      <w:r>
        <w:rPr>
          <w:color w:val="auto"/>
          <w:sz w:val="24"/>
          <w:szCs w:val="24"/>
        </w:rPr>
        <w:fldChar w:fldCharType="end"/>
      </w:r>
    </w:p>
    <w:p>
      <w:pPr>
        <w:pStyle w:val="22"/>
        <w:tabs>
          <w:tab w:val="right" w:leader="dot" w:pos="8306"/>
        </w:tabs>
        <w:adjustRightInd w:val="0"/>
        <w:snapToGrid w:val="0"/>
        <w:spacing w:line="360" w:lineRule="auto"/>
        <w:ind w:left="400"/>
        <w:rPr>
          <w:color w:val="auto"/>
        </w:rPr>
      </w:pPr>
      <w:r>
        <w:rPr>
          <w:color w:val="auto"/>
        </w:rPr>
        <w:fldChar w:fldCharType="begin"/>
      </w:r>
      <w:r>
        <w:rPr>
          <w:color w:val="auto"/>
        </w:rPr>
        <w:instrText xml:space="preserve"> HYPERLINK \l "_Toc16458" </w:instrText>
      </w:r>
      <w:r>
        <w:rPr>
          <w:color w:val="auto"/>
        </w:rPr>
        <w:fldChar w:fldCharType="separate"/>
      </w:r>
      <w:r>
        <w:rPr>
          <w:rFonts w:hint="eastAsia"/>
          <w:color w:val="auto"/>
          <w:sz w:val="24"/>
          <w:szCs w:val="24"/>
        </w:rPr>
        <w:t>10.9建议</w:t>
      </w:r>
      <w:r>
        <w:rPr>
          <w:color w:val="auto"/>
          <w:sz w:val="24"/>
          <w:szCs w:val="24"/>
        </w:rPr>
        <w:tab/>
      </w:r>
      <w:r>
        <w:rPr>
          <w:color w:val="auto"/>
          <w:sz w:val="24"/>
          <w:szCs w:val="24"/>
        </w:rPr>
        <w:fldChar w:fldCharType="begin"/>
      </w:r>
      <w:r>
        <w:rPr>
          <w:color w:val="auto"/>
          <w:sz w:val="24"/>
          <w:szCs w:val="24"/>
        </w:rPr>
        <w:instrText xml:space="preserve"> PAGEREF _Toc16458 \h </w:instrText>
      </w:r>
      <w:r>
        <w:rPr>
          <w:color w:val="auto"/>
          <w:sz w:val="24"/>
          <w:szCs w:val="24"/>
        </w:rPr>
        <w:fldChar w:fldCharType="separate"/>
      </w:r>
      <w:r>
        <w:rPr>
          <w:color w:val="auto"/>
          <w:sz w:val="24"/>
          <w:szCs w:val="24"/>
        </w:rPr>
        <w:t>261</w:t>
      </w:r>
      <w:r>
        <w:rPr>
          <w:color w:val="auto"/>
          <w:sz w:val="24"/>
          <w:szCs w:val="24"/>
        </w:rPr>
        <w:fldChar w:fldCharType="end"/>
      </w:r>
      <w:r>
        <w:rPr>
          <w:color w:val="auto"/>
          <w:sz w:val="24"/>
          <w:szCs w:val="24"/>
        </w:rPr>
        <w:fldChar w:fldCharType="end"/>
      </w:r>
    </w:p>
    <w:p>
      <w:pPr>
        <w:adjustRightInd w:val="0"/>
        <w:snapToGrid w:val="0"/>
        <w:spacing w:line="360" w:lineRule="auto"/>
        <w:jc w:val="center"/>
        <w:rPr>
          <w:b/>
          <w:color w:val="auto"/>
          <w:sz w:val="32"/>
          <w:szCs w:val="32"/>
        </w:rPr>
        <w:sectPr>
          <w:pgSz w:w="11906" w:h="16838"/>
          <w:pgMar w:top="1440" w:right="1800" w:bottom="1440" w:left="1800" w:header="851" w:footer="992" w:gutter="0"/>
          <w:cols w:space="425" w:num="1"/>
          <w:titlePg/>
          <w:docGrid w:type="lines" w:linePitch="312" w:charSpace="0"/>
        </w:sectPr>
      </w:pPr>
      <w:r>
        <w:rPr>
          <w:color w:val="auto"/>
          <w:szCs w:val="24"/>
        </w:rPr>
        <w:fldChar w:fldCharType="end"/>
      </w:r>
    </w:p>
    <w:p>
      <w:pPr>
        <w:jc w:val="center"/>
        <w:rPr>
          <w:b/>
          <w:color w:val="auto"/>
          <w:sz w:val="32"/>
          <w:szCs w:val="32"/>
        </w:rPr>
      </w:pPr>
      <w:r>
        <w:rPr>
          <w:rFonts w:hint="eastAsia"/>
          <w:b/>
          <w:color w:val="auto"/>
          <w:sz w:val="32"/>
          <w:szCs w:val="32"/>
        </w:rPr>
        <w:t>附件附图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b/>
          <w:color w:val="auto"/>
          <w:sz w:val="28"/>
          <w:szCs w:val="28"/>
        </w:rPr>
      </w:pPr>
      <w:r>
        <w:rPr>
          <w:rFonts w:hint="eastAsia"/>
          <w:b/>
          <w:color w:val="auto"/>
          <w:sz w:val="28"/>
          <w:szCs w:val="28"/>
        </w:rPr>
        <w:t>附图：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附图1  项目地理位置示意图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附图2  项目周围环境示意图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 xml:space="preserve">附图3 </w:t>
      </w:r>
      <w:r>
        <w:rPr>
          <w:rFonts w:hint="eastAsia"/>
          <w:color w:val="auto"/>
          <w:sz w:val="24"/>
          <w:szCs w:val="24"/>
          <w:lang w:val="en-US" w:eastAsia="zh-CN"/>
        </w:rPr>
        <w:t xml:space="preserve"> </w:t>
      </w:r>
      <w:r>
        <w:rPr>
          <w:rFonts w:hint="eastAsia"/>
          <w:color w:val="auto"/>
          <w:sz w:val="24"/>
          <w:szCs w:val="24"/>
        </w:rPr>
        <w:t>项目纳污范围图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附图4  项目水力高程图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附图5  项目总平面布置图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附图6  项目土地使用规划图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附图7  敏感点分布图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附图8  项目分区防渗图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附图9  项目收集和排放管网布置图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附图10 中水回用池布置图及回用水管网布置图</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b/>
          <w:color w:val="auto"/>
          <w:sz w:val="28"/>
          <w:szCs w:val="28"/>
        </w:rPr>
      </w:pPr>
      <w:r>
        <w:rPr>
          <w:rFonts w:hint="eastAsia"/>
          <w:b/>
          <w:color w:val="auto"/>
          <w:sz w:val="28"/>
          <w:szCs w:val="28"/>
        </w:rPr>
        <w:t>附件：</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附件1  委托书</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附件2  事业单位法人证书</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附件3  关于五华县河东绿色生态工业小镇水质净化厂一期工程（油新水质净化厂）项目房屋拆迁与安置方案</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附件4  环境质量现状监测报告</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rFonts w:hint="eastAsia"/>
          <w:color w:val="auto"/>
          <w:sz w:val="24"/>
          <w:szCs w:val="24"/>
        </w:rPr>
      </w:pPr>
      <w:r>
        <w:rPr>
          <w:rFonts w:hint="eastAsia"/>
          <w:color w:val="auto"/>
          <w:sz w:val="24"/>
          <w:szCs w:val="24"/>
        </w:rPr>
        <w:t>附件5  梅州市地表水水口英勤断面监测数据</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rFonts w:hint="eastAsia"/>
          <w:color w:val="auto"/>
          <w:sz w:val="24"/>
          <w:szCs w:val="24"/>
          <w:lang w:val="en-US" w:eastAsia="zh-CN"/>
        </w:rPr>
      </w:pPr>
      <w:bookmarkStart w:id="219" w:name="_GoBack"/>
      <w:r>
        <w:rPr>
          <w:rFonts w:hint="eastAsia"/>
          <w:color w:val="auto"/>
          <w:sz w:val="24"/>
          <w:szCs w:val="24"/>
          <w:lang w:eastAsia="zh-CN"/>
        </w:rPr>
        <w:t>附件</w:t>
      </w:r>
      <w:r>
        <w:rPr>
          <w:rFonts w:hint="eastAsia"/>
          <w:color w:val="auto"/>
          <w:sz w:val="24"/>
          <w:szCs w:val="24"/>
          <w:lang w:val="en-US" w:eastAsia="zh-CN"/>
        </w:rPr>
        <w:t>6  专家评审意见</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rFonts w:hint="eastAsia"/>
          <w:color w:val="auto"/>
          <w:sz w:val="24"/>
          <w:szCs w:val="24"/>
          <w:lang w:val="en-US" w:eastAsia="zh-CN"/>
        </w:rPr>
      </w:pPr>
      <w:r>
        <w:rPr>
          <w:rFonts w:hint="eastAsia"/>
          <w:color w:val="auto"/>
          <w:sz w:val="24"/>
          <w:szCs w:val="24"/>
          <w:lang w:val="en-US" w:eastAsia="zh-CN"/>
        </w:rPr>
        <w:t>附件7  专家评审意见修改清单索引表</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rFonts w:hint="eastAsia"/>
          <w:color w:val="auto"/>
          <w:sz w:val="24"/>
          <w:szCs w:val="24"/>
          <w:lang w:val="en-US" w:eastAsia="zh-CN"/>
        </w:rPr>
      </w:pPr>
      <w:r>
        <w:rPr>
          <w:rFonts w:hint="eastAsia"/>
          <w:color w:val="auto"/>
          <w:sz w:val="24"/>
          <w:szCs w:val="24"/>
          <w:lang w:val="en-US" w:eastAsia="zh-CN"/>
        </w:rPr>
        <w:t>附件8  专家复核意见修改清单索引表</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lang w:val="en-US" w:eastAsia="zh-CN"/>
        </w:rPr>
        <w:t>附件9  评审复核意见修改清单索引表</w:t>
      </w:r>
    </w:p>
    <w:bookmarkEnd w:id="219"/>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b/>
          <w:color w:val="auto"/>
          <w:sz w:val="28"/>
          <w:szCs w:val="28"/>
        </w:rPr>
      </w:pPr>
      <w:r>
        <w:rPr>
          <w:rFonts w:hint="eastAsia"/>
          <w:b/>
          <w:color w:val="auto"/>
          <w:sz w:val="28"/>
          <w:szCs w:val="28"/>
        </w:rPr>
        <w:t>附表：</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附表1  大气环境影响评价自查表</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附表2  地表水环境影响评价自查表</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附表3  土壤环境影响评价自查表</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附表4  环境风险影响评价自查表</w:t>
      </w:r>
    </w:p>
    <w:p>
      <w:pPr>
        <w:keepNext w:val="0"/>
        <w:keepLines w:val="0"/>
        <w:pageBreakBefore w:val="0"/>
        <w:widowControl w:val="0"/>
        <w:kinsoku/>
        <w:wordWrap/>
        <w:overflowPunct/>
        <w:topLinePunct w:val="0"/>
        <w:autoSpaceDE/>
        <w:autoSpaceDN/>
        <w:bidi w:val="0"/>
        <w:adjustRightInd w:val="0"/>
        <w:snapToGrid w:val="0"/>
        <w:spacing w:line="300" w:lineRule="auto"/>
        <w:ind w:left="-100" w:leftChars="-50" w:right="-100" w:rightChars="-50"/>
        <w:jc w:val="left"/>
        <w:textAlignment w:val="auto"/>
        <w:rPr>
          <w:color w:val="auto"/>
          <w:sz w:val="24"/>
          <w:szCs w:val="24"/>
        </w:rPr>
      </w:pPr>
      <w:r>
        <w:rPr>
          <w:rFonts w:hint="eastAsia"/>
          <w:color w:val="auto"/>
          <w:sz w:val="24"/>
          <w:szCs w:val="24"/>
        </w:rPr>
        <w:t>附表5  建设项目环评审批基础信息表</w:t>
      </w:r>
    </w:p>
    <w:p>
      <w:pPr>
        <w:rPr>
          <w:b/>
          <w:color w:val="auto"/>
          <w:sz w:val="32"/>
          <w:szCs w:val="32"/>
        </w:rPr>
      </w:pPr>
    </w:p>
    <w:p>
      <w:pPr>
        <w:rPr>
          <w:b/>
          <w:color w:val="auto"/>
          <w:sz w:val="32"/>
          <w:szCs w:val="32"/>
        </w:rPr>
        <w:sectPr>
          <w:pgSz w:w="11906" w:h="16838"/>
          <w:pgMar w:top="1440" w:right="1800" w:bottom="1440" w:left="1800" w:header="851" w:footer="992" w:gutter="0"/>
          <w:cols w:space="425" w:num="1"/>
          <w:docGrid w:type="lines" w:linePitch="312" w:charSpace="0"/>
        </w:sectPr>
      </w:pPr>
    </w:p>
    <w:p>
      <w:pPr>
        <w:pStyle w:val="2"/>
        <w:rPr>
          <w:color w:val="auto"/>
        </w:rPr>
      </w:pPr>
      <w:bookmarkStart w:id="0" w:name="_Toc24066"/>
      <w:bookmarkStart w:id="1" w:name="_Toc26276752"/>
      <w:r>
        <w:rPr>
          <w:rFonts w:hint="eastAsia"/>
          <w:color w:val="auto"/>
        </w:rPr>
        <w:t>1概述</w:t>
      </w:r>
      <w:bookmarkEnd w:id="0"/>
      <w:bookmarkEnd w:id="1"/>
    </w:p>
    <w:p>
      <w:pPr>
        <w:pStyle w:val="3"/>
        <w:rPr>
          <w:color w:val="auto"/>
        </w:rPr>
      </w:pPr>
      <w:bookmarkStart w:id="2" w:name="_Toc26276753"/>
      <w:bookmarkStart w:id="3" w:name="_Toc22151"/>
      <w:r>
        <w:rPr>
          <w:rFonts w:hint="eastAsia"/>
          <w:color w:val="auto"/>
        </w:rPr>
        <w:t>1.1项目由来</w:t>
      </w:r>
      <w:bookmarkEnd w:id="2"/>
      <w:bookmarkEnd w:id="3"/>
    </w:p>
    <w:p>
      <w:pPr>
        <w:spacing w:line="360" w:lineRule="auto"/>
        <w:ind w:firstLine="480" w:firstLineChars="200"/>
        <w:rPr>
          <w:color w:val="auto"/>
          <w:sz w:val="24"/>
          <w:szCs w:val="24"/>
        </w:rPr>
      </w:pPr>
      <w:r>
        <w:rPr>
          <w:rFonts w:hint="eastAsia"/>
          <w:color w:val="auto"/>
          <w:sz w:val="24"/>
          <w:szCs w:val="24"/>
        </w:rPr>
        <w:t>2015年4月16日，国务院发布《水污染防治行动计划》，简称“水十条”，制定了明确的工作目标：到2020年，全国水环境质量得到阶段性改善，污染严重水体较大幅度减少，饮用水安全保障水平持续提升，地下水超采得到严格控制，地下水污染加剧趋势得到初步遏制，近岸海域环境质量稳中趋好，京津冀、长三角、珠三角等区域水生态环境状况有所好转。到2030年，力争全国水环境质量总体改善，水生态系统功能初步恢复。到本世纪中叶，生态环境质量全面改善，生态系统实现良性循环。</w:t>
      </w:r>
    </w:p>
    <w:p>
      <w:pPr>
        <w:spacing w:line="360" w:lineRule="auto"/>
        <w:ind w:firstLine="480" w:firstLineChars="200"/>
        <w:rPr>
          <w:color w:val="auto"/>
          <w:sz w:val="24"/>
          <w:szCs w:val="24"/>
        </w:rPr>
      </w:pPr>
      <w:r>
        <w:rPr>
          <w:rFonts w:hint="eastAsia"/>
          <w:color w:val="auto"/>
          <w:sz w:val="24"/>
          <w:szCs w:val="24"/>
        </w:rPr>
        <w:t>广东省人民政府发布《广东省水污染防治行动计划实施方案》，要求全面落实《水十条》的各项要求，突出“岭南水乡”特色，强化源头控制，水陆统筹、河海兼顾，对水环境实施分流域、分区域、分阶段科学治理，系统推进水污染防治、水生态保护和水资源管理。坚持政府市场协同，注重改革创新；坚持全面依法推进，实行最严格环保制度；坚持落实各方责任，严格考核问责；坚持全民参与，推动节水洁水人人有责，形成“政府统领、企业施治、市场驱动、公众参与”的水污染防治新机制，实现环境效益、经济效益与社会效益多赢，努力建设绿色生态美丽家园。</w:t>
      </w:r>
    </w:p>
    <w:p>
      <w:pPr>
        <w:spacing w:line="360" w:lineRule="auto"/>
        <w:ind w:firstLine="480" w:firstLineChars="200"/>
        <w:rPr>
          <w:color w:val="auto"/>
          <w:sz w:val="24"/>
          <w:szCs w:val="24"/>
        </w:rPr>
      </w:pPr>
      <w:r>
        <w:rPr>
          <w:rFonts w:hint="eastAsia"/>
          <w:color w:val="auto"/>
          <w:sz w:val="24"/>
          <w:szCs w:val="24"/>
        </w:rPr>
        <w:t>为全面贯彻“水十条”，响应《广东省水污染防治行动计划实施方案》，实现五华河东绿色生态工业小镇的可持续发展，广东五华经济开发区管理委员会（广州番禺（五华）产业转移工业园管理委员会）拟投资5202.73万元，建设五华河东绿色生态工业小镇油新水质净化厂一期工程建设项目（以下简称“本项目”）。 油新水质净化厂选址于畲华高速的东侧、油新公园的西南侧，分两期建设：一期（近期）设计处理规模0.8万m</w:t>
      </w:r>
      <w:r>
        <w:rPr>
          <w:rFonts w:hint="eastAsia"/>
          <w:color w:val="auto"/>
          <w:sz w:val="24"/>
          <w:szCs w:val="24"/>
          <w:vertAlign w:val="superscript"/>
        </w:rPr>
        <w:t>3</w:t>
      </w:r>
      <w:r>
        <w:rPr>
          <w:rFonts w:hint="eastAsia"/>
          <w:color w:val="auto"/>
          <w:sz w:val="24"/>
          <w:szCs w:val="24"/>
        </w:rPr>
        <w:t>/d，二期（远期）设计处理规模为2.0万m</w:t>
      </w:r>
      <w:r>
        <w:rPr>
          <w:rFonts w:hint="eastAsia"/>
          <w:color w:val="auto"/>
          <w:sz w:val="24"/>
          <w:szCs w:val="24"/>
          <w:vertAlign w:val="superscript"/>
        </w:rPr>
        <w:t>3</w:t>
      </w:r>
      <w:r>
        <w:rPr>
          <w:rFonts w:hint="eastAsia"/>
          <w:color w:val="auto"/>
          <w:sz w:val="24"/>
          <w:szCs w:val="24"/>
        </w:rPr>
        <w:t>/d。本报告仅针对一期（0.8万m</w:t>
      </w:r>
      <w:r>
        <w:rPr>
          <w:rFonts w:hint="eastAsia"/>
          <w:color w:val="auto"/>
          <w:sz w:val="24"/>
          <w:szCs w:val="24"/>
          <w:vertAlign w:val="superscript"/>
        </w:rPr>
        <w:t>3</w:t>
      </w:r>
      <w:r>
        <w:rPr>
          <w:rFonts w:hint="eastAsia"/>
          <w:color w:val="auto"/>
          <w:sz w:val="24"/>
          <w:szCs w:val="24"/>
        </w:rPr>
        <w:t>/d处理规模）建设内容进行评价，二期建设需另行环评，不纳入本次评价。</w:t>
      </w:r>
    </w:p>
    <w:p>
      <w:pPr>
        <w:spacing w:line="360" w:lineRule="auto"/>
        <w:ind w:firstLine="480" w:firstLineChars="200"/>
        <w:rPr>
          <w:color w:val="auto"/>
          <w:sz w:val="24"/>
          <w:szCs w:val="24"/>
        </w:rPr>
      </w:pPr>
      <w:r>
        <w:rPr>
          <w:rFonts w:hint="eastAsia"/>
          <w:color w:val="auto"/>
          <w:sz w:val="24"/>
          <w:szCs w:val="24"/>
        </w:rPr>
        <w:t>根据《中华人民共和国环境保护法》（2015年1月1日起施行）、《中华人民共和国环境影响评价法（2018修正版）》及《建设项目环境保护管理条例》（国务院令第682号,2017年修订）等法律法规的要求，本项目应进行环境影响评价。根据《建设项目环境影响评价分类管理名录》（</w:t>
      </w:r>
      <w:r>
        <w:rPr>
          <w:color w:val="auto"/>
          <w:sz w:val="24"/>
          <w:szCs w:val="24"/>
        </w:rPr>
        <w:t>20</w:t>
      </w:r>
      <w:r>
        <w:rPr>
          <w:rFonts w:hint="eastAsia"/>
          <w:color w:val="auto"/>
          <w:sz w:val="24"/>
          <w:szCs w:val="24"/>
        </w:rPr>
        <w:t>21</w:t>
      </w:r>
      <w:r>
        <w:rPr>
          <w:color w:val="auto"/>
          <w:sz w:val="24"/>
          <w:szCs w:val="24"/>
        </w:rPr>
        <w:t xml:space="preserve"> </w:t>
      </w:r>
      <w:r>
        <w:rPr>
          <w:rFonts w:hint="eastAsia"/>
          <w:color w:val="auto"/>
          <w:sz w:val="24"/>
          <w:szCs w:val="24"/>
        </w:rPr>
        <w:t>年版），本项目属“四十三、水的生产和供应业95污水处理及其再生利用”中“新建、扩建日处理10万吨及以上城乡污水处理的；新建、扩建工业废水集中处理的”，因此应编制环境影响报告书。为此，广东五华经济开发区管理委员会（广州番禺（五华）产业转移工业园管理委员会）委托我司承担本项目环境影响评价工作。接受委托后，环评单位立即组织技术人员进行现场调查及资料收集，在完成工程初步分析和环境影响识别的基础上，按照有关法律法规和“环评技术导则”等技术规范要求，编制完成《五华河东绿色生态工业小镇油新水质净化厂一期工程建设项目环境影响报告书》，现上报审批。</w:t>
      </w:r>
    </w:p>
    <w:p>
      <w:pPr>
        <w:pStyle w:val="3"/>
        <w:rPr>
          <w:color w:val="auto"/>
        </w:rPr>
      </w:pPr>
      <w:bookmarkStart w:id="4" w:name="_Toc27111"/>
      <w:bookmarkStart w:id="5" w:name="_Toc26276754"/>
      <w:r>
        <w:rPr>
          <w:rFonts w:hint="eastAsia"/>
          <w:color w:val="auto"/>
        </w:rPr>
        <w:t>1.2建设项目的特点</w:t>
      </w:r>
      <w:bookmarkEnd w:id="4"/>
      <w:bookmarkEnd w:id="5"/>
    </w:p>
    <w:p>
      <w:pPr>
        <w:spacing w:line="360" w:lineRule="auto"/>
        <w:ind w:firstLine="480" w:firstLineChars="200"/>
        <w:rPr>
          <w:color w:val="auto"/>
          <w:sz w:val="24"/>
          <w:szCs w:val="24"/>
        </w:rPr>
      </w:pPr>
      <w:r>
        <w:rPr>
          <w:rFonts w:hint="eastAsia"/>
          <w:color w:val="auto"/>
          <w:sz w:val="24"/>
          <w:szCs w:val="24"/>
        </w:rPr>
        <w:t>本项目位于梅州市五华县河东镇，选址于畲华高速的东侧、油新公园的西南侧，主要包括水质净化厂及配套管网工程的建设。油新水质净化厂一期工程设计处理能力为0.8万m</w:t>
      </w:r>
      <w:r>
        <w:rPr>
          <w:rFonts w:hint="eastAsia"/>
          <w:color w:val="auto"/>
          <w:sz w:val="24"/>
          <w:szCs w:val="24"/>
          <w:vertAlign w:val="superscript"/>
        </w:rPr>
        <w:t>3</w:t>
      </w:r>
      <w:r>
        <w:rPr>
          <w:rFonts w:hint="eastAsia"/>
          <w:color w:val="auto"/>
          <w:sz w:val="24"/>
          <w:szCs w:val="24"/>
        </w:rPr>
        <w:t>/d，拟采用 “曝气沉砂池+应急沉淀池+倒置AAO+曝气生物滤池+高效沉淀池+转盘滤池+消毒接触池”工艺，收集和处理五华河东绿色生态工业小镇南区的大部分污水（包括生活污水和工业废水）及五华河东绿色生态工业小镇南区东边村庄的生活污水。项目管网的建设主要包括五华河东绿色生态工业小镇南区的总污水进厂管网、尾水回用管网及尾水排放管网，五华河东绿色生态工业小镇南区及其东边村庄的生活污水仅预留污水接口，不进行配套管网的建设。项目建成后，出水达到《地表水环境质量标准》（GB3838-2002）准Ⅳ类标准（即SS、粪大肠菌群数达到《城镇污水处理厂污染物排放标准》（GB18918-2002）中的一级A出水标准，其它主要污染指标达到地表水Ⅳ类标准，TN放宽至10mg/L），部分回用于水质净化厂自用、园区内城市绿化、道路清扫和冲厕（回用率达到30%以上），其余通过尾水排放管道引至大嵩河排放。</w:t>
      </w:r>
    </w:p>
    <w:p>
      <w:pPr>
        <w:pStyle w:val="3"/>
        <w:rPr>
          <w:color w:val="auto"/>
        </w:rPr>
      </w:pPr>
      <w:bookmarkStart w:id="6" w:name="_Toc26276755"/>
      <w:bookmarkStart w:id="7" w:name="_Toc8877"/>
      <w:r>
        <w:rPr>
          <w:rFonts w:hint="eastAsia"/>
          <w:color w:val="auto"/>
        </w:rPr>
        <w:t>1.3环境影响评价的工作过程</w:t>
      </w:r>
      <w:bookmarkEnd w:id="6"/>
      <w:bookmarkEnd w:id="7"/>
    </w:p>
    <w:p>
      <w:pPr>
        <w:spacing w:line="360" w:lineRule="auto"/>
        <w:ind w:firstLine="480" w:firstLineChars="200"/>
        <w:rPr>
          <w:color w:val="auto"/>
          <w:sz w:val="24"/>
          <w:szCs w:val="24"/>
        </w:rPr>
      </w:pPr>
      <w:r>
        <w:rPr>
          <w:rFonts w:hint="eastAsia"/>
          <w:color w:val="auto"/>
          <w:sz w:val="24"/>
          <w:szCs w:val="24"/>
        </w:rPr>
        <w:t>本项目环境影响评价工作程序按照《建设项目环境影响评价技术导则 总纲》（HJ2.1-2016）要求，将工作程序划分为前期准备、调研和工作方案阶段，分析论证和预测评价阶段以及环境影响评价文件编制阶段。</w:t>
      </w:r>
    </w:p>
    <w:p>
      <w:pPr>
        <w:spacing w:line="360" w:lineRule="auto"/>
        <w:ind w:firstLine="480" w:firstLineChars="200"/>
        <w:rPr>
          <w:color w:val="auto"/>
          <w:sz w:val="24"/>
          <w:szCs w:val="24"/>
        </w:rPr>
      </w:pPr>
      <w:r>
        <w:rPr>
          <w:rFonts w:hint="eastAsia"/>
          <w:color w:val="auto"/>
          <w:sz w:val="24"/>
          <w:szCs w:val="24"/>
        </w:rPr>
        <w:t>前期准备、调研和工作方案阶段（第一阶段）：根据相关文件确定环境影响评价文件类型；根据项目技术资料进行初步工程分析，对工程区及受纳水体环境状况开展初步调查，重点是工程涉及河段（大嵩河）周围环境现状调查；对环境影响因素进行识别，对环境评价因子进行筛选；按照《建设项目环境保护管理条例》（国务院令第682号,2017年修订）等有关法律法规和技术标准要求，拟定评价工作计划、工作内容和工作方法，初步确定主要评价内容、评价重点、环境保护目标和评价标准，识别公众所关心的本工程实施的主要环境问题；开展本工程环境影响评价第一次公示工作。</w:t>
      </w:r>
    </w:p>
    <w:p>
      <w:pPr>
        <w:spacing w:line="360" w:lineRule="auto"/>
        <w:ind w:firstLine="480" w:firstLineChars="200"/>
        <w:rPr>
          <w:color w:val="auto"/>
          <w:sz w:val="24"/>
          <w:szCs w:val="24"/>
        </w:rPr>
      </w:pPr>
      <w:r>
        <w:rPr>
          <w:rFonts w:hint="eastAsia"/>
          <w:color w:val="auto"/>
          <w:sz w:val="24"/>
          <w:szCs w:val="24"/>
        </w:rPr>
        <w:t>分析论证和预测评价阶段（第二阶段）：通过对现有资料情况复核，重新对本工程外环境状况进行调查及资料收集，补充了监测工作，在此基础上进行工程地区环境现状评价、工程分析、工程建设和运行对工程地区环境影响的预测评价。</w:t>
      </w:r>
    </w:p>
    <w:p>
      <w:pPr>
        <w:spacing w:line="360" w:lineRule="auto"/>
        <w:ind w:firstLine="480" w:firstLineChars="200"/>
        <w:rPr>
          <w:color w:val="auto"/>
          <w:sz w:val="24"/>
          <w:szCs w:val="24"/>
        </w:rPr>
      </w:pPr>
      <w:r>
        <w:rPr>
          <w:rFonts w:hint="eastAsia"/>
          <w:color w:val="auto"/>
          <w:sz w:val="24"/>
          <w:szCs w:val="24"/>
        </w:rPr>
        <w:t>环境影响评价报告书编制阶段（第三阶段）：分析第二阶段工作所得各种资料、数据，提出本工程环境保护措施以及环境监测、管理、环境保护投资概算，给出本工程环境可行性的评价结论，并完成环境影响报告书编写。</w:t>
      </w:r>
    </w:p>
    <w:p>
      <w:pPr>
        <w:spacing w:line="360" w:lineRule="auto"/>
        <w:ind w:firstLine="480" w:firstLineChars="200"/>
        <w:rPr>
          <w:color w:val="auto"/>
          <w:sz w:val="24"/>
          <w:szCs w:val="24"/>
        </w:rPr>
      </w:pPr>
      <w:r>
        <w:rPr>
          <w:rFonts w:hint="eastAsia"/>
          <w:color w:val="auto"/>
          <w:sz w:val="24"/>
          <w:szCs w:val="24"/>
        </w:rPr>
        <w:t>本项目环境影响评价工作程序见下图。</w:t>
      </w:r>
    </w:p>
    <w:p>
      <w:pPr>
        <w:spacing w:line="360" w:lineRule="auto"/>
        <w:jc w:val="center"/>
        <w:rPr>
          <w:color w:val="auto"/>
          <w:sz w:val="24"/>
          <w:szCs w:val="24"/>
        </w:rPr>
      </w:pPr>
      <w:r>
        <w:rPr>
          <w:rFonts w:hint="eastAsia"/>
          <w:color w:val="auto"/>
          <w:sz w:val="24"/>
          <w:szCs w:val="24"/>
        </w:rPr>
        <w:drawing>
          <wp:inline distT="0" distB="0" distL="0" distR="0">
            <wp:extent cx="5148580" cy="493204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cstate="print"/>
                    <a:srcRect/>
                    <a:stretch>
                      <a:fillRect/>
                    </a:stretch>
                  </pic:blipFill>
                  <pic:spPr>
                    <a:xfrm>
                      <a:off x="0" y="0"/>
                      <a:ext cx="5148580" cy="4932045"/>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图1-3-1   建设项目环境影响评价工作程序图</w:t>
      </w:r>
    </w:p>
    <w:p>
      <w:pPr>
        <w:pStyle w:val="3"/>
        <w:rPr>
          <w:color w:val="auto"/>
        </w:rPr>
      </w:pPr>
      <w:bookmarkStart w:id="8" w:name="_Toc8861"/>
      <w:bookmarkStart w:id="9" w:name="_Toc26276756"/>
      <w:r>
        <w:rPr>
          <w:rFonts w:hint="eastAsia"/>
          <w:color w:val="auto"/>
        </w:rPr>
        <w:t>1.4关注的主要环境问题及环境影响</w:t>
      </w:r>
      <w:bookmarkEnd w:id="8"/>
      <w:bookmarkEnd w:id="9"/>
    </w:p>
    <w:p>
      <w:pPr>
        <w:spacing w:line="360" w:lineRule="auto"/>
        <w:ind w:firstLine="480" w:firstLineChars="200"/>
        <w:rPr>
          <w:color w:val="auto"/>
          <w:sz w:val="24"/>
          <w:szCs w:val="24"/>
        </w:rPr>
      </w:pPr>
      <w:r>
        <w:rPr>
          <w:rFonts w:hint="eastAsia"/>
          <w:color w:val="auto"/>
          <w:sz w:val="24"/>
          <w:szCs w:val="24"/>
        </w:rPr>
        <w:t>项目施工期主要环境问题及影响为生态破坏、施工扬尘、施工噪声和水土流失等对环境的影响；运营期主要环境问题及影响为恶臭对大气环境的影响，尾水排放对地表水的影响、设备噪声以及污泥处置合理性、项目对地下水的环境影响等。</w:t>
      </w:r>
    </w:p>
    <w:p>
      <w:pPr>
        <w:pStyle w:val="3"/>
        <w:rPr>
          <w:color w:val="auto"/>
        </w:rPr>
      </w:pPr>
      <w:bookmarkStart w:id="10" w:name="_Toc23346"/>
      <w:bookmarkStart w:id="11" w:name="_Toc26276757"/>
      <w:r>
        <w:rPr>
          <w:rFonts w:hint="eastAsia"/>
          <w:color w:val="auto"/>
        </w:rPr>
        <w:t>1.5分析判定相关情况</w:t>
      </w:r>
      <w:bookmarkEnd w:id="10"/>
      <w:bookmarkEnd w:id="11"/>
    </w:p>
    <w:p>
      <w:pPr>
        <w:pStyle w:val="4"/>
        <w:rPr>
          <w:color w:val="auto"/>
        </w:rPr>
      </w:pPr>
      <w:bookmarkStart w:id="12" w:name="_Toc26276758"/>
      <w:r>
        <w:rPr>
          <w:rFonts w:hint="eastAsia"/>
          <w:color w:val="auto"/>
        </w:rPr>
        <w:t>1.5.1产业政策符合性分析</w:t>
      </w:r>
      <w:bookmarkEnd w:id="12"/>
    </w:p>
    <w:p>
      <w:pPr>
        <w:spacing w:line="360" w:lineRule="auto"/>
        <w:ind w:firstLine="480" w:firstLineChars="200"/>
        <w:rPr>
          <w:color w:val="auto"/>
          <w:sz w:val="24"/>
          <w:szCs w:val="24"/>
        </w:rPr>
      </w:pPr>
      <w:r>
        <w:rPr>
          <w:rFonts w:hint="eastAsia"/>
          <w:color w:val="auto"/>
          <w:sz w:val="24"/>
          <w:szCs w:val="24"/>
        </w:rPr>
        <w:t>本项目为水质净化厂建设项目，根据《产业结构调整指导目录（2019 年本）》，本项目属鼓励类第四十三大类“环境保护与资源节约综合利用”中的第15条“‘三废’综合利用与治理技术、装备和工程”，为鼓励类项目。检索《市场准入负面清单》（2020年版）可知，项目不属于清单中禁止和许可准入类，属于该清单以外的行业，可依法平等进入。因此，本项目符合相关产业政策。</w:t>
      </w:r>
    </w:p>
    <w:p>
      <w:pPr>
        <w:pStyle w:val="4"/>
        <w:rPr>
          <w:color w:val="auto"/>
        </w:rPr>
      </w:pPr>
      <w:bookmarkStart w:id="13" w:name="_Toc26276759"/>
      <w:r>
        <w:rPr>
          <w:rFonts w:hint="eastAsia"/>
          <w:color w:val="auto"/>
        </w:rPr>
        <w:t>1.5.2规划符合性分析</w:t>
      </w:r>
      <w:bookmarkEnd w:id="13"/>
    </w:p>
    <w:p>
      <w:pPr>
        <w:spacing w:line="360" w:lineRule="auto"/>
        <w:ind w:firstLine="482" w:firstLineChars="200"/>
        <w:rPr>
          <w:b/>
          <w:color w:val="auto"/>
          <w:sz w:val="24"/>
          <w:szCs w:val="24"/>
        </w:rPr>
      </w:pPr>
      <w:r>
        <w:rPr>
          <w:rFonts w:hint="eastAsia"/>
          <w:b/>
          <w:color w:val="auto"/>
          <w:sz w:val="24"/>
          <w:szCs w:val="24"/>
        </w:rPr>
        <w:t>1、与《南粤水更清行动计划（修订本）（2017～2020年）》符合性分析</w:t>
      </w:r>
    </w:p>
    <w:p>
      <w:pPr>
        <w:spacing w:line="360" w:lineRule="auto"/>
        <w:ind w:firstLine="480" w:firstLineChars="200"/>
        <w:rPr>
          <w:color w:val="auto"/>
          <w:sz w:val="24"/>
          <w:szCs w:val="24"/>
        </w:rPr>
      </w:pPr>
      <w:r>
        <w:rPr>
          <w:rFonts w:hint="eastAsia"/>
          <w:bCs/>
          <w:color w:val="auto"/>
          <w:sz w:val="24"/>
          <w:szCs w:val="24"/>
        </w:rPr>
        <w:t>《南粤水更清行动计划（修订本）（</w:t>
      </w:r>
      <w:r>
        <w:rPr>
          <w:bCs/>
          <w:color w:val="auto"/>
          <w:sz w:val="24"/>
          <w:szCs w:val="24"/>
        </w:rPr>
        <w:t>2017</w:t>
      </w:r>
      <w:r>
        <w:rPr>
          <w:rFonts w:hint="eastAsia"/>
          <w:bCs/>
          <w:color w:val="auto"/>
          <w:sz w:val="24"/>
          <w:szCs w:val="24"/>
        </w:rPr>
        <w:t>～</w:t>
      </w:r>
      <w:r>
        <w:rPr>
          <w:bCs/>
          <w:color w:val="auto"/>
          <w:sz w:val="24"/>
          <w:szCs w:val="24"/>
        </w:rPr>
        <w:t>2020</w:t>
      </w:r>
      <w:r>
        <w:rPr>
          <w:rFonts w:hint="eastAsia"/>
          <w:bCs/>
          <w:color w:val="auto"/>
          <w:sz w:val="24"/>
          <w:szCs w:val="24"/>
        </w:rPr>
        <w:t>年）》</w:t>
      </w:r>
      <w:r>
        <w:rPr>
          <w:rFonts w:hint="eastAsia"/>
          <w:color w:val="auto"/>
          <w:sz w:val="24"/>
          <w:szCs w:val="24"/>
        </w:rPr>
        <w:t>提出：“2.加快城镇环境基础设施建设。加快城镇污水处理设施建设与改造。因地制宜对现有城镇污水处理设施进行改造，敏感区域（饮用水源保护区、供水通道沿岸、重要水库汇水区、近岸海域直接汇水区等）内城镇、建成区水体水质达不到地表水Ⅳ类标准的城市区域内城镇的污水处理设施出水应于2017年底前达到一级Ａ标准及广东省地方标准《水污染物排放限值》（DB44/26－2001）的较严值；新建、改建和扩建城镇污水处理设施出水全面执行一级Ａ标准及广东省地方标准《水污染物排放限值》（DB44／26－2001）的较严值。排入重要水库和供水通道的污水处理设施出水水质基本达到地表水环境质量 III 类标准。加快建制镇污水处理设施建设，到 2020 年，敏感区域和六河流域（淡水河、石马河、广佛跨界河、茅洲河、练江、小东江）内的建制镇均应建成污水处理设施，全省城镇生活污水集中处理率达 90%以上，城市污水处理率达到 95%以上。村镇生活污水处理设施建设应因地制宜选择处理工艺。切实推进污泥无害化处置，污水处理设施产生的污泥应进行稳定化、无害化和资源化处理处置，禁止处理处置不达标的污泥进入耕地。各地级以上市全面排查非法污泥堆放点，列出清单一律予以取缔。现有污泥处理处置设施应于 2017 年底前基本完成达标改造，各地级以上城市、六河流域内的县（市、区）污泥无害化处理处置率应于2020 年底前达到 90%以上。”</w:t>
      </w:r>
    </w:p>
    <w:p>
      <w:pPr>
        <w:spacing w:line="360" w:lineRule="auto"/>
        <w:ind w:firstLine="480" w:firstLineChars="200"/>
        <w:rPr>
          <w:color w:val="auto"/>
          <w:sz w:val="24"/>
          <w:szCs w:val="24"/>
        </w:rPr>
      </w:pPr>
      <w:r>
        <w:rPr>
          <w:rFonts w:hint="eastAsia"/>
          <w:color w:val="auto"/>
          <w:sz w:val="24"/>
          <w:szCs w:val="24"/>
        </w:rPr>
        <w:t>本项目属水质净化厂新建项目，出水执行《地表水环境质量标准》（GB3838-2002）的准Ⅳ类标准（即SS、粪大肠菌群数达到《城镇污水处理厂污染物排放标准》（GB18918-2002）中的一级A出水标准，其它主要污染指标达到地表水Ⅳ类标准，TN放宽至10mg/L），严于国家一级A 标准及广东省地方标准《水污染物排放限值》（DB44/26-2001），项目产生的污泥均进行稳定化、无害化处理，符合</w:t>
      </w:r>
      <w:r>
        <w:rPr>
          <w:rFonts w:hint="eastAsia"/>
          <w:bCs/>
          <w:color w:val="auto"/>
          <w:sz w:val="24"/>
          <w:szCs w:val="24"/>
        </w:rPr>
        <w:t>《南粤水更清行动计划（修订本）（2017～2020年）》</w:t>
      </w:r>
      <w:r>
        <w:rPr>
          <w:rFonts w:hint="eastAsia"/>
          <w:color w:val="auto"/>
          <w:sz w:val="24"/>
          <w:szCs w:val="24"/>
        </w:rPr>
        <w:t>。</w:t>
      </w:r>
    </w:p>
    <w:p>
      <w:pPr>
        <w:spacing w:line="360" w:lineRule="auto"/>
        <w:ind w:firstLine="482" w:firstLineChars="200"/>
        <w:rPr>
          <w:b/>
          <w:color w:val="auto"/>
          <w:sz w:val="24"/>
          <w:szCs w:val="24"/>
        </w:rPr>
      </w:pPr>
      <w:r>
        <w:rPr>
          <w:rFonts w:hint="eastAsia"/>
          <w:b/>
          <w:color w:val="auto"/>
          <w:sz w:val="24"/>
          <w:szCs w:val="24"/>
        </w:rPr>
        <w:t>2、与《广东省人民政府关于印发广东省水污染防治行动计划实施方案的通知》（粤府〔2015〕131号）符合性分析</w:t>
      </w:r>
    </w:p>
    <w:p>
      <w:pPr>
        <w:spacing w:line="360" w:lineRule="auto"/>
        <w:ind w:firstLine="480" w:firstLineChars="200"/>
        <w:rPr>
          <w:color w:val="auto"/>
          <w:sz w:val="24"/>
          <w:szCs w:val="24"/>
        </w:rPr>
      </w:pPr>
      <w:r>
        <w:rPr>
          <w:rFonts w:hint="eastAsia"/>
          <w:color w:val="auto"/>
          <w:sz w:val="24"/>
          <w:szCs w:val="24"/>
        </w:rPr>
        <w:t>《广东省人民政府关于印发广东省水污染防治行动计划实施方案的通知》（粤府〔2015〕131号）提出：“（二）强化城镇生活污染治理。优先完善污水处理厂配套管网。加快推进现有污水处理设施配套管网建设，切实提高运行负荷。……新建、扩建污水处理设施和配套管网须同步设计、同步建设、同时投运。……加快城镇污水处理设施建设与改造。……新建、改建和扩建城镇污水处理设施出水全面执行一级A标准及广东省地方标准《水污染物排放限值》（DB44/26-2001）的较严值。到2020年，敏感区域和淡水河、石马河、广佛跨界河、茅洲河、练江、小东江（以下称六河）流域内建制镇应建成污水处理设施，全省城镇生活污水集中处理率达90%以上，城市污水处理率达到95%以上。”</w:t>
      </w:r>
    </w:p>
    <w:p>
      <w:pPr>
        <w:spacing w:line="360" w:lineRule="auto"/>
        <w:ind w:firstLine="480" w:firstLineChars="200"/>
        <w:rPr>
          <w:b/>
          <w:color w:val="auto"/>
          <w:sz w:val="24"/>
          <w:szCs w:val="24"/>
        </w:rPr>
      </w:pPr>
      <w:r>
        <w:rPr>
          <w:rFonts w:hint="eastAsia"/>
          <w:color w:val="auto"/>
          <w:sz w:val="24"/>
          <w:szCs w:val="24"/>
        </w:rPr>
        <w:t>本项目属水质净化厂新建项目，污水处理设施和配套管网同步设计、同步建设、同时投入运营，出水执行《地表水环境质量标准》（GB3838-2002）的准Ⅳ类标准（即SS、粪大肠菌群数达到《城镇污水处理厂污染物排放标准》（GB18918-2002）中的一级A出水标准，其它主要污染指标达到地表水Ⅳ类标准，TN放宽至10mg/L），严于国家一级A 标准及广东省地方标准《水污染物排放限值》（DB44/26-2001），符合《广东省人民政府关于印发广东省水污染防治行动计划实施方案的通知》（粤府〔2015〕131号）。</w:t>
      </w:r>
    </w:p>
    <w:p>
      <w:pPr>
        <w:spacing w:line="360" w:lineRule="auto"/>
        <w:ind w:firstLine="482" w:firstLineChars="200"/>
        <w:rPr>
          <w:b/>
          <w:color w:val="auto"/>
          <w:sz w:val="24"/>
          <w:szCs w:val="24"/>
        </w:rPr>
      </w:pPr>
      <w:r>
        <w:rPr>
          <w:rFonts w:hint="eastAsia"/>
          <w:b/>
          <w:color w:val="auto"/>
          <w:sz w:val="24"/>
          <w:szCs w:val="24"/>
        </w:rPr>
        <w:t>3、与《广东省韩江流域水质保护条例》（2018年11月29日第二次修订）符合性分析</w:t>
      </w:r>
    </w:p>
    <w:p>
      <w:pPr>
        <w:spacing w:line="360" w:lineRule="auto"/>
        <w:ind w:firstLine="480" w:firstLineChars="200"/>
        <w:rPr>
          <w:color w:val="auto"/>
          <w:sz w:val="24"/>
          <w:szCs w:val="24"/>
        </w:rPr>
      </w:pPr>
      <w:r>
        <w:rPr>
          <w:rFonts w:hint="eastAsia"/>
          <w:color w:val="auto"/>
          <w:sz w:val="24"/>
          <w:szCs w:val="24"/>
        </w:rPr>
        <w:t>广东省韩江流域的范围包括韩江干流、梅江、汀江、梅潭河本省境内河段的集雨面积。流域行政区域包括汕头市的汕头市区、澄海市；潮州市的湘桥区、潮安县；梅州市的梅江区、梅县、蕉岭县、大埔县、丰顺县、五华县、兴宁市、平远县；河源市的龙川县、紫金县。《广东省韩江流域水质保护条例》（2018年11月29日第二次修订）要求：“第十四条  流域内的城镇应当按韩江流域水质保护规划要求建设城市污水集中处理设施。未纳入城市污水集中处理设施集水范围的开发区、旅游区和居住小区必须配套建设污水处理设施。”</w:t>
      </w:r>
    </w:p>
    <w:p>
      <w:pPr>
        <w:spacing w:line="360" w:lineRule="auto"/>
        <w:ind w:firstLine="480" w:firstLineChars="200"/>
        <w:rPr>
          <w:b/>
          <w:color w:val="auto"/>
          <w:sz w:val="24"/>
          <w:szCs w:val="24"/>
        </w:rPr>
      </w:pPr>
      <w:r>
        <w:rPr>
          <w:rFonts w:hint="eastAsia"/>
          <w:color w:val="auto"/>
          <w:sz w:val="24"/>
          <w:szCs w:val="24"/>
        </w:rPr>
        <w:t>本项目属水质净化厂新建项目，属于城市污水集中处理设施，符合《广东省韩江流域水质保护条例》（2018年11月29日第二次修订）。</w:t>
      </w:r>
    </w:p>
    <w:p>
      <w:pPr>
        <w:spacing w:line="360" w:lineRule="auto"/>
        <w:ind w:firstLine="482" w:firstLineChars="200"/>
        <w:rPr>
          <w:b/>
          <w:color w:val="auto"/>
          <w:sz w:val="24"/>
          <w:szCs w:val="24"/>
        </w:rPr>
      </w:pPr>
      <w:r>
        <w:rPr>
          <w:rFonts w:hint="eastAsia"/>
          <w:b/>
          <w:color w:val="auto"/>
          <w:sz w:val="24"/>
          <w:szCs w:val="24"/>
        </w:rPr>
        <w:t>4、与《广东省环境保护厅关于印发韩江流域水质保护规划（2017-2025年）的通知》（粤环发〔2017〕4号）符合性分析</w:t>
      </w:r>
    </w:p>
    <w:p>
      <w:pPr>
        <w:spacing w:line="360" w:lineRule="auto"/>
        <w:ind w:firstLine="480" w:firstLineChars="200"/>
        <w:rPr>
          <w:bCs/>
          <w:color w:val="auto"/>
          <w:sz w:val="24"/>
          <w:szCs w:val="24"/>
        </w:rPr>
      </w:pPr>
      <w:r>
        <w:rPr>
          <w:rFonts w:hint="eastAsia"/>
          <w:bCs/>
          <w:color w:val="auto"/>
          <w:sz w:val="24"/>
          <w:szCs w:val="24"/>
        </w:rPr>
        <w:t>《广东省环境保护厅关于印发韩江流域水质保护规划（2017-2025年）的通知》（粤环发〔2017〕4号）提出：“（三）加强环保基础设施建设，为发展腾出环境容量。1．加快污水处理设施建设，削减入河污染负荷。一是全面加快城镇污水处理设施建设……2025年底前，按照《韩江流域水质保护条例》的要求，流域内所有建制镇建成污水处理设施，实现城镇污水处理全覆盖……二是逐步完善污水收集管网。按照厂网并举的原则，新、扩建污水处理设施与配套管网须同步设计、同步建设、同时投入运营。将污水收集管网建设与城市开发、旧城改造、河涌整治等统筹考虑，城市新区、产业园区和住宅小区须严格实施清污分流，老城区可采取清污分流与沿河截污相结合的方法，加快推进污水截排系统建设，切实提高污水处理设施运行负荷和进水浓度……2025年底前，基本建成所有镇区污水处理厂的配套管网系统，新增污水收集管网1792.46公里，其中梅州、潮州、汕头市分别新增1225.45公里、145公里和422.01公里，保障流域内城镇生活污水收集率达90%以上。三是提升污水处理设施的治污效能……到2025年，流域内县级以上污水处理厂排水达到地表水IV类标准要求。切实提高污水处理厂污泥无害化处理率……2020年、2025年处理能力应扩大到762吨/天和862吨/天，全流域城镇生活污水处理厂污泥实现无害化处置。”</w:t>
      </w:r>
    </w:p>
    <w:p>
      <w:pPr>
        <w:spacing w:line="360" w:lineRule="auto"/>
        <w:ind w:firstLine="480" w:firstLineChars="200"/>
        <w:rPr>
          <w:bCs/>
          <w:color w:val="auto"/>
          <w:sz w:val="24"/>
          <w:szCs w:val="24"/>
        </w:rPr>
      </w:pPr>
      <w:r>
        <w:rPr>
          <w:rFonts w:hint="eastAsia"/>
          <w:bCs/>
          <w:color w:val="auto"/>
          <w:sz w:val="24"/>
          <w:szCs w:val="24"/>
        </w:rPr>
        <w:t>本项目属水质净化厂新建项目，污水处理设施与配套管网同步设计、同步建设并同时投入运营。项目出水执行《地表水环境质量标准》（GB3838-2002）的准Ⅳ类标准（即SS、粪大肠菌群数达到《城镇污水处理厂污染物排放标准》（GB18918-2002）中的一级A出水标准，其它主要污染指标达到地表水Ⅳ类标准，TN放宽至10mg/L），产生的污泥均进行稳定化、无害化处理。综上，本项目的建设可提高韩江流域城镇污水处理率及污泥无害化处理率，完善区域污水收集管网布置，且出水可稳定达标排放，因此，项目的建设符合《广东省环境保护厅关于印发韩江流域水质保护规划（2017-2025年）的通知》（粤环发〔2017〕4号）。</w:t>
      </w:r>
    </w:p>
    <w:p>
      <w:pPr>
        <w:spacing w:line="360" w:lineRule="auto"/>
        <w:ind w:firstLine="482" w:firstLineChars="200"/>
        <w:rPr>
          <w:b/>
          <w:color w:val="auto"/>
          <w:sz w:val="24"/>
          <w:szCs w:val="24"/>
        </w:rPr>
      </w:pPr>
      <w:r>
        <w:rPr>
          <w:rFonts w:hint="eastAsia"/>
          <w:b/>
          <w:color w:val="auto"/>
          <w:sz w:val="24"/>
          <w:szCs w:val="24"/>
        </w:rPr>
        <w:t>5、与</w:t>
      </w:r>
      <w:r>
        <w:rPr>
          <w:b/>
          <w:bCs/>
          <w:color w:val="auto"/>
          <w:kern w:val="0"/>
          <w:sz w:val="24"/>
          <w:szCs w:val="24"/>
        </w:rPr>
        <w:t>广东省环境保护厅</w:t>
      </w:r>
      <w:r>
        <w:rPr>
          <w:rFonts w:hint="eastAsia"/>
          <w:b/>
          <w:bCs/>
          <w:color w:val="auto"/>
          <w:sz w:val="24"/>
          <w:szCs w:val="24"/>
        </w:rPr>
        <w:t>《</w:t>
      </w:r>
      <w:r>
        <w:rPr>
          <w:b/>
          <w:bCs/>
          <w:color w:val="auto"/>
          <w:kern w:val="0"/>
          <w:sz w:val="24"/>
          <w:szCs w:val="24"/>
        </w:rPr>
        <w:t>关于印发</w:t>
      </w:r>
      <w:r>
        <w:rPr>
          <w:rFonts w:hint="eastAsia"/>
          <w:b/>
          <w:bCs/>
          <w:color w:val="auto"/>
          <w:sz w:val="24"/>
          <w:szCs w:val="24"/>
        </w:rPr>
        <w:t>广东省环境保护“十三五”规划</w:t>
      </w:r>
      <w:r>
        <w:rPr>
          <w:b/>
          <w:bCs/>
          <w:color w:val="auto"/>
          <w:kern w:val="0"/>
          <w:sz w:val="24"/>
          <w:szCs w:val="24"/>
        </w:rPr>
        <w:t>的通知</w:t>
      </w:r>
      <w:r>
        <w:rPr>
          <w:rFonts w:hint="eastAsia"/>
          <w:b/>
          <w:bCs/>
          <w:color w:val="auto"/>
          <w:sz w:val="24"/>
          <w:szCs w:val="24"/>
        </w:rPr>
        <w:t>》</w:t>
      </w:r>
      <w:r>
        <w:rPr>
          <w:b/>
          <w:bCs/>
          <w:color w:val="auto"/>
          <w:kern w:val="0"/>
          <w:sz w:val="24"/>
          <w:szCs w:val="24"/>
        </w:rPr>
        <w:t>（粤环</w:t>
      </w:r>
      <w:r>
        <w:rPr>
          <w:b/>
          <w:bCs/>
          <w:color w:val="auto"/>
          <w:sz w:val="24"/>
          <w:szCs w:val="24"/>
        </w:rPr>
        <w:t>〔</w:t>
      </w:r>
      <w:r>
        <w:rPr>
          <w:b/>
          <w:bCs/>
          <w:color w:val="auto"/>
          <w:kern w:val="0"/>
          <w:sz w:val="24"/>
          <w:szCs w:val="24"/>
        </w:rPr>
        <w:t>2016</w:t>
      </w:r>
      <w:r>
        <w:rPr>
          <w:b/>
          <w:bCs/>
          <w:color w:val="auto"/>
          <w:sz w:val="24"/>
          <w:szCs w:val="24"/>
        </w:rPr>
        <w:t>〕</w:t>
      </w:r>
      <w:r>
        <w:rPr>
          <w:b/>
          <w:bCs/>
          <w:color w:val="auto"/>
          <w:kern w:val="0"/>
          <w:sz w:val="24"/>
          <w:szCs w:val="24"/>
        </w:rPr>
        <w:t>51 号）</w:t>
      </w:r>
      <w:r>
        <w:rPr>
          <w:rFonts w:hint="eastAsia"/>
          <w:b/>
          <w:color w:val="auto"/>
          <w:sz w:val="24"/>
          <w:szCs w:val="24"/>
        </w:rPr>
        <w:t>符合性分析</w:t>
      </w:r>
    </w:p>
    <w:p>
      <w:pPr>
        <w:spacing w:line="360" w:lineRule="auto"/>
        <w:ind w:firstLine="480" w:firstLineChars="200"/>
        <w:rPr>
          <w:color w:val="auto"/>
          <w:sz w:val="24"/>
          <w:szCs w:val="24"/>
        </w:rPr>
      </w:pPr>
      <w:r>
        <w:rPr>
          <w:color w:val="auto"/>
          <w:kern w:val="0"/>
          <w:sz w:val="24"/>
          <w:szCs w:val="24"/>
        </w:rPr>
        <w:t>广东省环境保护厅</w:t>
      </w:r>
      <w:r>
        <w:rPr>
          <w:rFonts w:hint="eastAsia"/>
          <w:color w:val="auto"/>
          <w:sz w:val="24"/>
          <w:szCs w:val="24"/>
        </w:rPr>
        <w:t>《</w:t>
      </w:r>
      <w:r>
        <w:rPr>
          <w:color w:val="auto"/>
          <w:kern w:val="0"/>
          <w:sz w:val="24"/>
          <w:szCs w:val="24"/>
        </w:rPr>
        <w:t>关于印发</w:t>
      </w:r>
      <w:r>
        <w:rPr>
          <w:rFonts w:hint="eastAsia"/>
          <w:color w:val="auto"/>
          <w:sz w:val="24"/>
          <w:szCs w:val="24"/>
        </w:rPr>
        <w:t>广东省环境保护“十三五”规划</w:t>
      </w:r>
      <w:r>
        <w:rPr>
          <w:color w:val="auto"/>
          <w:kern w:val="0"/>
          <w:sz w:val="24"/>
          <w:szCs w:val="24"/>
        </w:rPr>
        <w:t>的通知</w:t>
      </w:r>
      <w:r>
        <w:rPr>
          <w:rFonts w:hint="eastAsia"/>
          <w:color w:val="auto"/>
          <w:sz w:val="24"/>
          <w:szCs w:val="24"/>
        </w:rPr>
        <w:t>》</w:t>
      </w:r>
      <w:r>
        <w:rPr>
          <w:color w:val="auto"/>
          <w:kern w:val="0"/>
          <w:sz w:val="24"/>
          <w:szCs w:val="24"/>
        </w:rPr>
        <w:t>（粤环</w:t>
      </w:r>
      <w:r>
        <w:rPr>
          <w:color w:val="auto"/>
          <w:sz w:val="24"/>
          <w:szCs w:val="24"/>
        </w:rPr>
        <w:t>〔</w:t>
      </w:r>
      <w:r>
        <w:rPr>
          <w:color w:val="auto"/>
          <w:kern w:val="0"/>
          <w:sz w:val="24"/>
          <w:szCs w:val="24"/>
        </w:rPr>
        <w:t>2016</w:t>
      </w:r>
      <w:r>
        <w:rPr>
          <w:color w:val="auto"/>
          <w:sz w:val="24"/>
          <w:szCs w:val="24"/>
        </w:rPr>
        <w:t>〕</w:t>
      </w:r>
      <w:r>
        <w:rPr>
          <w:color w:val="auto"/>
          <w:kern w:val="0"/>
          <w:sz w:val="24"/>
          <w:szCs w:val="24"/>
        </w:rPr>
        <w:t>51 号）</w:t>
      </w:r>
      <w:r>
        <w:rPr>
          <w:rFonts w:hint="eastAsia"/>
          <w:color w:val="auto"/>
          <w:sz w:val="24"/>
          <w:szCs w:val="24"/>
        </w:rPr>
        <w:t>要求：“继续推进污水处理设施建设与改造。……新建、改建和扩建城镇污水处理设施出水全面执行一级A标准及广东省地方标准《水污染物排放限值》（DB44/26）的较严值。重点加强敏感区域和淡水河、石马河、广佛跨界河、茅洲河、练江、小东江流域内村镇污水处理设施建设，全省基本实现污水处理设施区、县域、镇、村全覆盖，到2020年，全省城镇生活污水集中处理率达90%以上，城市污水处理率达到95%以上”。</w:t>
      </w:r>
    </w:p>
    <w:p>
      <w:pPr>
        <w:spacing w:line="360" w:lineRule="auto"/>
        <w:ind w:firstLine="480" w:firstLineChars="200"/>
        <w:rPr>
          <w:color w:val="auto"/>
          <w:sz w:val="24"/>
          <w:szCs w:val="24"/>
        </w:rPr>
      </w:pPr>
      <w:r>
        <w:rPr>
          <w:rFonts w:hint="eastAsia"/>
          <w:color w:val="auto"/>
          <w:sz w:val="24"/>
          <w:szCs w:val="24"/>
        </w:rPr>
        <w:t>本项目属水质净化厂新建项目，出水执行《地表水环境质量标准》（GB3838-2002）的准Ⅳ类标准（即SS、粪大肠菌群数达到《城镇污水处理厂污染物排放标准》（GB18918-2002）中的一级A出水标准，其它主要污染指标达到地表水Ⅳ类标准，TN放宽至10mg/L），严于国家一级A 标准及广东省地方标准《水污染物排放限值》（DB44/26-2001），符合</w:t>
      </w:r>
      <w:r>
        <w:rPr>
          <w:color w:val="auto"/>
          <w:kern w:val="0"/>
          <w:sz w:val="24"/>
          <w:szCs w:val="24"/>
        </w:rPr>
        <w:t>广东省环境保护厅</w:t>
      </w:r>
      <w:r>
        <w:rPr>
          <w:rFonts w:hint="eastAsia"/>
          <w:color w:val="auto"/>
          <w:sz w:val="24"/>
          <w:szCs w:val="24"/>
        </w:rPr>
        <w:t>《</w:t>
      </w:r>
      <w:r>
        <w:rPr>
          <w:color w:val="auto"/>
          <w:kern w:val="0"/>
          <w:sz w:val="24"/>
          <w:szCs w:val="24"/>
        </w:rPr>
        <w:t>关于印发</w:t>
      </w:r>
      <w:r>
        <w:rPr>
          <w:rFonts w:hint="eastAsia"/>
          <w:color w:val="auto"/>
          <w:sz w:val="24"/>
          <w:szCs w:val="24"/>
        </w:rPr>
        <w:t>广东省环境保护“十三五”规划</w:t>
      </w:r>
      <w:r>
        <w:rPr>
          <w:color w:val="auto"/>
          <w:kern w:val="0"/>
          <w:sz w:val="24"/>
          <w:szCs w:val="24"/>
        </w:rPr>
        <w:t>的通知</w:t>
      </w:r>
      <w:r>
        <w:rPr>
          <w:rFonts w:hint="eastAsia"/>
          <w:color w:val="auto"/>
          <w:sz w:val="24"/>
          <w:szCs w:val="24"/>
        </w:rPr>
        <w:t>》</w:t>
      </w:r>
      <w:r>
        <w:rPr>
          <w:color w:val="auto"/>
          <w:kern w:val="0"/>
          <w:sz w:val="24"/>
          <w:szCs w:val="24"/>
        </w:rPr>
        <w:t>（粤环</w:t>
      </w:r>
      <w:r>
        <w:rPr>
          <w:color w:val="auto"/>
          <w:sz w:val="24"/>
          <w:szCs w:val="24"/>
        </w:rPr>
        <w:t>〔</w:t>
      </w:r>
      <w:r>
        <w:rPr>
          <w:color w:val="auto"/>
          <w:kern w:val="0"/>
          <w:sz w:val="24"/>
          <w:szCs w:val="24"/>
        </w:rPr>
        <w:t>2016</w:t>
      </w:r>
      <w:r>
        <w:rPr>
          <w:color w:val="auto"/>
          <w:sz w:val="24"/>
          <w:szCs w:val="24"/>
        </w:rPr>
        <w:t>〕</w:t>
      </w:r>
      <w:r>
        <w:rPr>
          <w:color w:val="auto"/>
          <w:kern w:val="0"/>
          <w:sz w:val="24"/>
          <w:szCs w:val="24"/>
        </w:rPr>
        <w:t>51 号）</w:t>
      </w:r>
      <w:r>
        <w:rPr>
          <w:rFonts w:hint="eastAsia"/>
          <w:color w:val="auto"/>
          <w:sz w:val="24"/>
          <w:szCs w:val="24"/>
        </w:rPr>
        <w:t>。</w:t>
      </w:r>
    </w:p>
    <w:p>
      <w:pPr>
        <w:spacing w:line="360" w:lineRule="auto"/>
        <w:ind w:firstLine="482" w:firstLineChars="200"/>
        <w:rPr>
          <w:b/>
          <w:color w:val="auto"/>
          <w:sz w:val="24"/>
          <w:szCs w:val="24"/>
        </w:rPr>
      </w:pPr>
      <w:r>
        <w:rPr>
          <w:rFonts w:hint="eastAsia"/>
          <w:b/>
          <w:color w:val="auto"/>
          <w:sz w:val="24"/>
          <w:szCs w:val="24"/>
        </w:rPr>
        <w:t>6、与《梅州市环境保护“十三五”规划》符合性分析</w:t>
      </w:r>
    </w:p>
    <w:p>
      <w:pPr>
        <w:spacing w:line="360" w:lineRule="auto"/>
        <w:ind w:firstLine="480" w:firstLineChars="200"/>
        <w:rPr>
          <w:color w:val="auto"/>
          <w:sz w:val="24"/>
          <w:szCs w:val="24"/>
        </w:rPr>
      </w:pPr>
      <w:r>
        <w:rPr>
          <w:rFonts w:hint="eastAsia"/>
          <w:color w:val="auto"/>
          <w:sz w:val="24"/>
          <w:szCs w:val="24"/>
        </w:rPr>
        <w:t>《梅州市环境保护“十三五”规划》要求：“加快污水处理设施及配套管网建设与改造。‘十三五’期间，推进全市所有工业园区（含集聚地）及各县（市、区）污水处理设施及配套管网建设。梅兴华丰产业集聚带及各县区工业园区（含集聚地）按照‘产业入圈、企业入园、项目合规、运行达标、总量控制、超标退出’的总要求，建立严格的产业转移生态环境保护政策，加快推进和完善污水处理厂的建设，完善配套污水管网的铺设，确保园区内各排污企业纳入统一处理。园区内工业废水必须经预处理达到集中处理要求，方可进入污水集中处理设施。新建、升级工业集聚带应同步规划、建设污水、垃圾集中处理等污染治理设施。”</w:t>
      </w:r>
    </w:p>
    <w:p>
      <w:pPr>
        <w:spacing w:line="360" w:lineRule="auto"/>
        <w:ind w:firstLine="480" w:firstLineChars="200"/>
        <w:rPr>
          <w:color w:val="auto"/>
          <w:sz w:val="24"/>
          <w:szCs w:val="24"/>
        </w:rPr>
      </w:pPr>
      <w:r>
        <w:rPr>
          <w:rFonts w:hint="eastAsia"/>
          <w:color w:val="auto"/>
          <w:sz w:val="24"/>
          <w:szCs w:val="24"/>
        </w:rPr>
        <w:t>本项目属水质净化厂新建项目，主要包括水质净化厂及配套管网工程的建设，属于《梅州市环境保护“十三五”规划》附表一“梅州市水环境保护重点工程”中的项目，与《梅州市环境保护“十三五”规划》相符。</w:t>
      </w:r>
    </w:p>
    <w:p>
      <w:pPr>
        <w:spacing w:line="360" w:lineRule="auto"/>
        <w:ind w:firstLine="482" w:firstLineChars="200"/>
        <w:rPr>
          <w:b/>
          <w:color w:val="auto"/>
          <w:sz w:val="24"/>
          <w:szCs w:val="24"/>
        </w:rPr>
      </w:pPr>
      <w:r>
        <w:rPr>
          <w:rFonts w:hint="eastAsia"/>
          <w:b/>
          <w:color w:val="auto"/>
          <w:sz w:val="24"/>
          <w:szCs w:val="24"/>
        </w:rPr>
        <w:t>7、与《梅州市人民政府办公室关于印发梅州城区市政基础设施“十三五”建设计划的通知》</w:t>
      </w:r>
      <w:r>
        <w:rPr>
          <w:rFonts w:hint="eastAsia"/>
          <w:b/>
          <w:bCs/>
          <w:color w:val="auto"/>
          <w:sz w:val="24"/>
          <w:szCs w:val="24"/>
        </w:rPr>
        <w:t>（梅市府办函〔2017〕206号）</w:t>
      </w:r>
      <w:r>
        <w:rPr>
          <w:rFonts w:hint="eastAsia"/>
          <w:b/>
          <w:color w:val="auto"/>
          <w:sz w:val="24"/>
          <w:szCs w:val="24"/>
        </w:rPr>
        <w:t>符合性分析</w:t>
      </w:r>
    </w:p>
    <w:p>
      <w:pPr>
        <w:spacing w:line="360" w:lineRule="auto"/>
        <w:ind w:firstLine="480" w:firstLineChars="200"/>
        <w:rPr>
          <w:color w:val="auto"/>
          <w:sz w:val="24"/>
          <w:szCs w:val="24"/>
        </w:rPr>
      </w:pPr>
      <w:r>
        <w:rPr>
          <w:rFonts w:hint="eastAsia"/>
          <w:color w:val="auto"/>
          <w:sz w:val="24"/>
          <w:szCs w:val="24"/>
        </w:rPr>
        <w:t>《梅州市人民政府办公室关于印发梅州城区市政基础设施“十三五”建设计划的通知》（梅市府办函〔2017〕206号）提出“城市给排水工程发展目标：规划综合考虑梅州城区供水及污水处理系统相关基础设施存在的问题和面临的形势需求，结合梅州城区综合管廊规划，通过对给排水基础设施的增量建设及存量改造，建成环状的供水管网体系及科学的排水系统。至规划期末，供水保证率达到95%，供水普及率达到100%（不含西阳镇、南口镇），污水集中处理率要达到97%以上（含西阳镇、南口镇）。”</w:t>
      </w:r>
    </w:p>
    <w:p>
      <w:pPr>
        <w:spacing w:line="360" w:lineRule="auto"/>
        <w:ind w:firstLine="480" w:firstLineChars="200"/>
        <w:rPr>
          <w:color w:val="auto"/>
          <w:sz w:val="24"/>
          <w:szCs w:val="24"/>
        </w:rPr>
      </w:pPr>
      <w:r>
        <w:rPr>
          <w:rFonts w:hint="eastAsia"/>
          <w:color w:val="auto"/>
          <w:sz w:val="24"/>
          <w:szCs w:val="24"/>
        </w:rPr>
        <w:t>本项目属水质净化厂新建项目，与《梅州市人民政府办公室关于印发梅州城区市政基础设施“十三五”建设计划的通知》（梅市府办函〔2017〕206号）相符。</w:t>
      </w:r>
    </w:p>
    <w:p>
      <w:pPr>
        <w:spacing w:line="360" w:lineRule="auto"/>
        <w:ind w:firstLine="482" w:firstLineChars="200"/>
        <w:rPr>
          <w:b/>
          <w:color w:val="auto"/>
          <w:sz w:val="24"/>
          <w:szCs w:val="24"/>
        </w:rPr>
      </w:pPr>
      <w:r>
        <w:rPr>
          <w:rFonts w:hint="eastAsia"/>
          <w:b/>
          <w:color w:val="auto"/>
          <w:sz w:val="24"/>
          <w:szCs w:val="24"/>
        </w:rPr>
        <w:t>8、与《</w:t>
      </w:r>
      <w:r>
        <w:rPr>
          <w:rFonts w:hint="eastAsia"/>
          <w:b/>
          <w:bCs/>
          <w:color w:val="auto"/>
          <w:sz w:val="24"/>
          <w:szCs w:val="24"/>
        </w:rPr>
        <w:t>梅州市人民政府关于印发</w:t>
      </w:r>
      <w:r>
        <w:rPr>
          <w:rFonts w:hint="eastAsia"/>
          <w:b/>
          <w:color w:val="auto"/>
          <w:sz w:val="24"/>
          <w:szCs w:val="24"/>
        </w:rPr>
        <w:t>广东梅兴华丰产业集聚带发展总体规划（2015—2030年）</w:t>
      </w:r>
      <w:r>
        <w:rPr>
          <w:rFonts w:hint="eastAsia"/>
          <w:b/>
          <w:bCs/>
          <w:color w:val="auto"/>
          <w:sz w:val="24"/>
          <w:szCs w:val="24"/>
        </w:rPr>
        <w:t>实施方案的通知</w:t>
      </w:r>
      <w:r>
        <w:rPr>
          <w:rFonts w:hint="eastAsia"/>
          <w:b/>
          <w:color w:val="auto"/>
          <w:sz w:val="24"/>
          <w:szCs w:val="24"/>
        </w:rPr>
        <w:t>》</w:t>
      </w:r>
      <w:r>
        <w:rPr>
          <w:rFonts w:hint="eastAsia"/>
          <w:b/>
          <w:bCs/>
          <w:color w:val="auto"/>
          <w:sz w:val="24"/>
          <w:szCs w:val="24"/>
        </w:rPr>
        <w:t>（梅市府函〔2016〕67号）</w:t>
      </w:r>
      <w:r>
        <w:rPr>
          <w:rFonts w:hint="eastAsia"/>
          <w:b/>
          <w:color w:val="auto"/>
          <w:sz w:val="24"/>
          <w:szCs w:val="24"/>
        </w:rPr>
        <w:t>、《广东梅兴华丰产业集聚带环保基础设施规划建设方案》（广东省环境科学研究院、广东环科院环境科技有限公司，2016年4月）符合性分析</w:t>
      </w:r>
    </w:p>
    <w:p>
      <w:pPr>
        <w:spacing w:line="360" w:lineRule="auto"/>
        <w:ind w:firstLine="480" w:firstLineChars="200"/>
        <w:rPr>
          <w:color w:val="auto"/>
          <w:sz w:val="24"/>
          <w:szCs w:val="24"/>
        </w:rPr>
      </w:pPr>
      <w:r>
        <w:rPr>
          <w:rFonts w:hint="eastAsia"/>
          <w:color w:val="auto"/>
          <w:sz w:val="24"/>
          <w:szCs w:val="24"/>
        </w:rPr>
        <w:t>《梅州市人民政府关于印发广东梅兴华丰产业集聚带发展总体规划（2015—2030年）实施方案的通知》（梅市府函〔2016〕67号）提出：“统筹污水处理设施建设。在充分发挥现有污水处理厂产能的基础上，优化布局新建污水处理厂，科学设置排污口，确保水环境安全。基于产业集聚带组团开发的基本格局，污水处理设施采用小容量、分散式布局。产业集聚带核心区规划建设（含扩建）污水处理厂9座，外围园区规划建设污水处理厂6座，总建设规模为核心区8万吨/天，外围园区5万吨/天。对污水处理厂出水水质进行严格监控，高标准达标排放。”</w:t>
      </w:r>
    </w:p>
    <w:p>
      <w:pPr>
        <w:spacing w:line="360" w:lineRule="auto"/>
        <w:ind w:firstLine="480" w:firstLineChars="200"/>
        <w:rPr>
          <w:color w:val="auto"/>
          <w:sz w:val="24"/>
          <w:szCs w:val="24"/>
        </w:rPr>
      </w:pPr>
      <w:r>
        <w:rPr>
          <w:rFonts w:hint="eastAsia"/>
          <w:color w:val="auto"/>
          <w:sz w:val="24"/>
          <w:szCs w:val="24"/>
        </w:rPr>
        <w:t>《广东梅兴华丰产业集聚带环保基础设施规划建设方案》（广东省环境科学研究院、广东环科院环境科技有限公司，2016年4月）中说明：“核心区9座污水处理厂。……产业带核心区规划新建水车、畲江—高铁、广梅园二期、水口南1号、水口南2号、水口北、河东工业园（化裕）水质净化中心、河东工业园（油新）水质净化中心等8座污水处理厂，扩建广梅园一期污水处理厂，核心区9座污水处理厂总规模约8.1万m</w:t>
      </w:r>
      <w:r>
        <w:rPr>
          <w:rFonts w:hint="eastAsia"/>
          <w:color w:val="auto"/>
          <w:sz w:val="24"/>
          <w:szCs w:val="24"/>
          <w:vertAlign w:val="superscript"/>
        </w:rPr>
        <w:t>3</w:t>
      </w:r>
      <w:r>
        <w:rPr>
          <w:rFonts w:hint="eastAsia"/>
          <w:color w:val="auto"/>
          <w:sz w:val="24"/>
          <w:szCs w:val="24"/>
        </w:rPr>
        <w:t>/d。”根据《广东梅兴华丰产业集聚带环保基础设施规划建设方案》（广东省环境科学研究院、广东环科院环境科技有限公司，2016年4月）表4-1，河东工业园（油新）水质净化中心设计规模为0.8万m</w:t>
      </w:r>
      <w:r>
        <w:rPr>
          <w:rFonts w:hint="eastAsia"/>
          <w:color w:val="auto"/>
          <w:sz w:val="24"/>
          <w:szCs w:val="24"/>
          <w:vertAlign w:val="superscript"/>
        </w:rPr>
        <w:t>2</w:t>
      </w:r>
      <w:r>
        <w:rPr>
          <w:rFonts w:hint="eastAsia"/>
          <w:color w:val="auto"/>
          <w:sz w:val="24"/>
          <w:szCs w:val="24"/>
        </w:rPr>
        <w:t>，中水回用规模为0.24万m</w:t>
      </w:r>
      <w:r>
        <w:rPr>
          <w:rFonts w:hint="eastAsia"/>
          <w:color w:val="auto"/>
          <w:sz w:val="24"/>
          <w:szCs w:val="24"/>
          <w:vertAlign w:val="superscript"/>
        </w:rPr>
        <w:t>2</w:t>
      </w:r>
      <w:r>
        <w:rPr>
          <w:rFonts w:hint="eastAsia"/>
          <w:color w:val="auto"/>
          <w:sz w:val="24"/>
          <w:szCs w:val="24"/>
        </w:rPr>
        <w:t>，受纳水体为大嵩河。</w:t>
      </w:r>
    </w:p>
    <w:p>
      <w:pPr>
        <w:spacing w:line="360" w:lineRule="auto"/>
        <w:ind w:firstLine="480" w:firstLineChars="200"/>
        <w:rPr>
          <w:color w:val="auto"/>
          <w:sz w:val="24"/>
          <w:szCs w:val="24"/>
        </w:rPr>
      </w:pPr>
      <w:r>
        <w:rPr>
          <w:rFonts w:hint="eastAsia"/>
          <w:color w:val="auto"/>
          <w:sz w:val="24"/>
          <w:szCs w:val="24"/>
        </w:rPr>
        <w:t>本项目为五华河东绿色生态工业小镇油新水质净化厂（即河东工业园（油新）水质净化中心）一期工程建设项目，项目设计规模为0.8万m</w:t>
      </w:r>
      <w:r>
        <w:rPr>
          <w:rFonts w:hint="eastAsia"/>
          <w:color w:val="auto"/>
          <w:sz w:val="24"/>
          <w:szCs w:val="24"/>
          <w:vertAlign w:val="superscript"/>
        </w:rPr>
        <w:t>2</w:t>
      </w:r>
      <w:r>
        <w:rPr>
          <w:rFonts w:hint="eastAsia"/>
          <w:color w:val="auto"/>
          <w:sz w:val="24"/>
          <w:szCs w:val="24"/>
        </w:rPr>
        <w:t>，中水回用规模为2477.43m</w:t>
      </w:r>
      <w:r>
        <w:rPr>
          <w:rFonts w:hint="eastAsia"/>
          <w:color w:val="auto"/>
          <w:sz w:val="24"/>
          <w:szCs w:val="24"/>
          <w:vertAlign w:val="superscript"/>
        </w:rPr>
        <w:t>2</w:t>
      </w:r>
      <w:r>
        <w:rPr>
          <w:rFonts w:hint="eastAsia"/>
          <w:color w:val="auto"/>
          <w:sz w:val="24"/>
          <w:szCs w:val="24"/>
        </w:rPr>
        <w:t>，受纳水体为大嵩河。因此，本项目的建设符合《梅州市人民政府关于印发广东梅兴华丰产业集聚带发展总体规划（2015—2030年）实施方案的通知》（梅市府函〔2016〕67号）、《广东梅兴华丰产业集聚带环保基础设施规划建设方案》（广东省环境科学研究院、广东环科院环境科技有限公司，2016年4月）。</w:t>
      </w:r>
    </w:p>
    <w:p>
      <w:pPr>
        <w:spacing w:line="360" w:lineRule="auto"/>
        <w:ind w:firstLine="482" w:firstLineChars="200"/>
        <w:rPr>
          <w:b/>
          <w:bCs/>
          <w:color w:val="auto"/>
          <w:sz w:val="24"/>
          <w:szCs w:val="24"/>
        </w:rPr>
      </w:pPr>
      <w:r>
        <w:rPr>
          <w:rFonts w:hint="eastAsia"/>
          <w:b/>
          <w:bCs/>
          <w:color w:val="auto"/>
          <w:sz w:val="24"/>
          <w:szCs w:val="24"/>
        </w:rPr>
        <w:t>9、与《广东省人民政府关于印发广东省“三线一单”生态环境分区管控方案的通知》（粤府〔2020〕71号）相符性分析</w:t>
      </w:r>
    </w:p>
    <w:p>
      <w:pPr>
        <w:spacing w:line="360" w:lineRule="auto"/>
        <w:ind w:firstLine="480" w:firstLineChars="200"/>
        <w:rPr>
          <w:color w:val="auto"/>
          <w:sz w:val="24"/>
          <w:szCs w:val="24"/>
        </w:rPr>
      </w:pPr>
      <w:r>
        <w:rPr>
          <w:rFonts w:hint="eastAsia"/>
          <w:color w:val="auto"/>
          <w:sz w:val="24"/>
          <w:szCs w:val="24"/>
        </w:rPr>
        <w:t>《广东省人民政府关于印发广东省“三线一单”生态环境分区管控方案的通知》（粤府〔2020〕71号）提出：</w:t>
      </w:r>
    </w:p>
    <w:p>
      <w:pPr>
        <w:spacing w:line="360" w:lineRule="auto"/>
        <w:ind w:firstLine="480" w:firstLineChars="200"/>
        <w:rPr>
          <w:color w:val="auto"/>
          <w:sz w:val="24"/>
          <w:szCs w:val="24"/>
        </w:rPr>
      </w:pPr>
      <w:r>
        <w:rPr>
          <w:rFonts w:hint="eastAsia"/>
          <w:color w:val="auto"/>
          <w:sz w:val="24"/>
          <w:szCs w:val="24"/>
        </w:rPr>
        <w:t>（一）全省总体管控要求。</w:t>
      </w:r>
    </w:p>
    <w:p>
      <w:pPr>
        <w:spacing w:line="360" w:lineRule="auto"/>
        <w:ind w:firstLine="480" w:firstLineChars="200"/>
        <w:rPr>
          <w:color w:val="auto"/>
          <w:sz w:val="24"/>
          <w:szCs w:val="24"/>
        </w:rPr>
      </w:pPr>
      <w:r>
        <w:rPr>
          <w:rFonts w:hint="eastAsia"/>
          <w:color w:val="auto"/>
          <w:sz w:val="24"/>
          <w:szCs w:val="24"/>
        </w:rPr>
        <w:t>——区域布局管控要求。优先保护生态空间，保育生态功能。持续深入推进产业、能源、交通运输结构调整。按照“一核一带一区”发展格局，调整优化产业集群发展空间布局，推动城市功能定位与产业集群发展协同匹配。积极推进电子信息、绿色石化、汽车制造、智能家电等十大战略性支柱产业集群转型升级，加快培育半导体与集成电路、高端装备制造、新能源、数字创意等十大战略性新兴产业集群规模化、集约化发展，全面提升产业集群绿色发展水平。推动工业项目入园集聚发展，引导重大产业向沿海等环境容量充足地区布局，新建化学制浆、电镀、印染、鞣革等项目入园集中管理。依法依规关停落后产能，全面实施产业绿色化改造，培育壮大循环经济。环境质量不达标区域，新建项目需符合环境质量改善要求。加快推进天然气产供储销体系建设，全面实施燃煤锅炉、工业炉窑清洁能源改造和工业园区集中供热，积极促进用热企业向园区集聚。优化调整交通运输结构，大力发展“公转铁、公转水”和多式联运，积极推进公路、水路等交通运输燃料清洁化，逐步推广新能源物流车辆，积极推动设立“绿色物流”片区。</w:t>
      </w:r>
    </w:p>
    <w:p>
      <w:pPr>
        <w:spacing w:line="360" w:lineRule="auto"/>
        <w:ind w:firstLine="480" w:firstLineChars="200"/>
        <w:rPr>
          <w:color w:val="auto"/>
          <w:sz w:val="24"/>
          <w:szCs w:val="24"/>
        </w:rPr>
      </w:pPr>
      <w:r>
        <w:rPr>
          <w:rFonts w:hint="eastAsia"/>
          <w:color w:val="auto"/>
          <w:sz w:val="24"/>
          <w:szCs w:val="24"/>
        </w:rPr>
        <w:t>——能源资源利用要求。积极发展先进核电、海上风电、天然气发电等清洁能源，逐步提高可再生能源与低碳清洁能源比例，建立现代化能源体系。科学推进能源消费总量和强度“双控”，严格控制并逐步减少煤炭使用量，力争在全国范围内提前实现碳排放达峰。依法依规强化油品生产、流通、使用、贸易等全流程监管，减少直至杜绝非法劣质油品在全省流通和使用。贯彻落实“节水优先”方针，实行最严格水资源管理制度，把水资源作为刚性约束，以节约用水扩大发展空间。落实东江、西江、北江、韩江、鉴江等流域水资源分配方案，保障主要河流基本生态流量。强化自然岸线保护，优化岸线开发利用格局，建立岸线分类管控和长效管护机制，规范岸线开发秩序；除国家重大项目外，全面禁止围填海。落实单位土地面积投资强度、土地利用强度等建设用地控制性指标要求，提高土地利用效率。推动绿色矿山建设，提高矿产资源产出率。积极发展农业资源利用节约化、生产过程清洁化、废弃物利用资源化等生态循环农业模式。</w:t>
      </w:r>
    </w:p>
    <w:p>
      <w:pPr>
        <w:spacing w:line="360" w:lineRule="auto"/>
        <w:ind w:firstLine="480" w:firstLineChars="200"/>
        <w:rPr>
          <w:color w:val="auto"/>
          <w:sz w:val="24"/>
          <w:szCs w:val="24"/>
        </w:rPr>
      </w:pPr>
      <w:r>
        <w:rPr>
          <w:rFonts w:hint="eastAsia"/>
          <w:color w:val="auto"/>
          <w:sz w:val="24"/>
          <w:szCs w:val="24"/>
        </w:rPr>
        <w:t>——污染物排放管控要求。实施重点污染物（包括化学需氧量、氨氮、氮氧化物及挥发性有机物等）总量控制，重点污染物排放总量指标优先向重大发展平台、重点建设项目、重点工业园区、战略性产业集群倾斜。加快建立以排污许可制为核心的固定污染源监管制度，聚焦重点行业和重点区域，强化环境监管执法。超过重点污染物排放总量控制指标或未完成环境质量改善目标的区域，新建、改建、扩建项目重点污染物实施减量替代。重金属污染重点防控区内，重点重金属排放总量只减不增；重金属污染物排放企业清洁生产逐步达到国际或国内先进水平。实施重点行业清洁生产改造，火电及钢铁行业企业大气污染物达到可核查、可监管的超低排放标准，水泥、石化、化工及有色金属冶炼等行业企业大气污染物达到特别排放限值要求。深入推进石化化工、溶剂使用及挥发性有机液体储运销的挥发性有机物减排，通过源头替代、过程控制和末端治理实施反应活性物质、有毒有害物质、恶臭物质的协同控制。严格落实船舶大气污染物排放控制区要求。优化调整供排水格局，禁止在地表水Ⅰ、Ⅱ类水域新建排污口，已建排污口不得增加污染物排放量。加大工业园区污染治理力度，加快完善污水集中处理设施及配套工程建设，建立健全配套管理政策和市场化运行机制，确保园区污水稳定达标排放。加快推进生活污水处理设施建设和提质增效，因地制宜治理农村面源污染，加强畜禽养殖废弃物资源化利用。强化陆海统筹，严控陆源污染物入海量。</w:t>
      </w:r>
    </w:p>
    <w:p>
      <w:pPr>
        <w:spacing w:line="360" w:lineRule="auto"/>
        <w:ind w:firstLine="480" w:firstLineChars="200"/>
        <w:rPr>
          <w:color w:val="auto"/>
          <w:sz w:val="24"/>
          <w:szCs w:val="24"/>
        </w:rPr>
      </w:pPr>
      <w:r>
        <w:rPr>
          <w:rFonts w:hint="eastAsia"/>
          <w:color w:val="auto"/>
          <w:sz w:val="24"/>
          <w:szCs w:val="24"/>
        </w:rPr>
        <w:t>——环境风险防控要求。加强东江、西江、北江和韩江等供水通道干流沿岸以及饮用水水源地、备用水源环境风险防控，强化地表水、地下水和土壤污染风险协同防控，建立完善突发环境事件应急管理体系。重点加强环境风险分级分类管理，建立全省环境风险源在线监控预警系统，强化化工企业、涉重金属行业、工业园区和尾矿库等重点环境风险源的环境风险防控。实施农用地分类管理，依法划定特定农产品禁止生产区域，规范受污染建设用地地块再开发。全力避免因各类安全事故（事件）引发的次生环境风险事故（事件）。</w:t>
      </w:r>
    </w:p>
    <w:p>
      <w:pPr>
        <w:spacing w:line="360" w:lineRule="auto"/>
        <w:ind w:firstLine="480" w:firstLineChars="200"/>
        <w:rPr>
          <w:color w:val="auto"/>
          <w:sz w:val="24"/>
          <w:szCs w:val="24"/>
        </w:rPr>
      </w:pPr>
      <w:r>
        <w:rPr>
          <w:rFonts w:hint="eastAsia"/>
          <w:color w:val="auto"/>
          <w:sz w:val="24"/>
          <w:szCs w:val="24"/>
        </w:rPr>
        <w:t>（二）“一核一带一区”区域管控要求。</w:t>
      </w:r>
    </w:p>
    <w:p>
      <w:pPr>
        <w:spacing w:line="360" w:lineRule="auto"/>
        <w:ind w:firstLine="480" w:firstLineChars="200"/>
        <w:rPr>
          <w:color w:val="auto"/>
          <w:sz w:val="24"/>
          <w:szCs w:val="24"/>
        </w:rPr>
      </w:pPr>
      <w:r>
        <w:rPr>
          <w:rFonts w:hint="eastAsia"/>
          <w:color w:val="auto"/>
          <w:sz w:val="24"/>
          <w:szCs w:val="24"/>
        </w:rPr>
        <w:t>3.北部生态发展区。坚持生态优先，强化生态系统保护与修复，筑牢北部生态屏障。</w:t>
      </w:r>
    </w:p>
    <w:p>
      <w:pPr>
        <w:spacing w:line="360" w:lineRule="auto"/>
        <w:ind w:firstLine="480" w:firstLineChars="200"/>
        <w:rPr>
          <w:color w:val="auto"/>
          <w:sz w:val="24"/>
          <w:szCs w:val="24"/>
        </w:rPr>
      </w:pPr>
      <w:r>
        <w:rPr>
          <w:rFonts w:hint="eastAsia"/>
          <w:color w:val="auto"/>
          <w:sz w:val="24"/>
          <w:szCs w:val="24"/>
        </w:rPr>
        <w:t>——区域布局管控要求。大力强化生态保护和建设，严格控制开发强度。重点加强南岭山地保护，推进广东南岭国家公园建设，保护生态系统完整性与生物多样性，构建和巩固北部生态屏障。引导工业项目科学布局，新建项目原则上入园管理，推动现有工业项目集中进园。推动绿色钢铁、有色金属、建筑材料等先进材料产业集群向规模化、绿色化、高端化转型发展，打造特色优势产业集群，积极推动中高时延大数据中心项目布局落地。科学布局现代农业产业平台，打造现代农业与食品产业集群。严格控制涉重金属及有毒有害污染物排放的项目建设，新建、改建、扩建涉重金属重点行业的项目应明确重金属污染物总量来源。逐步扩大高污染燃料禁燃区范围。</w:t>
      </w:r>
    </w:p>
    <w:p>
      <w:pPr>
        <w:spacing w:line="360" w:lineRule="auto"/>
        <w:ind w:firstLine="480" w:firstLineChars="200"/>
        <w:rPr>
          <w:color w:val="auto"/>
          <w:sz w:val="24"/>
          <w:szCs w:val="24"/>
        </w:rPr>
      </w:pPr>
      <w:r>
        <w:rPr>
          <w:rFonts w:hint="eastAsia"/>
          <w:color w:val="auto"/>
          <w:sz w:val="24"/>
          <w:szCs w:val="24"/>
        </w:rPr>
        <w:t>——能源资源利用要求。进一步优化调整能源结构，鼓励使用天然气及可再生能源。县级及以上城市建成区，禁止新建每小时35蒸吨以下燃煤锅炉。原则上不再新建小水电以及除国家和省规划外的风电项目，对不符合生态环境要求的小水电进行清理整改。严格落实东江、北江、韩江流域等重要控制断面生态流量保障目标。推动矿产资源开发合理布局和节约集约利用，提高矿产资源开发项目准入门槛，严格执行开采总量指标管控，加快淘汰落后采选工艺，提高资源产出率。</w:t>
      </w:r>
    </w:p>
    <w:p>
      <w:pPr>
        <w:spacing w:line="360" w:lineRule="auto"/>
        <w:ind w:firstLine="480" w:firstLineChars="200"/>
        <w:rPr>
          <w:color w:val="auto"/>
          <w:sz w:val="24"/>
          <w:szCs w:val="24"/>
        </w:rPr>
      </w:pPr>
      <w:r>
        <w:rPr>
          <w:rFonts w:hint="eastAsia"/>
          <w:color w:val="auto"/>
          <w:sz w:val="24"/>
          <w:szCs w:val="24"/>
        </w:rPr>
        <w:t>——污染物排放管控要求。在可核查、可监管的基础上，新建项目原则上实施氮氧化物和挥发性有机物等量替代。北江流域严格实行重点重金属污染物减量替代。加快镇级生活污水处理设施及配套管网建设，因地制宜建设农村生活污水处理设施。加强养殖污染防治，推动养殖尾水达标排放或资源化利用。加快推进钢铁、陶瓷、水泥等重点行业提标改造（或“煤改气”改造）。加快矿山改造升级，逐步达到绿色矿山建设要求，凡口铅锌矿及其周边、大宝山矿及其周边等区域严格执行部分重金属水污染物特别排放限值的相关规定。</w:t>
      </w:r>
    </w:p>
    <w:p>
      <w:pPr>
        <w:spacing w:line="360" w:lineRule="auto"/>
        <w:ind w:firstLine="480" w:firstLineChars="200"/>
        <w:rPr>
          <w:color w:val="auto"/>
          <w:sz w:val="24"/>
          <w:szCs w:val="24"/>
        </w:rPr>
      </w:pPr>
      <w:r>
        <w:rPr>
          <w:rFonts w:hint="eastAsia"/>
          <w:color w:val="auto"/>
          <w:sz w:val="24"/>
          <w:szCs w:val="24"/>
        </w:rPr>
        <w:t>——环境风险防控要求。强化流域上游生态保护与水源涵养功能，建立完善突发环境事件应急管理体系，保障饮用水安全。加快落实受污染农用地的安全利用与严格管控措施，防范农产品重金属含量超标风险。加强尾矿库的环境风险排查与防范。加强金属矿采选、金属冶炼企业的重金属污染风险防控。强化选矿废水治理设施的升级改造，选矿废水原则上回用不外排。</w:t>
      </w:r>
    </w:p>
    <w:p>
      <w:pPr>
        <w:spacing w:line="360" w:lineRule="auto"/>
        <w:ind w:firstLine="480" w:firstLineChars="200"/>
        <w:rPr>
          <w:color w:val="auto"/>
          <w:sz w:val="24"/>
          <w:szCs w:val="24"/>
        </w:rPr>
      </w:pPr>
      <w:r>
        <w:rPr>
          <w:rFonts w:hint="eastAsia"/>
          <w:color w:val="auto"/>
          <w:sz w:val="24"/>
          <w:szCs w:val="24"/>
        </w:rPr>
        <w:t>（三）环境管控单元总体管控要求。</w:t>
      </w:r>
    </w:p>
    <w:p>
      <w:pPr>
        <w:spacing w:line="360" w:lineRule="auto"/>
        <w:ind w:firstLine="480" w:firstLineChars="200"/>
        <w:rPr>
          <w:color w:val="auto"/>
          <w:sz w:val="24"/>
          <w:szCs w:val="24"/>
        </w:rPr>
      </w:pPr>
      <w:r>
        <w:rPr>
          <w:rFonts w:hint="eastAsia"/>
          <w:color w:val="auto"/>
          <w:sz w:val="24"/>
          <w:szCs w:val="24"/>
        </w:rPr>
        <w:t>3.一般管控单元。</w:t>
      </w:r>
    </w:p>
    <w:p>
      <w:pPr>
        <w:spacing w:line="360" w:lineRule="auto"/>
        <w:ind w:firstLine="480" w:firstLineChars="200"/>
        <w:rPr>
          <w:color w:val="auto"/>
          <w:sz w:val="24"/>
          <w:szCs w:val="24"/>
        </w:rPr>
      </w:pPr>
      <w:r>
        <w:rPr>
          <w:rFonts w:hint="eastAsia"/>
          <w:color w:val="auto"/>
          <w:sz w:val="24"/>
          <w:szCs w:val="24"/>
        </w:rPr>
        <w:t>执行区域生态环境保护的基本要求。根据资源环境承载能力，引导产业科学布局，合理控制开发强度，维护生态环境功能稳定。</w:t>
      </w:r>
    </w:p>
    <w:p>
      <w:pPr>
        <w:spacing w:line="360" w:lineRule="auto"/>
        <w:ind w:firstLine="480" w:firstLineChars="200"/>
        <w:rPr>
          <w:color w:val="auto"/>
          <w:sz w:val="24"/>
          <w:szCs w:val="24"/>
        </w:rPr>
      </w:pPr>
      <w:r>
        <w:rPr>
          <w:rFonts w:hint="eastAsia"/>
          <w:color w:val="auto"/>
          <w:sz w:val="24"/>
          <w:szCs w:val="24"/>
        </w:rPr>
        <w:t>本项目为水质净化厂新建项目，</w:t>
      </w:r>
      <w:r>
        <w:rPr>
          <w:color w:val="auto"/>
          <w:sz w:val="24"/>
          <w:szCs w:val="24"/>
        </w:rPr>
        <w:t>主要包括水质净化厂及配套管网工程的建设</w:t>
      </w:r>
      <w:r>
        <w:rPr>
          <w:rFonts w:hint="eastAsia"/>
          <w:color w:val="auto"/>
          <w:sz w:val="24"/>
          <w:szCs w:val="24"/>
        </w:rPr>
        <w:t>，项目的建设可统筹区域水污染物的排放。此外，本项目属于《梅州市环境保护“十三五”规划》附表一“梅州市水环境保护重点工程”中的项目，因此，项目的建设符合《广东省人民政府关于印发广东省“三线一单”生态环境分区管控方案的通知》（粤府〔2020〕71号）。</w:t>
      </w:r>
    </w:p>
    <w:p>
      <w:pPr>
        <w:pStyle w:val="4"/>
        <w:rPr>
          <w:color w:val="auto"/>
        </w:rPr>
      </w:pPr>
      <w:bookmarkStart w:id="14" w:name="_Toc26276760"/>
      <w:r>
        <w:rPr>
          <w:rFonts w:hint="eastAsia"/>
          <w:color w:val="auto"/>
        </w:rPr>
        <w:t>1.5.3选址可行性分析</w:t>
      </w:r>
      <w:bookmarkEnd w:id="14"/>
    </w:p>
    <w:p>
      <w:pPr>
        <w:spacing w:line="360" w:lineRule="auto"/>
        <w:ind w:firstLine="482" w:firstLineChars="200"/>
        <w:rPr>
          <w:b/>
          <w:color w:val="auto"/>
          <w:sz w:val="24"/>
          <w:szCs w:val="24"/>
        </w:rPr>
      </w:pPr>
      <w:r>
        <w:rPr>
          <w:rFonts w:hint="eastAsia"/>
          <w:b/>
          <w:color w:val="auto"/>
          <w:sz w:val="24"/>
          <w:szCs w:val="24"/>
        </w:rPr>
        <w:t>1、土地利用规划符合性分析</w:t>
      </w:r>
    </w:p>
    <w:p>
      <w:pPr>
        <w:spacing w:line="360" w:lineRule="auto"/>
        <w:ind w:firstLine="480" w:firstLineChars="200"/>
        <w:rPr>
          <w:color w:val="auto"/>
          <w:sz w:val="24"/>
          <w:szCs w:val="24"/>
        </w:rPr>
      </w:pPr>
      <w:r>
        <w:rPr>
          <w:rFonts w:hint="eastAsia"/>
          <w:color w:val="auto"/>
          <w:sz w:val="24"/>
          <w:szCs w:val="24"/>
        </w:rPr>
        <w:t>本项目位于梅州市五华县河东镇，选址于畲华高速的东侧、油新公园的西南侧，中心坐标为</w:t>
      </w:r>
      <w:r>
        <w:rPr>
          <w:color w:val="auto"/>
          <w:sz w:val="24"/>
          <w:szCs w:val="24"/>
        </w:rPr>
        <w:t>23.934993°,115.836947°</w:t>
      </w:r>
      <w:r>
        <w:rPr>
          <w:rFonts w:hint="eastAsia"/>
          <w:color w:val="auto"/>
          <w:sz w:val="24"/>
          <w:szCs w:val="24"/>
        </w:rPr>
        <w:t>。根据《五华县河东绿色生态工业小镇总体规划（2019—2035）》，项目选址地块属“排水用地”（详见附图6），本项目为水质净化厂的新建项目，符合相关用地规划。</w:t>
      </w:r>
    </w:p>
    <w:p>
      <w:pPr>
        <w:spacing w:line="360" w:lineRule="auto"/>
        <w:ind w:firstLine="482" w:firstLineChars="200"/>
        <w:rPr>
          <w:b/>
          <w:color w:val="auto"/>
          <w:sz w:val="24"/>
          <w:szCs w:val="24"/>
        </w:rPr>
      </w:pPr>
      <w:r>
        <w:rPr>
          <w:rFonts w:hint="eastAsia"/>
          <w:b/>
          <w:color w:val="auto"/>
          <w:sz w:val="24"/>
          <w:szCs w:val="24"/>
        </w:rPr>
        <w:t>2、环境功能区划分析</w:t>
      </w:r>
    </w:p>
    <w:p>
      <w:pPr>
        <w:spacing w:line="360" w:lineRule="auto"/>
        <w:ind w:firstLine="480" w:firstLineChars="200"/>
        <w:rPr>
          <w:color w:val="auto"/>
          <w:sz w:val="24"/>
          <w:szCs w:val="24"/>
        </w:rPr>
      </w:pPr>
      <w:r>
        <w:rPr>
          <w:rFonts w:hint="eastAsia"/>
          <w:color w:val="auto"/>
          <w:sz w:val="24"/>
          <w:szCs w:val="24"/>
        </w:rPr>
        <w:t>本项目位于梅州市五华县河东镇，选址于畲华高速的东侧、油新公园的西南侧，根据《梅州市环境保护“十三五”规划》，项目区域大气环境质量功能区划属二类区，执行《环境空气质量标准》（ GB3095—2012）及其2018年修改单二级标准。本项目运营期产生的废气经治理后可达标排放，不会降低所在区域大气环境质量现状，与大气环境功能区划相符。</w:t>
      </w:r>
    </w:p>
    <w:p>
      <w:pPr>
        <w:spacing w:line="360" w:lineRule="auto"/>
        <w:ind w:firstLine="480" w:firstLineChars="200"/>
        <w:rPr>
          <w:color w:val="auto"/>
          <w:sz w:val="24"/>
          <w:szCs w:val="24"/>
        </w:rPr>
      </w:pPr>
      <w:r>
        <w:rPr>
          <w:rFonts w:hint="eastAsia"/>
          <w:color w:val="auto"/>
          <w:sz w:val="24"/>
          <w:szCs w:val="24"/>
        </w:rPr>
        <w:t>项目附近水体为大嵩河、梅江，分别执行《地表水环境质量标准》（GB3838—2002）Ⅲ类、Ⅱ类标准。根据《梅州市饮用水水源地环境保护专项规划》(2007-2020年)、《广东省人民政府关于调整梅州市部分饮用水水源保护区的批复》（粤府函〔2018〕428号）、《五华县镇村级集中式饮用水水源保护区划分调整方案》（梅州市生态环境局五华分局，2020年06月04日发布）和《梅州市人民政府关于印发梅州市“千吨万人”乡镇及以下饮用水水源保护区调整划定方案的通知》（梅市府函〔2020〕254 号），项目所在区域不属于梅州市饮用水水源保护区范围内。本项目为水质净化厂建设项目，项目建成后可明显减少区域污染物排放量，对保护和改善下游地表水体环境质量状况具有十分显著的作用，与地表水环境功能区划相符。</w:t>
      </w:r>
    </w:p>
    <w:p>
      <w:pPr>
        <w:spacing w:line="360" w:lineRule="auto"/>
        <w:ind w:firstLine="480" w:firstLineChars="200"/>
        <w:rPr>
          <w:color w:val="auto"/>
          <w:sz w:val="24"/>
          <w:szCs w:val="24"/>
        </w:rPr>
      </w:pPr>
      <w:r>
        <w:rPr>
          <w:rFonts w:hint="eastAsia"/>
          <w:color w:val="auto"/>
          <w:sz w:val="24"/>
          <w:szCs w:val="24"/>
        </w:rPr>
        <w:t>根据《梅州市环境保护“十三五”规划》，本项目选址区域属于2类声环境功能区，执行《声环境质量标准》（ GB3096—2008）中 2 类区标准。</w:t>
      </w:r>
      <w:r>
        <w:rPr>
          <w:color w:val="auto"/>
          <w:sz w:val="24"/>
          <w:szCs w:val="24"/>
        </w:rPr>
        <w:t>项目运营过程产生的噪声经采取综合治理措施后，可满足《工业企业厂界环境噪声排放标准》（GB12348-2008）2类标准要求，对周围声环境的影响较小</w:t>
      </w:r>
      <w:r>
        <w:rPr>
          <w:rFonts w:hint="eastAsia"/>
          <w:color w:val="auto"/>
          <w:sz w:val="24"/>
          <w:szCs w:val="24"/>
        </w:rPr>
        <w:t>，与声环境功能区划相符。</w:t>
      </w:r>
    </w:p>
    <w:p>
      <w:pPr>
        <w:spacing w:line="360" w:lineRule="auto"/>
        <w:ind w:firstLine="480" w:firstLineChars="200"/>
        <w:rPr>
          <w:color w:val="auto"/>
          <w:sz w:val="24"/>
          <w:szCs w:val="24"/>
        </w:rPr>
      </w:pPr>
      <w:r>
        <w:rPr>
          <w:rFonts w:hint="eastAsia"/>
          <w:color w:val="auto"/>
          <w:sz w:val="24"/>
          <w:szCs w:val="24"/>
        </w:rPr>
        <w:t>根据《广东省地下水功能区划》，项目所在区域地下水属于“韩江及粤东诸河梅州五华地下水水源涵养区（H084414002T05）”，水质保护目标为Ⅲ类，执行《地下水质量标准》（GB/T14848—2017）Ⅲ类水质标准。经分析，在严格执行工程防渗措施和其他环境保护措施的前提下，本项目建设运行对区域地下水影响不明显，与地下水环境功能区划相符。</w:t>
      </w:r>
    </w:p>
    <w:p>
      <w:pPr>
        <w:spacing w:line="360" w:lineRule="auto"/>
        <w:ind w:firstLine="480" w:firstLineChars="200"/>
        <w:rPr>
          <w:color w:val="auto"/>
          <w:sz w:val="24"/>
          <w:szCs w:val="24"/>
        </w:rPr>
      </w:pPr>
      <w:r>
        <w:rPr>
          <w:rFonts w:hint="eastAsia"/>
          <w:color w:val="auto"/>
          <w:sz w:val="24"/>
          <w:szCs w:val="24"/>
        </w:rPr>
        <w:t>根据《印发广东省环境保护规划纲要(2006-2020）的通知》（粤府〔2006〕35号）中的广东省生态功能区划，项目所在地属于集约利用区。本项目为水质净化厂建设项目，不从事生产活动，对周边环境影响较小。经现场勘查，厂址附近无自然保护区、文物景观等环境保护目标，与生态环境功能区划相符。</w:t>
      </w:r>
    </w:p>
    <w:p>
      <w:pPr>
        <w:spacing w:line="360" w:lineRule="auto"/>
        <w:ind w:firstLine="480" w:firstLineChars="200"/>
        <w:rPr>
          <w:color w:val="auto"/>
          <w:sz w:val="24"/>
          <w:szCs w:val="24"/>
        </w:rPr>
      </w:pPr>
      <w:r>
        <w:rPr>
          <w:rFonts w:hint="eastAsia"/>
          <w:color w:val="auto"/>
          <w:sz w:val="24"/>
          <w:szCs w:val="24"/>
        </w:rPr>
        <w:t>综上所述，在确保项目各种环保及安全措施得到落实和正常运作的情况下，本项目的建设不会改变区域的环境功能现状，符合梅州市环境功能区划。</w:t>
      </w:r>
    </w:p>
    <w:p>
      <w:pPr>
        <w:pStyle w:val="4"/>
        <w:rPr>
          <w:color w:val="auto"/>
        </w:rPr>
      </w:pPr>
      <w:bookmarkStart w:id="15" w:name="_Toc26276762"/>
      <w:r>
        <w:rPr>
          <w:rFonts w:hint="eastAsia"/>
          <w:color w:val="auto"/>
        </w:rPr>
        <w:t>1.5.4总图布置合理性分析</w:t>
      </w:r>
      <w:bookmarkEnd w:id="15"/>
    </w:p>
    <w:p>
      <w:pPr>
        <w:spacing w:line="360" w:lineRule="auto"/>
        <w:ind w:firstLine="480" w:firstLineChars="200"/>
        <w:rPr>
          <w:color w:val="auto"/>
          <w:sz w:val="24"/>
          <w:szCs w:val="24"/>
        </w:rPr>
      </w:pPr>
      <w:r>
        <w:rPr>
          <w:rFonts w:hint="eastAsia"/>
          <w:color w:val="auto"/>
          <w:sz w:val="24"/>
          <w:szCs w:val="24"/>
        </w:rPr>
        <w:t>本项目选址于畲华高速的东侧、油新公园的西南侧，规划用地面积4.0hm</w:t>
      </w:r>
      <w:r>
        <w:rPr>
          <w:rFonts w:hint="eastAsia"/>
          <w:color w:val="auto"/>
          <w:sz w:val="24"/>
          <w:szCs w:val="24"/>
          <w:vertAlign w:val="superscript"/>
        </w:rPr>
        <w:t>2</w:t>
      </w:r>
      <w:r>
        <w:rPr>
          <w:rFonts w:hint="eastAsia"/>
          <w:color w:val="auto"/>
          <w:sz w:val="24"/>
          <w:szCs w:val="24"/>
        </w:rPr>
        <w:t>（包含再生水厂建设用地）。本工程用地面积为3.12 hm</w:t>
      </w:r>
      <w:r>
        <w:rPr>
          <w:rFonts w:hint="eastAsia"/>
          <w:color w:val="auto"/>
          <w:sz w:val="24"/>
          <w:szCs w:val="24"/>
          <w:vertAlign w:val="superscript"/>
        </w:rPr>
        <w:t>2</w:t>
      </w:r>
      <w:r>
        <w:rPr>
          <w:rFonts w:hint="eastAsia"/>
          <w:color w:val="auto"/>
          <w:sz w:val="24"/>
          <w:szCs w:val="24"/>
        </w:rPr>
        <w:t>，约 46.67 亩（包括远期用地，不含远景用地）。</w:t>
      </w:r>
    </w:p>
    <w:p>
      <w:pPr>
        <w:spacing w:line="360" w:lineRule="auto"/>
        <w:ind w:firstLine="480" w:firstLineChars="200"/>
        <w:rPr>
          <w:color w:val="auto"/>
          <w:sz w:val="24"/>
          <w:szCs w:val="24"/>
        </w:rPr>
      </w:pPr>
      <w:r>
        <w:rPr>
          <w:rFonts w:hint="eastAsia"/>
          <w:color w:val="auto"/>
          <w:sz w:val="24"/>
          <w:szCs w:val="24"/>
        </w:rPr>
        <w:t>本项目选址地块为不规则矩形，管理区布置在厂址西北侧，主要为综合楼和门卫。污水处理区沿厂区西侧布置，其中，污水深度处理区位于管理区南侧，主要为中间泵房、高效沉淀池、滤池及消毒接触池；污水二级处理区位于深度处理区南侧，主要为生物反应池、二沉池配水井及污泥泵房和二沉池；污水预处理区位于二级处理区南侧，主要为粗格栅及进水泵房、细格栅及平流沉砂池和应急沉淀池。污泥处理区位于厂区东南侧，主要有污泥浓缩池、污泥均质调理池和污泥脱水机房。另设有鼓风机房位于应急沉淀池东面；除臭装置、机修车间、变配电间位于污水预处理区南侧；加药间位于综合楼东面。远期工程预留用地位于厂区东中部。</w:t>
      </w:r>
    </w:p>
    <w:p>
      <w:pPr>
        <w:spacing w:line="360" w:lineRule="auto"/>
        <w:ind w:firstLine="480" w:firstLineChars="200"/>
        <w:rPr>
          <w:color w:val="auto"/>
          <w:sz w:val="24"/>
          <w:szCs w:val="24"/>
        </w:rPr>
      </w:pPr>
      <w:r>
        <w:rPr>
          <w:rFonts w:hint="eastAsia"/>
          <w:color w:val="auto"/>
          <w:sz w:val="24"/>
          <w:szCs w:val="24"/>
        </w:rPr>
        <w:t>项目所在地常年主导风向为西北风，本项目产生恶臭的区域主要为污水预处理区和污泥处理区，由平面布置可知，恶臭产生区主要集中在厂区南侧、东南侧，位于厂区下风向，对厂内员工影响较小。</w:t>
      </w:r>
    </w:p>
    <w:p>
      <w:pPr>
        <w:spacing w:line="360" w:lineRule="auto"/>
        <w:ind w:firstLine="480" w:firstLineChars="200"/>
        <w:rPr>
          <w:color w:val="auto"/>
          <w:sz w:val="24"/>
          <w:szCs w:val="24"/>
        </w:rPr>
      </w:pPr>
      <w:r>
        <w:rPr>
          <w:rFonts w:hint="eastAsia"/>
          <w:color w:val="auto"/>
          <w:sz w:val="24"/>
          <w:szCs w:val="24"/>
        </w:rPr>
        <w:t>在总体布置上，本项目利用道路、绿化及建(构)筑物的空间，以充分满足生产功能要求为前提，配合工艺对厂内各种建（构）筑物及相关的设施进行合理组团布置。同时结合道路、环境绿化，构成生态型污水厂的环境空间。建筑造型简洁明快，使之具有良好的观赏效果和优美的环境。在现有场地的条件下，本水质净化厂为满足运输及消防需要，污水生产区设计主要道路宽6m，转弯半径9m，其余区域道路考虑4m，转弯半径6m 以上；考虑污泥系统设备较大，污泥生产区设计主要道路宽9m，转弯半径13.5m，其余区域道路考虑4m，转弯半径6m以上，满足了全厂的建筑消防安全及物资运输要求。厂区内设置2个出入口，分别位于管理区和污水预处理区，是全厂对外联系、人员进出等的主要通道。生产区通过道路、绿化，同管理区相分隔，但建筑造型、总平面布置，又共同形成一个完整优美的外部空间。综合风向、日照、环境等多方面的因素，采用这种总平面布置，很好的解决了噪音、空气污染的问题。厂前区同生产区交通组织得当，行人和车流通畅顺捷，建筑空间协调丰富。</w:t>
      </w:r>
    </w:p>
    <w:p>
      <w:pPr>
        <w:spacing w:line="360" w:lineRule="auto"/>
        <w:ind w:firstLine="480" w:firstLineChars="200"/>
        <w:rPr>
          <w:color w:val="auto"/>
          <w:sz w:val="24"/>
          <w:szCs w:val="24"/>
        </w:rPr>
      </w:pPr>
      <w:r>
        <w:rPr>
          <w:rFonts w:hint="eastAsia"/>
          <w:color w:val="auto"/>
          <w:sz w:val="24"/>
          <w:szCs w:val="24"/>
        </w:rPr>
        <w:t>本项目各构筑物及建筑物平面布置见附图5。</w:t>
      </w:r>
    </w:p>
    <w:p>
      <w:pPr>
        <w:pStyle w:val="3"/>
        <w:rPr>
          <w:color w:val="auto"/>
        </w:rPr>
      </w:pPr>
      <w:bookmarkStart w:id="16" w:name="_Toc26276763"/>
      <w:bookmarkStart w:id="17" w:name="_Toc8888"/>
      <w:r>
        <w:rPr>
          <w:rFonts w:hint="eastAsia"/>
          <w:color w:val="auto"/>
        </w:rPr>
        <w:t>1.6环境影响评价的主要结论</w:t>
      </w:r>
      <w:bookmarkEnd w:id="16"/>
      <w:bookmarkEnd w:id="17"/>
    </w:p>
    <w:p>
      <w:pPr>
        <w:spacing w:line="360" w:lineRule="auto"/>
        <w:ind w:firstLine="480" w:firstLineChars="200"/>
        <w:rPr>
          <w:color w:val="auto"/>
          <w:sz w:val="24"/>
          <w:szCs w:val="24"/>
        </w:rPr>
      </w:pPr>
      <w:r>
        <w:rPr>
          <w:rFonts w:hint="eastAsia"/>
          <w:color w:val="auto"/>
          <w:sz w:val="24"/>
          <w:szCs w:val="24"/>
        </w:rPr>
        <w:t>经分析论证，本项目生产工艺、设备、规模符合产业政策要求；项目选址符合广东省和梅州市规划要求；项目场地不在生态红线范围内，不会对大气、地表水、地下水、土壤、声环境质量底线造成冲击，符合广东省“三线一单”生态环境分区管控的要求。企业拟采取的污染防治措施可靠有效，可保证污染物稳定达标排放，固体废物能得到妥善处置，外排污染物对周围环境影响不大；项目环境风险在落实各项措施和加强管理的条件下处于可接受水平；污染物排放总量符合污染物总量控制要求。</w:t>
      </w:r>
    </w:p>
    <w:p>
      <w:pPr>
        <w:spacing w:line="360" w:lineRule="auto"/>
        <w:ind w:firstLine="480" w:firstLineChars="200"/>
        <w:rPr>
          <w:color w:val="auto"/>
          <w:sz w:val="24"/>
          <w:szCs w:val="24"/>
        </w:rPr>
      </w:pPr>
      <w:r>
        <w:rPr>
          <w:rFonts w:hint="eastAsia"/>
          <w:color w:val="auto"/>
          <w:sz w:val="24"/>
          <w:szCs w:val="24"/>
        </w:rPr>
        <w:t>从环保角度分析，本项目建设可行。</w:t>
      </w:r>
    </w:p>
    <w:p>
      <w:pPr>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p>
    <w:p>
      <w:pPr>
        <w:pStyle w:val="2"/>
        <w:rPr>
          <w:color w:val="auto"/>
        </w:rPr>
      </w:pPr>
      <w:bookmarkStart w:id="18" w:name="_Toc26276764"/>
      <w:bookmarkStart w:id="19" w:name="_Toc26889"/>
      <w:r>
        <w:rPr>
          <w:rFonts w:hint="eastAsia"/>
          <w:color w:val="auto"/>
        </w:rPr>
        <w:t>2总则</w:t>
      </w:r>
      <w:bookmarkEnd w:id="18"/>
      <w:bookmarkEnd w:id="19"/>
    </w:p>
    <w:p>
      <w:pPr>
        <w:pStyle w:val="3"/>
        <w:rPr>
          <w:color w:val="auto"/>
        </w:rPr>
      </w:pPr>
      <w:bookmarkStart w:id="20" w:name="_Toc26276765"/>
      <w:bookmarkStart w:id="21" w:name="_Toc11614"/>
      <w:r>
        <w:rPr>
          <w:rFonts w:hint="eastAsia"/>
          <w:color w:val="auto"/>
        </w:rPr>
        <w:t>2.1编制依据</w:t>
      </w:r>
      <w:bookmarkEnd w:id="20"/>
      <w:bookmarkEnd w:id="21"/>
    </w:p>
    <w:p>
      <w:pPr>
        <w:pStyle w:val="4"/>
        <w:rPr>
          <w:color w:val="auto"/>
        </w:rPr>
      </w:pPr>
      <w:bookmarkStart w:id="22" w:name="_Toc26276766"/>
      <w:r>
        <w:rPr>
          <w:rFonts w:hint="eastAsia"/>
          <w:color w:val="auto"/>
        </w:rPr>
        <w:t>2.1.1国家法律、法规及政策文件</w:t>
      </w:r>
      <w:bookmarkEnd w:id="22"/>
    </w:p>
    <w:p>
      <w:pPr>
        <w:spacing w:line="360" w:lineRule="auto"/>
        <w:ind w:firstLine="480" w:firstLineChars="200"/>
        <w:rPr>
          <w:color w:val="auto"/>
          <w:sz w:val="24"/>
          <w:szCs w:val="24"/>
        </w:rPr>
      </w:pPr>
      <w:r>
        <w:rPr>
          <w:rFonts w:hint="eastAsia"/>
          <w:color w:val="auto"/>
          <w:sz w:val="24"/>
          <w:szCs w:val="24"/>
        </w:rPr>
        <w:t>（1）《中华人民共和国环境保护法》</w:t>
      </w:r>
      <w:r>
        <w:rPr>
          <w:rFonts w:hint="eastAsia" w:ascii="宋体" w:hAnsi="宋体"/>
          <w:color w:val="auto"/>
          <w:sz w:val="24"/>
          <w:szCs w:val="24"/>
        </w:rPr>
        <w:t>（</w:t>
      </w:r>
      <w:r>
        <w:rPr>
          <w:rFonts w:hint="eastAsia"/>
          <w:color w:val="auto"/>
          <w:sz w:val="24"/>
          <w:szCs w:val="24"/>
        </w:rPr>
        <w:t>2015年1月1日实施</w:t>
      </w:r>
      <w:r>
        <w:rPr>
          <w:rFonts w:hint="eastAsia" w:ascii="宋体" w:hAnsi="宋体"/>
          <w:color w:val="auto"/>
          <w:sz w:val="24"/>
          <w:szCs w:val="24"/>
        </w:rPr>
        <w:t>）</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（2）《中华人民共和国环境影响评价法（2018修正版）》；</w:t>
      </w:r>
    </w:p>
    <w:p>
      <w:pPr>
        <w:spacing w:line="360" w:lineRule="auto"/>
        <w:ind w:firstLine="480" w:firstLineChars="200"/>
        <w:rPr>
          <w:color w:val="auto"/>
          <w:sz w:val="24"/>
          <w:szCs w:val="24"/>
        </w:rPr>
      </w:pPr>
      <w:r>
        <w:rPr>
          <w:rFonts w:hint="eastAsia"/>
          <w:color w:val="auto"/>
          <w:sz w:val="24"/>
          <w:szCs w:val="24"/>
        </w:rPr>
        <w:t>（3）《中华人民共和国水污染防治法》（2017年修订）；</w:t>
      </w:r>
    </w:p>
    <w:p>
      <w:pPr>
        <w:spacing w:line="360" w:lineRule="auto"/>
        <w:ind w:firstLine="480" w:firstLineChars="200"/>
        <w:rPr>
          <w:color w:val="auto"/>
          <w:sz w:val="24"/>
          <w:szCs w:val="24"/>
        </w:rPr>
      </w:pPr>
      <w:r>
        <w:rPr>
          <w:rFonts w:hint="eastAsia"/>
          <w:color w:val="auto"/>
          <w:sz w:val="24"/>
          <w:szCs w:val="24"/>
        </w:rPr>
        <w:t>（4）《中华人民共和国大气污染防治法》（2018年第二次修订）；</w:t>
      </w:r>
    </w:p>
    <w:p>
      <w:pPr>
        <w:spacing w:line="360" w:lineRule="auto"/>
        <w:ind w:firstLine="480" w:firstLineChars="200"/>
        <w:rPr>
          <w:color w:val="auto"/>
          <w:sz w:val="24"/>
          <w:szCs w:val="24"/>
        </w:rPr>
      </w:pPr>
      <w:r>
        <w:rPr>
          <w:rFonts w:hint="eastAsia"/>
          <w:color w:val="auto"/>
          <w:sz w:val="24"/>
          <w:szCs w:val="24"/>
        </w:rPr>
        <w:t>（5）《中华人民共和国环境噪声污染防治法》（2018年修订）；</w:t>
      </w:r>
    </w:p>
    <w:p>
      <w:pPr>
        <w:spacing w:line="360" w:lineRule="auto"/>
        <w:ind w:firstLine="480" w:firstLineChars="200"/>
        <w:rPr>
          <w:color w:val="auto"/>
          <w:sz w:val="24"/>
          <w:szCs w:val="24"/>
        </w:rPr>
      </w:pPr>
      <w:r>
        <w:rPr>
          <w:rFonts w:hint="eastAsia"/>
          <w:color w:val="auto"/>
          <w:sz w:val="24"/>
          <w:szCs w:val="24"/>
        </w:rPr>
        <w:t>（6）《中华人民共和国固体废物污染环境防治法》（2020年修订）；</w:t>
      </w:r>
    </w:p>
    <w:p>
      <w:pPr>
        <w:spacing w:line="360" w:lineRule="auto"/>
        <w:ind w:firstLine="480" w:firstLineChars="200"/>
        <w:rPr>
          <w:color w:val="auto"/>
          <w:sz w:val="24"/>
          <w:szCs w:val="24"/>
        </w:rPr>
      </w:pPr>
      <w:r>
        <w:rPr>
          <w:rFonts w:hint="eastAsia"/>
          <w:color w:val="auto"/>
          <w:sz w:val="24"/>
          <w:szCs w:val="24"/>
        </w:rPr>
        <w:t>（7）《中华人民共和国清洁生产促进法》（中华人民共和国主席令　第五十四号）；</w:t>
      </w:r>
    </w:p>
    <w:p>
      <w:pPr>
        <w:spacing w:line="360" w:lineRule="auto"/>
        <w:ind w:firstLine="480" w:firstLineChars="200"/>
        <w:rPr>
          <w:color w:val="auto"/>
          <w:sz w:val="24"/>
          <w:szCs w:val="24"/>
        </w:rPr>
      </w:pPr>
      <w:r>
        <w:rPr>
          <w:rFonts w:hint="eastAsia"/>
          <w:color w:val="auto"/>
          <w:sz w:val="24"/>
          <w:szCs w:val="24"/>
        </w:rPr>
        <w:t>（8）《国务院关于落实科学发展观加强环境保护的决定》（国发〔2005〕39号）；</w:t>
      </w:r>
    </w:p>
    <w:p>
      <w:pPr>
        <w:spacing w:line="360" w:lineRule="auto"/>
        <w:ind w:firstLine="480" w:firstLineChars="200"/>
        <w:rPr>
          <w:color w:val="auto"/>
          <w:sz w:val="24"/>
          <w:szCs w:val="24"/>
        </w:rPr>
      </w:pPr>
      <w:r>
        <w:rPr>
          <w:rFonts w:hint="eastAsia"/>
          <w:color w:val="auto"/>
          <w:sz w:val="24"/>
          <w:szCs w:val="24"/>
        </w:rPr>
        <w:t>（9）《国务院关于印发“十三五”节能减排综合工作方案的通知》（国发〔2016〕74号）；</w:t>
      </w:r>
    </w:p>
    <w:p>
      <w:pPr>
        <w:spacing w:line="360" w:lineRule="auto"/>
        <w:ind w:firstLine="480" w:firstLineChars="200"/>
        <w:rPr>
          <w:color w:val="auto"/>
          <w:sz w:val="24"/>
          <w:szCs w:val="24"/>
        </w:rPr>
      </w:pPr>
      <w:r>
        <w:rPr>
          <w:rFonts w:hint="eastAsia"/>
          <w:color w:val="auto"/>
          <w:sz w:val="24"/>
          <w:szCs w:val="24"/>
        </w:rPr>
        <w:t>（10）《国务院关于环境保护若干问题的决定》（国发〔1996〕31号）；</w:t>
      </w:r>
    </w:p>
    <w:p>
      <w:pPr>
        <w:spacing w:line="360" w:lineRule="auto"/>
        <w:ind w:firstLine="480" w:firstLineChars="200"/>
        <w:rPr>
          <w:color w:val="auto"/>
          <w:sz w:val="24"/>
          <w:szCs w:val="24"/>
        </w:rPr>
      </w:pPr>
      <w:r>
        <w:rPr>
          <w:rFonts w:hint="eastAsia"/>
          <w:color w:val="auto"/>
          <w:sz w:val="24"/>
          <w:szCs w:val="24"/>
        </w:rPr>
        <w:t>（11）《国务院关于进一步加强环境保护工作的决定》（国发〔1990〕65号）；</w:t>
      </w:r>
    </w:p>
    <w:p>
      <w:pPr>
        <w:spacing w:line="360" w:lineRule="auto"/>
        <w:ind w:firstLine="480" w:firstLineChars="200"/>
        <w:rPr>
          <w:color w:val="auto"/>
          <w:sz w:val="24"/>
          <w:szCs w:val="24"/>
        </w:rPr>
      </w:pPr>
      <w:r>
        <w:rPr>
          <w:rFonts w:hint="eastAsia"/>
          <w:color w:val="auto"/>
          <w:sz w:val="24"/>
          <w:szCs w:val="24"/>
        </w:rPr>
        <w:t>（12）《建设项目环境保护管理条例》（国务院令第682号,2017年修订）；</w:t>
      </w:r>
    </w:p>
    <w:p>
      <w:pPr>
        <w:spacing w:line="360" w:lineRule="auto"/>
        <w:ind w:firstLine="480" w:firstLineChars="200"/>
        <w:rPr>
          <w:color w:val="auto"/>
          <w:sz w:val="24"/>
          <w:szCs w:val="24"/>
        </w:rPr>
      </w:pPr>
      <w:r>
        <w:rPr>
          <w:rFonts w:hint="eastAsia"/>
          <w:color w:val="auto"/>
          <w:sz w:val="24"/>
          <w:szCs w:val="24"/>
        </w:rPr>
        <w:t>（13）《建设项目环境影响评价分类管理名录》（2021年版）；</w:t>
      </w:r>
    </w:p>
    <w:p>
      <w:pPr>
        <w:spacing w:line="360" w:lineRule="auto"/>
        <w:ind w:firstLine="480" w:firstLineChars="200"/>
        <w:rPr>
          <w:color w:val="auto"/>
          <w:sz w:val="24"/>
          <w:szCs w:val="24"/>
        </w:rPr>
      </w:pPr>
      <w:r>
        <w:rPr>
          <w:rFonts w:hint="eastAsia"/>
          <w:color w:val="auto"/>
          <w:sz w:val="24"/>
          <w:szCs w:val="24"/>
        </w:rPr>
        <w:t>（14）《环境影响评价公众参与办法》（部令第4号）；</w:t>
      </w:r>
    </w:p>
    <w:p>
      <w:pPr>
        <w:spacing w:line="360" w:lineRule="auto"/>
        <w:ind w:firstLine="480" w:firstLineChars="200"/>
        <w:rPr>
          <w:color w:val="auto"/>
          <w:sz w:val="24"/>
          <w:szCs w:val="24"/>
        </w:rPr>
      </w:pPr>
      <w:r>
        <w:rPr>
          <w:rFonts w:hint="eastAsia"/>
          <w:color w:val="auto"/>
          <w:sz w:val="24"/>
          <w:szCs w:val="24"/>
        </w:rPr>
        <w:t>（15）《市场准入负面清单》（2020年版）；</w:t>
      </w:r>
    </w:p>
    <w:p>
      <w:pPr>
        <w:spacing w:line="360" w:lineRule="auto"/>
        <w:ind w:firstLine="480" w:firstLineChars="200"/>
        <w:rPr>
          <w:color w:val="auto"/>
          <w:sz w:val="24"/>
          <w:szCs w:val="24"/>
        </w:rPr>
      </w:pPr>
      <w:r>
        <w:rPr>
          <w:rFonts w:hint="eastAsia"/>
          <w:color w:val="auto"/>
          <w:sz w:val="24"/>
          <w:szCs w:val="24"/>
        </w:rPr>
        <w:t>（16）《国家危险废物名录》（2021年版）；</w:t>
      </w:r>
    </w:p>
    <w:p>
      <w:pPr>
        <w:spacing w:line="360" w:lineRule="auto"/>
        <w:ind w:firstLine="480" w:firstLineChars="200"/>
        <w:rPr>
          <w:color w:val="auto"/>
          <w:sz w:val="24"/>
          <w:szCs w:val="24"/>
        </w:rPr>
      </w:pPr>
      <w:r>
        <w:rPr>
          <w:rFonts w:hint="eastAsia"/>
          <w:color w:val="auto"/>
          <w:sz w:val="24"/>
          <w:szCs w:val="24"/>
        </w:rPr>
        <w:t>（17）《危险化学品安全管理条例》（2013年修订）；</w:t>
      </w:r>
    </w:p>
    <w:p>
      <w:pPr>
        <w:spacing w:line="360" w:lineRule="auto"/>
        <w:ind w:firstLine="480" w:firstLineChars="200"/>
        <w:rPr>
          <w:color w:val="auto"/>
          <w:sz w:val="24"/>
          <w:szCs w:val="24"/>
        </w:rPr>
      </w:pPr>
      <w:r>
        <w:rPr>
          <w:rFonts w:hint="eastAsia"/>
          <w:color w:val="auto"/>
          <w:sz w:val="24"/>
          <w:szCs w:val="24"/>
        </w:rPr>
        <w:t>（18）《“十三五”生态环境保护规划》（2016年12月5日）；</w:t>
      </w:r>
    </w:p>
    <w:p>
      <w:pPr>
        <w:spacing w:line="360" w:lineRule="auto"/>
        <w:ind w:firstLine="480" w:firstLineChars="200"/>
        <w:rPr>
          <w:color w:val="auto"/>
          <w:sz w:val="24"/>
          <w:szCs w:val="24"/>
        </w:rPr>
      </w:pPr>
      <w:r>
        <w:rPr>
          <w:rFonts w:hint="eastAsia"/>
          <w:color w:val="auto"/>
          <w:sz w:val="24"/>
          <w:szCs w:val="24"/>
        </w:rPr>
        <w:t>（19）《国务院关于印发水污染防治行动计划的通知》（国发〔2015〕17号）；</w:t>
      </w:r>
    </w:p>
    <w:p>
      <w:pPr>
        <w:spacing w:line="360" w:lineRule="auto"/>
        <w:ind w:firstLine="480" w:firstLineChars="200"/>
        <w:rPr>
          <w:color w:val="auto"/>
          <w:sz w:val="24"/>
          <w:szCs w:val="24"/>
        </w:rPr>
      </w:pPr>
      <w:r>
        <w:rPr>
          <w:rFonts w:hint="eastAsia"/>
          <w:color w:val="auto"/>
          <w:sz w:val="24"/>
          <w:szCs w:val="24"/>
        </w:rPr>
        <w:t>（20）《关于落实&lt;水污染防治行动计划&gt;实施区域差别化环境准入的指导意见》（环环评〔2016〕190号）；</w:t>
      </w:r>
    </w:p>
    <w:p>
      <w:pPr>
        <w:spacing w:line="360" w:lineRule="auto"/>
        <w:ind w:firstLine="480" w:firstLineChars="200"/>
        <w:rPr>
          <w:color w:val="auto"/>
          <w:sz w:val="24"/>
          <w:szCs w:val="24"/>
        </w:rPr>
      </w:pPr>
      <w:r>
        <w:rPr>
          <w:rFonts w:hint="eastAsia"/>
          <w:color w:val="auto"/>
          <w:sz w:val="24"/>
          <w:szCs w:val="24"/>
        </w:rPr>
        <w:t>（21）《建设项目环境保护事中事后监督管理办法（试行）》（环发〔2015〕163号）；</w:t>
      </w:r>
    </w:p>
    <w:p>
      <w:pPr>
        <w:spacing w:line="360" w:lineRule="auto"/>
        <w:ind w:firstLine="480" w:firstLineChars="200"/>
        <w:rPr>
          <w:color w:val="auto"/>
          <w:sz w:val="24"/>
          <w:szCs w:val="24"/>
        </w:rPr>
      </w:pPr>
      <w:r>
        <w:rPr>
          <w:rFonts w:hint="eastAsia"/>
          <w:color w:val="auto"/>
          <w:sz w:val="24"/>
          <w:szCs w:val="24"/>
        </w:rPr>
        <w:t>（22）《国务院办公厅关于印发&lt;控制污染物排放许可制实施方案&gt;的通知》(国办发〔2016〕81号)；</w:t>
      </w:r>
    </w:p>
    <w:p>
      <w:pPr>
        <w:spacing w:line="360" w:lineRule="auto"/>
        <w:ind w:firstLine="480" w:firstLineChars="200"/>
        <w:rPr>
          <w:color w:val="auto"/>
          <w:sz w:val="24"/>
          <w:szCs w:val="24"/>
        </w:rPr>
      </w:pPr>
      <w:r>
        <w:rPr>
          <w:rFonts w:hint="eastAsia"/>
          <w:color w:val="auto"/>
          <w:sz w:val="24"/>
          <w:szCs w:val="24"/>
        </w:rPr>
        <w:t>（23）《关于印发&lt;建设项目主要污染物排放总量指标审核及管理暂行办法&gt;的通知》（环发〔2014〕197号）；</w:t>
      </w:r>
    </w:p>
    <w:p>
      <w:pPr>
        <w:spacing w:line="360" w:lineRule="auto"/>
        <w:ind w:firstLine="480" w:firstLineChars="200"/>
        <w:rPr>
          <w:color w:val="auto"/>
          <w:sz w:val="24"/>
          <w:szCs w:val="24"/>
        </w:rPr>
      </w:pPr>
      <w:r>
        <w:rPr>
          <w:rFonts w:hint="eastAsia"/>
          <w:color w:val="auto"/>
          <w:sz w:val="24"/>
          <w:szCs w:val="24"/>
        </w:rPr>
        <w:t>（24）《土壤污染防治行动计划》（国发〔2016〕31号）；</w:t>
      </w:r>
    </w:p>
    <w:p>
      <w:pPr>
        <w:spacing w:line="360" w:lineRule="auto"/>
        <w:ind w:firstLine="480" w:firstLineChars="200"/>
        <w:rPr>
          <w:color w:val="auto"/>
          <w:sz w:val="24"/>
          <w:szCs w:val="24"/>
        </w:rPr>
      </w:pPr>
      <w:r>
        <w:rPr>
          <w:rFonts w:hint="eastAsia"/>
          <w:color w:val="auto"/>
          <w:sz w:val="24"/>
          <w:szCs w:val="24"/>
        </w:rPr>
        <w:t>（25）《关于进一步加强环境影响评价管理防范环境风险的通知》（环发〔2012〕77号）；</w:t>
      </w:r>
    </w:p>
    <w:p>
      <w:pPr>
        <w:spacing w:line="360" w:lineRule="auto"/>
        <w:ind w:firstLine="480" w:firstLineChars="200"/>
        <w:rPr>
          <w:color w:val="auto"/>
          <w:sz w:val="24"/>
          <w:szCs w:val="24"/>
        </w:rPr>
      </w:pPr>
      <w:r>
        <w:rPr>
          <w:rFonts w:hint="eastAsia"/>
          <w:color w:val="auto"/>
          <w:sz w:val="24"/>
          <w:szCs w:val="24"/>
        </w:rPr>
        <w:t>（26）《关于切实加强风险防范严格环境影响评价管理的通知》（环发〔2012〕98号文）；</w:t>
      </w:r>
    </w:p>
    <w:p>
      <w:pPr>
        <w:spacing w:line="360" w:lineRule="auto"/>
        <w:ind w:firstLine="480" w:firstLineChars="200"/>
        <w:rPr>
          <w:color w:val="auto"/>
          <w:sz w:val="24"/>
          <w:szCs w:val="24"/>
        </w:rPr>
      </w:pPr>
      <w:r>
        <w:rPr>
          <w:rFonts w:hint="eastAsia"/>
          <w:color w:val="auto"/>
          <w:sz w:val="24"/>
          <w:szCs w:val="24"/>
        </w:rPr>
        <w:t>（27）《企业事业单位环境信息公开办法》（环境保护部令第31号）；</w:t>
      </w:r>
    </w:p>
    <w:p>
      <w:pPr>
        <w:spacing w:line="360" w:lineRule="auto"/>
        <w:ind w:firstLine="480" w:firstLineChars="200"/>
        <w:rPr>
          <w:color w:val="auto"/>
          <w:sz w:val="24"/>
          <w:szCs w:val="24"/>
        </w:rPr>
      </w:pPr>
      <w:r>
        <w:rPr>
          <w:rFonts w:hint="eastAsia"/>
          <w:color w:val="auto"/>
          <w:sz w:val="24"/>
          <w:szCs w:val="24"/>
        </w:rPr>
        <w:t>（28）《关于印发&lt;建设项目环境影响评价信息公开机制方案&gt;的通知》（环发〔2015〕162号）；</w:t>
      </w:r>
    </w:p>
    <w:p>
      <w:pPr>
        <w:spacing w:line="360" w:lineRule="auto"/>
        <w:ind w:firstLine="480" w:firstLineChars="200"/>
        <w:rPr>
          <w:color w:val="auto"/>
          <w:sz w:val="24"/>
          <w:szCs w:val="24"/>
        </w:rPr>
      </w:pPr>
      <w:r>
        <w:rPr>
          <w:rFonts w:hint="eastAsia"/>
          <w:color w:val="auto"/>
          <w:sz w:val="24"/>
          <w:szCs w:val="24"/>
        </w:rPr>
        <w:t>（29）《大气污染防治行动计划》（国发〔2013〕37号）；</w:t>
      </w:r>
    </w:p>
    <w:p>
      <w:pPr>
        <w:spacing w:line="360" w:lineRule="auto"/>
        <w:ind w:firstLine="480" w:firstLineChars="200"/>
        <w:rPr>
          <w:color w:val="auto"/>
          <w:sz w:val="24"/>
          <w:szCs w:val="24"/>
        </w:rPr>
      </w:pPr>
      <w:r>
        <w:rPr>
          <w:rFonts w:hint="eastAsia"/>
          <w:color w:val="auto"/>
          <w:sz w:val="24"/>
          <w:szCs w:val="24"/>
        </w:rPr>
        <w:t>（30）《环境空气细颗粒物污染综合防治技术政策》（公告2013年第59号）；</w:t>
      </w:r>
    </w:p>
    <w:p>
      <w:pPr>
        <w:spacing w:line="360" w:lineRule="auto"/>
        <w:ind w:firstLine="480" w:firstLineChars="200"/>
        <w:rPr>
          <w:color w:val="auto"/>
          <w:sz w:val="24"/>
          <w:szCs w:val="24"/>
        </w:rPr>
      </w:pPr>
      <w:r>
        <w:rPr>
          <w:rFonts w:hint="eastAsia"/>
          <w:color w:val="auto"/>
          <w:sz w:val="24"/>
          <w:szCs w:val="24"/>
        </w:rPr>
        <w:t>（31）《产业结构调整指导目录（2019 年本）》。</w:t>
      </w:r>
    </w:p>
    <w:p>
      <w:pPr>
        <w:pStyle w:val="4"/>
        <w:rPr>
          <w:color w:val="auto"/>
        </w:rPr>
      </w:pPr>
      <w:bookmarkStart w:id="23" w:name="_Toc26276767"/>
      <w:r>
        <w:rPr>
          <w:rFonts w:hint="eastAsia"/>
          <w:color w:val="auto"/>
        </w:rPr>
        <w:t>2.1.2地方法律、法规及政策</w:t>
      </w:r>
      <w:bookmarkEnd w:id="23"/>
    </w:p>
    <w:p>
      <w:pPr>
        <w:spacing w:line="360" w:lineRule="auto"/>
        <w:ind w:firstLine="480" w:firstLineChars="200"/>
        <w:rPr>
          <w:color w:val="auto"/>
          <w:sz w:val="24"/>
          <w:szCs w:val="24"/>
        </w:rPr>
      </w:pPr>
      <w:r>
        <w:rPr>
          <w:rFonts w:hint="eastAsia"/>
          <w:color w:val="auto"/>
          <w:sz w:val="24"/>
          <w:szCs w:val="24"/>
        </w:rPr>
        <w:t>（1）《广东省环保局建设项目环境保护管理规程》；</w:t>
      </w:r>
    </w:p>
    <w:p>
      <w:pPr>
        <w:spacing w:line="360" w:lineRule="auto"/>
        <w:ind w:firstLine="480" w:firstLineChars="200"/>
        <w:rPr>
          <w:color w:val="auto"/>
          <w:sz w:val="24"/>
          <w:szCs w:val="24"/>
        </w:rPr>
      </w:pPr>
      <w:r>
        <w:rPr>
          <w:rFonts w:hint="eastAsia"/>
          <w:color w:val="auto"/>
          <w:sz w:val="24"/>
          <w:szCs w:val="24"/>
        </w:rPr>
        <w:t>（2）《广东省人民政府关于印发广东省建设项目环境影响评价文件分级审批办法的通知》（粤府〔2019〕6号）；</w:t>
      </w:r>
    </w:p>
    <w:p>
      <w:pPr>
        <w:spacing w:line="360" w:lineRule="auto"/>
        <w:ind w:firstLine="480" w:firstLineChars="200"/>
        <w:rPr>
          <w:color w:val="auto"/>
          <w:sz w:val="24"/>
          <w:szCs w:val="24"/>
        </w:rPr>
      </w:pPr>
      <w:r>
        <w:rPr>
          <w:rFonts w:hint="eastAsia"/>
          <w:color w:val="auto"/>
          <w:sz w:val="24"/>
          <w:szCs w:val="24"/>
        </w:rPr>
        <w:t>（3）《广东省环境保护条例》（2019年第二次修订）；</w:t>
      </w:r>
    </w:p>
    <w:p>
      <w:pPr>
        <w:spacing w:line="360" w:lineRule="auto"/>
        <w:ind w:firstLine="480" w:firstLineChars="200"/>
        <w:rPr>
          <w:color w:val="auto"/>
          <w:sz w:val="24"/>
          <w:szCs w:val="24"/>
        </w:rPr>
      </w:pPr>
      <w:r>
        <w:rPr>
          <w:rFonts w:hint="eastAsia"/>
          <w:color w:val="auto"/>
          <w:sz w:val="24"/>
          <w:szCs w:val="24"/>
        </w:rPr>
        <w:t>（4）</w:t>
      </w:r>
      <w:r>
        <w:rPr>
          <w:color w:val="auto"/>
          <w:kern w:val="0"/>
          <w:sz w:val="24"/>
          <w:szCs w:val="24"/>
        </w:rPr>
        <w:t>广东省环境保护厅</w:t>
      </w:r>
      <w:r>
        <w:rPr>
          <w:rFonts w:hint="eastAsia"/>
          <w:color w:val="auto"/>
          <w:sz w:val="24"/>
          <w:szCs w:val="24"/>
        </w:rPr>
        <w:t>《</w:t>
      </w:r>
      <w:r>
        <w:rPr>
          <w:color w:val="auto"/>
          <w:kern w:val="0"/>
          <w:sz w:val="24"/>
          <w:szCs w:val="24"/>
        </w:rPr>
        <w:t>关于印发</w:t>
      </w:r>
      <w:r>
        <w:rPr>
          <w:rFonts w:hint="eastAsia"/>
          <w:color w:val="auto"/>
          <w:sz w:val="24"/>
          <w:szCs w:val="24"/>
        </w:rPr>
        <w:t>广东省环境保护“十三五”规划</w:t>
      </w:r>
      <w:r>
        <w:rPr>
          <w:color w:val="auto"/>
          <w:kern w:val="0"/>
          <w:sz w:val="24"/>
          <w:szCs w:val="24"/>
        </w:rPr>
        <w:t>的通知</w:t>
      </w:r>
      <w:r>
        <w:rPr>
          <w:rFonts w:hint="eastAsia"/>
          <w:color w:val="auto"/>
          <w:sz w:val="24"/>
          <w:szCs w:val="24"/>
        </w:rPr>
        <w:t>》（粤环〔2016〕51号）；</w:t>
      </w:r>
    </w:p>
    <w:p>
      <w:pPr>
        <w:spacing w:line="360" w:lineRule="auto"/>
        <w:ind w:firstLine="480" w:firstLineChars="200"/>
        <w:rPr>
          <w:color w:val="auto"/>
          <w:sz w:val="24"/>
          <w:szCs w:val="24"/>
        </w:rPr>
      </w:pPr>
      <w:r>
        <w:rPr>
          <w:rFonts w:hint="eastAsia"/>
          <w:color w:val="auto"/>
          <w:sz w:val="24"/>
          <w:szCs w:val="24"/>
        </w:rPr>
        <w:t>（5）《广东省人民政府关于印发广东省水污染防治行动计划实施方案的通知》（粤府〔2015〕131号）；</w:t>
      </w:r>
    </w:p>
    <w:p>
      <w:pPr>
        <w:spacing w:line="360" w:lineRule="auto"/>
        <w:ind w:firstLine="480" w:firstLineChars="200"/>
        <w:rPr>
          <w:color w:val="auto"/>
          <w:sz w:val="24"/>
          <w:szCs w:val="24"/>
        </w:rPr>
      </w:pPr>
      <w:r>
        <w:rPr>
          <w:rFonts w:hint="eastAsia"/>
          <w:color w:val="auto"/>
          <w:sz w:val="24"/>
          <w:szCs w:val="24"/>
        </w:rPr>
        <w:t>（6）《南粤水更清行动计划（修订本）（2017～2020年）》；</w:t>
      </w:r>
    </w:p>
    <w:p>
      <w:pPr>
        <w:spacing w:line="360" w:lineRule="auto"/>
        <w:ind w:firstLine="480" w:firstLineChars="200"/>
        <w:rPr>
          <w:color w:val="auto"/>
          <w:sz w:val="24"/>
          <w:szCs w:val="24"/>
        </w:rPr>
      </w:pPr>
      <w:r>
        <w:rPr>
          <w:rFonts w:hint="eastAsia"/>
          <w:color w:val="auto"/>
          <w:sz w:val="24"/>
          <w:szCs w:val="24"/>
        </w:rPr>
        <w:t>（7）《广东省韩江流域水质保护条例》（2018年11月29日第二次修订）；</w:t>
      </w:r>
    </w:p>
    <w:p>
      <w:pPr>
        <w:spacing w:line="360" w:lineRule="auto"/>
        <w:ind w:firstLine="480" w:firstLineChars="200"/>
        <w:rPr>
          <w:color w:val="auto"/>
          <w:sz w:val="24"/>
          <w:szCs w:val="24"/>
        </w:rPr>
      </w:pPr>
      <w:r>
        <w:rPr>
          <w:rFonts w:hint="eastAsia"/>
          <w:color w:val="auto"/>
          <w:sz w:val="24"/>
          <w:szCs w:val="24"/>
        </w:rPr>
        <w:t>（8）《广东省环境保护厅关于印发韩江流域水质保护规划（2017-2025年）的通知》（粤环发〔2017〕4号）；</w:t>
      </w:r>
    </w:p>
    <w:p>
      <w:pPr>
        <w:spacing w:line="360" w:lineRule="auto"/>
        <w:ind w:firstLine="480" w:firstLineChars="200"/>
        <w:rPr>
          <w:color w:val="auto"/>
          <w:sz w:val="24"/>
          <w:szCs w:val="24"/>
        </w:rPr>
      </w:pPr>
      <w:r>
        <w:rPr>
          <w:rFonts w:hint="eastAsia"/>
          <w:color w:val="auto"/>
          <w:sz w:val="24"/>
          <w:szCs w:val="24"/>
        </w:rPr>
        <w:t>（9）《广东省人民政府关于印发广东省“三线一单”生态环境分区管控方案的通知》（粤府〔2020〕71号）；</w:t>
      </w:r>
    </w:p>
    <w:p>
      <w:pPr>
        <w:spacing w:line="360" w:lineRule="auto"/>
        <w:ind w:firstLine="480" w:firstLineChars="200"/>
        <w:rPr>
          <w:color w:val="auto"/>
          <w:sz w:val="24"/>
          <w:szCs w:val="24"/>
        </w:rPr>
      </w:pPr>
      <w:r>
        <w:rPr>
          <w:rFonts w:hint="eastAsia"/>
          <w:color w:val="auto"/>
          <w:sz w:val="24"/>
          <w:szCs w:val="24"/>
        </w:rPr>
        <w:t>（10）《广东省地表水环境功能区划》（粤环〔2011〕14号）；</w:t>
      </w:r>
    </w:p>
    <w:p>
      <w:pPr>
        <w:spacing w:line="360" w:lineRule="auto"/>
        <w:ind w:firstLine="480" w:firstLineChars="200"/>
        <w:rPr>
          <w:color w:val="auto"/>
          <w:sz w:val="24"/>
          <w:szCs w:val="24"/>
        </w:rPr>
      </w:pPr>
      <w:r>
        <w:rPr>
          <w:rFonts w:hint="eastAsia"/>
          <w:color w:val="auto"/>
          <w:sz w:val="24"/>
          <w:szCs w:val="24"/>
        </w:rPr>
        <w:t>（11）《广东省地下水功能区划》；</w:t>
      </w:r>
    </w:p>
    <w:p>
      <w:pPr>
        <w:spacing w:line="360" w:lineRule="auto"/>
        <w:ind w:firstLine="480" w:firstLineChars="200"/>
        <w:rPr>
          <w:color w:val="auto"/>
          <w:sz w:val="24"/>
          <w:szCs w:val="24"/>
        </w:rPr>
      </w:pPr>
      <w:r>
        <w:rPr>
          <w:rFonts w:hint="eastAsia"/>
          <w:color w:val="auto"/>
          <w:sz w:val="24"/>
          <w:szCs w:val="24"/>
        </w:rPr>
        <w:t>（12）《广东省固体废物污染环境防治条例》（2018年修订）；</w:t>
      </w:r>
    </w:p>
    <w:p>
      <w:pPr>
        <w:spacing w:line="360" w:lineRule="auto"/>
        <w:ind w:firstLine="480" w:firstLineChars="200"/>
        <w:rPr>
          <w:color w:val="auto"/>
          <w:sz w:val="24"/>
          <w:szCs w:val="24"/>
        </w:rPr>
      </w:pPr>
      <w:r>
        <w:rPr>
          <w:rFonts w:hint="eastAsia"/>
          <w:color w:val="auto"/>
          <w:sz w:val="24"/>
          <w:szCs w:val="24"/>
        </w:rPr>
        <w:t>（13）《广东省人民政府印发&lt;广东省环境保护规划纲要（2006-2020年）&gt;的通知》（粤府〔2006〕35号）；</w:t>
      </w:r>
    </w:p>
    <w:p>
      <w:pPr>
        <w:spacing w:line="360" w:lineRule="auto"/>
        <w:ind w:firstLine="480" w:firstLineChars="200"/>
        <w:rPr>
          <w:color w:val="auto"/>
          <w:sz w:val="24"/>
          <w:szCs w:val="24"/>
        </w:rPr>
      </w:pPr>
      <w:r>
        <w:rPr>
          <w:rFonts w:hint="eastAsia"/>
          <w:color w:val="auto"/>
          <w:sz w:val="24"/>
          <w:szCs w:val="24"/>
        </w:rPr>
        <w:t>（14）《广东省污染源排污口规范化设置导则》（粤环〔2008〕42号）；</w:t>
      </w:r>
    </w:p>
    <w:p>
      <w:pPr>
        <w:spacing w:line="360" w:lineRule="auto"/>
        <w:ind w:firstLine="480" w:firstLineChars="200"/>
        <w:rPr>
          <w:color w:val="auto"/>
          <w:sz w:val="24"/>
          <w:szCs w:val="24"/>
        </w:rPr>
      </w:pPr>
      <w:r>
        <w:rPr>
          <w:rFonts w:hint="eastAsia"/>
          <w:color w:val="auto"/>
          <w:sz w:val="24"/>
          <w:szCs w:val="24"/>
        </w:rPr>
        <w:t>（15）《广东省饮用水源水质保护条例》（2018年修订）；</w:t>
      </w:r>
    </w:p>
    <w:p>
      <w:pPr>
        <w:spacing w:line="360" w:lineRule="auto"/>
        <w:ind w:firstLine="480" w:firstLineChars="200"/>
        <w:rPr>
          <w:color w:val="auto"/>
          <w:sz w:val="24"/>
          <w:szCs w:val="24"/>
        </w:rPr>
      </w:pPr>
      <w:r>
        <w:rPr>
          <w:rFonts w:hint="eastAsia"/>
          <w:color w:val="auto"/>
          <w:sz w:val="24"/>
          <w:szCs w:val="24"/>
        </w:rPr>
        <w:t>（16）《广东省打赢蓝天保卫战实施方案（2018—2020年）》（粤府〔2018〕128号）；</w:t>
      </w:r>
    </w:p>
    <w:p>
      <w:pPr>
        <w:spacing w:line="360" w:lineRule="auto"/>
        <w:ind w:firstLine="480" w:firstLineChars="200"/>
        <w:rPr>
          <w:color w:val="auto"/>
          <w:sz w:val="24"/>
          <w:szCs w:val="24"/>
        </w:rPr>
      </w:pPr>
      <w:r>
        <w:rPr>
          <w:rFonts w:hint="eastAsia"/>
          <w:color w:val="auto"/>
          <w:sz w:val="24"/>
          <w:szCs w:val="24"/>
        </w:rPr>
        <w:t>（17）《广东省大气污染防治条例》（广东省第十三届人民代表大会常务委员会公告 第20号）；</w:t>
      </w:r>
    </w:p>
    <w:p>
      <w:pPr>
        <w:spacing w:line="360" w:lineRule="auto"/>
        <w:ind w:firstLine="480" w:firstLineChars="200"/>
        <w:rPr>
          <w:color w:val="auto"/>
          <w:sz w:val="24"/>
          <w:szCs w:val="24"/>
        </w:rPr>
      </w:pPr>
      <w:r>
        <w:rPr>
          <w:rFonts w:hint="eastAsia"/>
          <w:color w:val="auto"/>
          <w:sz w:val="24"/>
          <w:szCs w:val="24"/>
        </w:rPr>
        <w:t>（18）《关于广东省主体功能区规划的配套环保政策》（粤环〔2014〕7号）；</w:t>
      </w:r>
    </w:p>
    <w:p>
      <w:pPr>
        <w:spacing w:line="360" w:lineRule="auto"/>
        <w:ind w:firstLine="480" w:firstLineChars="200"/>
        <w:rPr>
          <w:color w:val="auto"/>
          <w:sz w:val="24"/>
          <w:szCs w:val="24"/>
        </w:rPr>
      </w:pPr>
      <w:r>
        <w:rPr>
          <w:rFonts w:hint="eastAsia"/>
          <w:color w:val="auto"/>
          <w:sz w:val="24"/>
          <w:szCs w:val="24"/>
        </w:rPr>
        <w:t>（19）《关于发布广东省生态环境厅审批环境影响评价文件的建设项目名录（2019年本）的通知》（粤环〔2019〕24号）；</w:t>
      </w:r>
    </w:p>
    <w:p>
      <w:pPr>
        <w:spacing w:line="360" w:lineRule="auto"/>
        <w:ind w:firstLine="480" w:firstLineChars="200"/>
        <w:rPr>
          <w:color w:val="auto"/>
          <w:sz w:val="24"/>
          <w:szCs w:val="24"/>
        </w:rPr>
      </w:pPr>
      <w:r>
        <w:rPr>
          <w:rFonts w:hint="eastAsia"/>
          <w:color w:val="auto"/>
          <w:sz w:val="24"/>
          <w:szCs w:val="24"/>
        </w:rPr>
        <w:t>（20）《广东省人民政府关于印发广东省土壤污染防治行动计划实施方案的通知》（粤府〔2016〕145号）；</w:t>
      </w:r>
    </w:p>
    <w:p>
      <w:pPr>
        <w:spacing w:line="360" w:lineRule="auto"/>
        <w:ind w:firstLine="480" w:firstLineChars="200"/>
        <w:rPr>
          <w:color w:val="auto"/>
          <w:sz w:val="24"/>
          <w:szCs w:val="24"/>
        </w:rPr>
      </w:pPr>
      <w:r>
        <w:rPr>
          <w:rFonts w:hint="eastAsia"/>
          <w:color w:val="auto"/>
          <w:sz w:val="24"/>
          <w:szCs w:val="24"/>
        </w:rPr>
        <w:t>（21）《梅州市饮用水水源地环境保护专项规划》（2007~2020年）；</w:t>
      </w:r>
    </w:p>
    <w:p>
      <w:pPr>
        <w:spacing w:line="360" w:lineRule="auto"/>
        <w:ind w:firstLine="480" w:firstLineChars="200"/>
        <w:rPr>
          <w:color w:val="auto"/>
          <w:sz w:val="24"/>
          <w:szCs w:val="24"/>
        </w:rPr>
      </w:pPr>
      <w:r>
        <w:rPr>
          <w:rFonts w:hint="eastAsia"/>
          <w:color w:val="auto"/>
          <w:sz w:val="24"/>
          <w:szCs w:val="24"/>
        </w:rPr>
        <w:t>（22）《广东省人民政府关于调整梅州市部分饮用水水源保护区的批复》（粤府函〔2018〕428号）；</w:t>
      </w:r>
    </w:p>
    <w:p>
      <w:pPr>
        <w:spacing w:line="360" w:lineRule="auto"/>
        <w:ind w:firstLine="480" w:firstLineChars="200"/>
        <w:rPr>
          <w:color w:val="auto"/>
          <w:sz w:val="24"/>
          <w:szCs w:val="24"/>
        </w:rPr>
      </w:pPr>
      <w:r>
        <w:rPr>
          <w:rFonts w:hint="eastAsia"/>
          <w:color w:val="auto"/>
          <w:sz w:val="24"/>
          <w:szCs w:val="24"/>
        </w:rPr>
        <w:t>（23）《梅州市人民政府关于印发梅州市“千吨万人”乡镇及以下饮用水水源保护区调整划定方案的通知》（梅市府函〔2020〕254 号）；</w:t>
      </w:r>
    </w:p>
    <w:p>
      <w:pPr>
        <w:spacing w:line="360" w:lineRule="auto"/>
        <w:ind w:firstLine="480" w:firstLineChars="200"/>
        <w:rPr>
          <w:color w:val="auto"/>
          <w:sz w:val="24"/>
          <w:szCs w:val="24"/>
        </w:rPr>
      </w:pPr>
      <w:r>
        <w:rPr>
          <w:rFonts w:hint="eastAsia"/>
          <w:color w:val="auto"/>
          <w:sz w:val="24"/>
          <w:szCs w:val="24"/>
        </w:rPr>
        <w:t>（24）《梅州市环境保护规划纲要》（2007~2020年）；</w:t>
      </w:r>
    </w:p>
    <w:p>
      <w:pPr>
        <w:spacing w:line="360" w:lineRule="auto"/>
        <w:ind w:firstLine="480" w:firstLineChars="200"/>
        <w:rPr>
          <w:color w:val="auto"/>
          <w:sz w:val="24"/>
          <w:szCs w:val="24"/>
        </w:rPr>
      </w:pPr>
      <w:r>
        <w:rPr>
          <w:rFonts w:hint="eastAsia"/>
          <w:color w:val="auto"/>
          <w:sz w:val="24"/>
          <w:szCs w:val="24"/>
        </w:rPr>
        <w:t>（25）《梅州市城市总体规划》（2015—2030）；</w:t>
      </w:r>
    </w:p>
    <w:p>
      <w:pPr>
        <w:spacing w:line="360" w:lineRule="auto"/>
        <w:ind w:firstLine="480" w:firstLineChars="200"/>
        <w:rPr>
          <w:color w:val="auto"/>
          <w:sz w:val="24"/>
          <w:szCs w:val="24"/>
        </w:rPr>
      </w:pPr>
      <w:r>
        <w:rPr>
          <w:rFonts w:hint="eastAsia"/>
          <w:color w:val="auto"/>
          <w:sz w:val="24"/>
          <w:szCs w:val="24"/>
        </w:rPr>
        <w:t>（26）《广东省梅州市土地利用总体规划》（2006-2020）；</w:t>
      </w:r>
    </w:p>
    <w:p>
      <w:pPr>
        <w:spacing w:line="360" w:lineRule="auto"/>
        <w:ind w:firstLine="480" w:firstLineChars="200"/>
        <w:rPr>
          <w:color w:val="auto"/>
          <w:sz w:val="24"/>
          <w:szCs w:val="24"/>
        </w:rPr>
      </w:pPr>
      <w:r>
        <w:rPr>
          <w:rFonts w:hint="eastAsia"/>
          <w:color w:val="auto"/>
          <w:sz w:val="24"/>
          <w:szCs w:val="24"/>
        </w:rPr>
        <w:t>（27）《梅州市环境保护“十三五”规划》；</w:t>
      </w:r>
    </w:p>
    <w:p>
      <w:pPr>
        <w:spacing w:line="360" w:lineRule="auto"/>
        <w:ind w:firstLine="480" w:firstLineChars="200"/>
        <w:rPr>
          <w:color w:val="auto"/>
          <w:sz w:val="24"/>
          <w:szCs w:val="24"/>
        </w:rPr>
      </w:pPr>
      <w:r>
        <w:rPr>
          <w:rFonts w:hint="eastAsia"/>
          <w:color w:val="auto"/>
          <w:sz w:val="24"/>
          <w:szCs w:val="24"/>
        </w:rPr>
        <w:t>（28）《梅州市人民政府关于印发广东梅兴华丰产业集聚带发展总体规划（2015—2030年）实施方案的通知》（梅市府函〔2016〕67号）；</w:t>
      </w:r>
    </w:p>
    <w:p>
      <w:pPr>
        <w:spacing w:line="360" w:lineRule="auto"/>
        <w:ind w:firstLine="480" w:firstLineChars="200"/>
        <w:rPr>
          <w:color w:val="auto"/>
          <w:sz w:val="24"/>
          <w:szCs w:val="24"/>
        </w:rPr>
      </w:pPr>
      <w:r>
        <w:rPr>
          <w:rFonts w:hint="eastAsia"/>
          <w:color w:val="auto"/>
          <w:sz w:val="24"/>
          <w:szCs w:val="24"/>
        </w:rPr>
        <w:t>（29）《梅州市人民政府办公室关于印发梅州城区市政基础设施“十三五”建设计划的通知》（梅市府办函〔2017〕206号）；</w:t>
      </w:r>
    </w:p>
    <w:p>
      <w:pPr>
        <w:spacing w:line="360" w:lineRule="auto"/>
        <w:ind w:firstLine="480" w:firstLineChars="200"/>
        <w:rPr>
          <w:color w:val="auto"/>
          <w:sz w:val="24"/>
          <w:szCs w:val="24"/>
        </w:rPr>
      </w:pPr>
      <w:r>
        <w:rPr>
          <w:rFonts w:hint="eastAsia"/>
          <w:color w:val="auto"/>
          <w:sz w:val="24"/>
          <w:szCs w:val="24"/>
        </w:rPr>
        <w:t>（30）《五华县河东绿色生态工业小镇总体规划（2019-2035》；</w:t>
      </w:r>
    </w:p>
    <w:p>
      <w:pPr>
        <w:spacing w:line="360" w:lineRule="auto"/>
        <w:ind w:firstLine="480" w:firstLineChars="200"/>
        <w:rPr>
          <w:color w:val="auto"/>
          <w:sz w:val="24"/>
          <w:szCs w:val="24"/>
        </w:rPr>
      </w:pPr>
      <w:r>
        <w:rPr>
          <w:rFonts w:hint="eastAsia"/>
          <w:color w:val="auto"/>
          <w:sz w:val="24"/>
          <w:szCs w:val="24"/>
        </w:rPr>
        <w:t>（31）《广东梅兴华丰产业集聚带环保基础设施规划建设方案》（广东省环境科学研究院、广东环科院环境科技有限公司，2016年4月）；</w:t>
      </w:r>
    </w:p>
    <w:p>
      <w:pPr>
        <w:spacing w:line="360" w:lineRule="auto"/>
        <w:ind w:firstLine="480" w:firstLineChars="200"/>
        <w:rPr>
          <w:color w:val="auto"/>
          <w:sz w:val="24"/>
          <w:szCs w:val="24"/>
        </w:rPr>
      </w:pPr>
      <w:r>
        <w:rPr>
          <w:rFonts w:hint="eastAsia"/>
          <w:color w:val="auto"/>
          <w:sz w:val="24"/>
          <w:szCs w:val="24"/>
        </w:rPr>
        <w:t>（32）《广东梅兴华丰产业集聚带环保基础设施规划建设调整方案》；</w:t>
      </w:r>
    </w:p>
    <w:p>
      <w:pPr>
        <w:spacing w:line="360" w:lineRule="auto"/>
        <w:ind w:firstLine="480" w:firstLineChars="200"/>
        <w:rPr>
          <w:color w:val="auto"/>
          <w:sz w:val="24"/>
          <w:szCs w:val="24"/>
        </w:rPr>
      </w:pPr>
      <w:r>
        <w:rPr>
          <w:rFonts w:hint="eastAsia"/>
          <w:color w:val="auto"/>
          <w:sz w:val="24"/>
          <w:szCs w:val="24"/>
        </w:rPr>
        <w:t>（33）《广东梅兴华丰产业集聚带环保基础设施规划建设调整方案技术说明书》；</w:t>
      </w:r>
    </w:p>
    <w:p>
      <w:pPr>
        <w:spacing w:line="360" w:lineRule="auto"/>
        <w:ind w:firstLine="480" w:firstLineChars="200"/>
        <w:rPr>
          <w:color w:val="auto"/>
          <w:sz w:val="24"/>
          <w:szCs w:val="24"/>
        </w:rPr>
      </w:pPr>
      <w:r>
        <w:rPr>
          <w:rFonts w:hint="eastAsia"/>
          <w:color w:val="auto"/>
          <w:sz w:val="24"/>
          <w:szCs w:val="24"/>
        </w:rPr>
        <w:t>（34）《五华县城市总体规划》（2012~2030）；</w:t>
      </w:r>
    </w:p>
    <w:p>
      <w:pPr>
        <w:spacing w:line="360" w:lineRule="auto"/>
        <w:ind w:firstLine="480" w:firstLineChars="200"/>
        <w:rPr>
          <w:color w:val="auto"/>
          <w:sz w:val="24"/>
          <w:szCs w:val="24"/>
        </w:rPr>
      </w:pPr>
      <w:r>
        <w:rPr>
          <w:rFonts w:hint="eastAsia"/>
          <w:color w:val="auto"/>
          <w:sz w:val="24"/>
          <w:szCs w:val="24"/>
        </w:rPr>
        <w:t>（35）《五华河东绿色生态工业小镇污水专项规划》（2018-2035）；</w:t>
      </w:r>
    </w:p>
    <w:p>
      <w:pPr>
        <w:spacing w:line="360" w:lineRule="auto"/>
        <w:ind w:firstLine="480" w:firstLineChars="200"/>
        <w:rPr>
          <w:color w:val="auto"/>
          <w:sz w:val="24"/>
          <w:szCs w:val="24"/>
        </w:rPr>
      </w:pPr>
      <w:r>
        <w:rPr>
          <w:rFonts w:hint="eastAsia"/>
          <w:color w:val="auto"/>
          <w:sz w:val="24"/>
          <w:szCs w:val="24"/>
        </w:rPr>
        <w:t>（36）《五华县镇村级集中式饮用水水源保护区划分调整方案》（梅州市生态环境局五华分局，2020年06月04日发布）。</w:t>
      </w:r>
    </w:p>
    <w:p>
      <w:pPr>
        <w:pStyle w:val="4"/>
        <w:rPr>
          <w:color w:val="auto"/>
        </w:rPr>
      </w:pPr>
      <w:bookmarkStart w:id="24" w:name="_Toc26276768"/>
      <w:r>
        <w:rPr>
          <w:rFonts w:hint="eastAsia"/>
          <w:color w:val="auto"/>
        </w:rPr>
        <w:t>2.1.3技术导则和规范</w:t>
      </w:r>
      <w:bookmarkEnd w:id="24"/>
    </w:p>
    <w:p>
      <w:pPr>
        <w:spacing w:line="360" w:lineRule="auto"/>
        <w:ind w:firstLine="480" w:firstLineChars="200"/>
        <w:rPr>
          <w:color w:val="auto"/>
          <w:sz w:val="24"/>
          <w:szCs w:val="24"/>
        </w:rPr>
      </w:pPr>
      <w:r>
        <w:rPr>
          <w:rFonts w:hint="eastAsia"/>
          <w:color w:val="auto"/>
          <w:sz w:val="24"/>
          <w:szCs w:val="24"/>
        </w:rPr>
        <w:t>（1）《建设项目环境影响评价技术导则 总纲》（HJ2.1-2016）；</w:t>
      </w:r>
    </w:p>
    <w:p>
      <w:pPr>
        <w:spacing w:line="360" w:lineRule="auto"/>
        <w:ind w:firstLine="480" w:firstLineChars="200"/>
        <w:rPr>
          <w:color w:val="auto"/>
          <w:sz w:val="24"/>
          <w:szCs w:val="24"/>
        </w:rPr>
      </w:pPr>
      <w:r>
        <w:rPr>
          <w:rFonts w:hint="eastAsia"/>
          <w:color w:val="auto"/>
          <w:sz w:val="24"/>
          <w:szCs w:val="24"/>
        </w:rPr>
        <w:t>（2）《环境影响评价技术导则 大气环境》（HJ2.2-2018）；</w:t>
      </w:r>
    </w:p>
    <w:p>
      <w:pPr>
        <w:spacing w:line="360" w:lineRule="auto"/>
        <w:ind w:firstLine="480" w:firstLineChars="200"/>
        <w:rPr>
          <w:color w:val="auto"/>
          <w:sz w:val="24"/>
          <w:szCs w:val="24"/>
        </w:rPr>
      </w:pPr>
      <w:r>
        <w:rPr>
          <w:rFonts w:hint="eastAsia"/>
          <w:color w:val="auto"/>
          <w:sz w:val="24"/>
          <w:szCs w:val="24"/>
        </w:rPr>
        <w:t>（3）《环境影响评价技术导则 地表水环境》（HJ2.3-2018）；</w:t>
      </w:r>
    </w:p>
    <w:p>
      <w:pPr>
        <w:spacing w:line="360" w:lineRule="auto"/>
        <w:ind w:firstLine="480" w:firstLineChars="200"/>
        <w:rPr>
          <w:color w:val="auto"/>
          <w:sz w:val="24"/>
          <w:szCs w:val="24"/>
        </w:rPr>
      </w:pPr>
      <w:r>
        <w:rPr>
          <w:rFonts w:hint="eastAsia"/>
          <w:color w:val="auto"/>
          <w:sz w:val="24"/>
          <w:szCs w:val="24"/>
        </w:rPr>
        <w:t>（4）《环境影响评价技术导则 地下水环境》（HJ610-2016）；</w:t>
      </w:r>
    </w:p>
    <w:p>
      <w:pPr>
        <w:spacing w:line="360" w:lineRule="auto"/>
        <w:ind w:firstLine="480" w:firstLineChars="200"/>
        <w:rPr>
          <w:color w:val="auto"/>
          <w:sz w:val="24"/>
          <w:szCs w:val="24"/>
        </w:rPr>
      </w:pPr>
      <w:r>
        <w:rPr>
          <w:rFonts w:hint="eastAsia"/>
          <w:color w:val="auto"/>
          <w:sz w:val="24"/>
          <w:szCs w:val="24"/>
        </w:rPr>
        <w:t>（5）《环境影响评价技术导则 声环境》（HJ2.4-2009）；</w:t>
      </w:r>
    </w:p>
    <w:p>
      <w:pPr>
        <w:spacing w:line="360" w:lineRule="auto"/>
        <w:ind w:firstLine="480" w:firstLineChars="200"/>
        <w:rPr>
          <w:color w:val="auto"/>
          <w:sz w:val="24"/>
          <w:szCs w:val="24"/>
        </w:rPr>
      </w:pPr>
      <w:r>
        <w:rPr>
          <w:rFonts w:hint="eastAsia"/>
          <w:color w:val="auto"/>
          <w:sz w:val="24"/>
          <w:szCs w:val="24"/>
        </w:rPr>
        <w:t>（6）《环境影响评价技术导则 土壤环境（试行）》（HJ964-2018）；</w:t>
      </w:r>
    </w:p>
    <w:p>
      <w:pPr>
        <w:spacing w:line="360" w:lineRule="auto"/>
        <w:ind w:firstLine="480" w:firstLineChars="200"/>
        <w:rPr>
          <w:color w:val="auto"/>
          <w:sz w:val="24"/>
          <w:szCs w:val="24"/>
        </w:rPr>
      </w:pPr>
      <w:r>
        <w:rPr>
          <w:rFonts w:hint="eastAsia"/>
          <w:color w:val="auto"/>
          <w:sz w:val="24"/>
          <w:szCs w:val="24"/>
        </w:rPr>
        <w:t>（7）《环境影响评价技术导则 生态环境》（HJ19-2011）；</w:t>
      </w:r>
    </w:p>
    <w:p>
      <w:pPr>
        <w:spacing w:line="360" w:lineRule="auto"/>
        <w:ind w:firstLine="480" w:firstLineChars="200"/>
        <w:rPr>
          <w:color w:val="auto"/>
          <w:sz w:val="24"/>
          <w:szCs w:val="24"/>
        </w:rPr>
      </w:pPr>
      <w:r>
        <w:rPr>
          <w:rFonts w:hint="eastAsia"/>
          <w:color w:val="auto"/>
          <w:sz w:val="24"/>
          <w:szCs w:val="24"/>
        </w:rPr>
        <w:t>（8）《建设项目环境风险评价技术导则》(HJ169—2018)；</w:t>
      </w:r>
    </w:p>
    <w:p>
      <w:pPr>
        <w:spacing w:line="360" w:lineRule="auto"/>
        <w:ind w:firstLine="480" w:firstLineChars="200"/>
        <w:rPr>
          <w:color w:val="auto"/>
          <w:sz w:val="24"/>
          <w:szCs w:val="24"/>
        </w:rPr>
      </w:pPr>
      <w:r>
        <w:rPr>
          <w:rFonts w:hint="eastAsia"/>
          <w:color w:val="auto"/>
          <w:sz w:val="24"/>
          <w:szCs w:val="24"/>
        </w:rPr>
        <w:t>（9）《环境噪声与振动控制工程技术导则》（HJ2034-2013）；</w:t>
      </w:r>
    </w:p>
    <w:p>
      <w:pPr>
        <w:spacing w:line="360" w:lineRule="auto"/>
        <w:ind w:firstLine="480" w:firstLineChars="200"/>
        <w:rPr>
          <w:color w:val="auto"/>
          <w:sz w:val="24"/>
          <w:szCs w:val="24"/>
        </w:rPr>
      </w:pPr>
      <w:r>
        <w:rPr>
          <w:rFonts w:hint="eastAsia"/>
          <w:color w:val="auto"/>
          <w:sz w:val="24"/>
          <w:szCs w:val="24"/>
        </w:rPr>
        <w:t>（10）《固体废物处理处置工程技术导则》（HJ2035-2013）；</w:t>
      </w:r>
    </w:p>
    <w:p>
      <w:pPr>
        <w:spacing w:line="360" w:lineRule="auto"/>
        <w:ind w:firstLine="480" w:firstLineChars="200"/>
        <w:rPr>
          <w:color w:val="auto"/>
          <w:sz w:val="24"/>
          <w:szCs w:val="24"/>
        </w:rPr>
      </w:pPr>
      <w:r>
        <w:rPr>
          <w:rFonts w:hint="eastAsia"/>
          <w:color w:val="auto"/>
          <w:sz w:val="24"/>
          <w:szCs w:val="24"/>
        </w:rPr>
        <w:t>（11）《地表水和污水监测技术规范》（HJ/T91-2002）；</w:t>
      </w:r>
    </w:p>
    <w:p>
      <w:pPr>
        <w:spacing w:line="360" w:lineRule="auto"/>
        <w:ind w:firstLine="480" w:firstLineChars="200"/>
        <w:rPr>
          <w:color w:val="auto"/>
          <w:sz w:val="24"/>
          <w:szCs w:val="24"/>
        </w:rPr>
      </w:pPr>
      <w:r>
        <w:rPr>
          <w:rFonts w:hint="eastAsia"/>
          <w:color w:val="auto"/>
          <w:sz w:val="24"/>
          <w:szCs w:val="24"/>
        </w:rPr>
        <w:t>（12）《地下水环境监测技术规范》（HJ/T164-2020）；</w:t>
      </w:r>
    </w:p>
    <w:p>
      <w:pPr>
        <w:spacing w:line="360" w:lineRule="auto"/>
        <w:ind w:firstLine="480" w:firstLineChars="200"/>
        <w:rPr>
          <w:color w:val="auto"/>
          <w:sz w:val="24"/>
          <w:szCs w:val="24"/>
        </w:rPr>
      </w:pPr>
      <w:r>
        <w:rPr>
          <w:rFonts w:hint="eastAsia"/>
          <w:color w:val="auto"/>
          <w:sz w:val="24"/>
          <w:szCs w:val="24"/>
        </w:rPr>
        <w:t>（13）《土壤环境监测技术规范》（HJ/T166-2004）；</w:t>
      </w:r>
    </w:p>
    <w:p>
      <w:pPr>
        <w:spacing w:line="360" w:lineRule="auto"/>
        <w:ind w:firstLine="480" w:firstLineChars="200"/>
        <w:rPr>
          <w:color w:val="auto"/>
          <w:sz w:val="24"/>
          <w:szCs w:val="24"/>
        </w:rPr>
      </w:pPr>
      <w:r>
        <w:rPr>
          <w:rFonts w:hint="eastAsia"/>
          <w:color w:val="auto"/>
          <w:sz w:val="24"/>
          <w:szCs w:val="24"/>
        </w:rPr>
        <w:t>（14）《大气污染治理工程技术导则》（HJ2000-2010）；</w:t>
      </w:r>
    </w:p>
    <w:p>
      <w:pPr>
        <w:spacing w:line="360" w:lineRule="auto"/>
        <w:ind w:firstLine="480" w:firstLineChars="200"/>
        <w:rPr>
          <w:color w:val="auto"/>
          <w:sz w:val="24"/>
          <w:szCs w:val="24"/>
        </w:rPr>
      </w:pPr>
      <w:r>
        <w:rPr>
          <w:rFonts w:hint="eastAsia"/>
          <w:color w:val="auto"/>
          <w:sz w:val="24"/>
          <w:szCs w:val="24"/>
        </w:rPr>
        <w:t>（15）《水污染治理工程技术导则》(HJ2015-2012)；</w:t>
      </w:r>
    </w:p>
    <w:p>
      <w:pPr>
        <w:spacing w:line="360" w:lineRule="auto"/>
        <w:ind w:firstLine="480" w:firstLineChars="200"/>
        <w:rPr>
          <w:color w:val="auto"/>
          <w:sz w:val="24"/>
          <w:szCs w:val="24"/>
        </w:rPr>
      </w:pPr>
      <w:r>
        <w:rPr>
          <w:rFonts w:hint="eastAsia"/>
          <w:color w:val="auto"/>
          <w:sz w:val="24"/>
          <w:szCs w:val="24"/>
        </w:rPr>
        <w:t>（16）《危险废物收集贮存运输技术规范》(HJ2025-2012)；</w:t>
      </w:r>
    </w:p>
    <w:p>
      <w:pPr>
        <w:spacing w:line="360" w:lineRule="auto"/>
        <w:ind w:firstLine="480" w:firstLineChars="200"/>
        <w:rPr>
          <w:color w:val="auto"/>
          <w:sz w:val="24"/>
          <w:szCs w:val="24"/>
        </w:rPr>
      </w:pPr>
      <w:r>
        <w:rPr>
          <w:rFonts w:hint="eastAsia"/>
          <w:color w:val="auto"/>
          <w:sz w:val="24"/>
          <w:szCs w:val="24"/>
        </w:rPr>
        <w:t>（17）《排污单位自行监测技术指南 总则》(HJ819-2017)；</w:t>
      </w:r>
    </w:p>
    <w:p>
      <w:pPr>
        <w:spacing w:line="360" w:lineRule="auto"/>
        <w:ind w:firstLine="480" w:firstLineChars="200"/>
        <w:rPr>
          <w:color w:val="auto"/>
          <w:sz w:val="24"/>
          <w:szCs w:val="24"/>
        </w:rPr>
      </w:pPr>
      <w:r>
        <w:rPr>
          <w:rFonts w:hint="eastAsia"/>
          <w:color w:val="auto"/>
          <w:sz w:val="24"/>
          <w:szCs w:val="24"/>
        </w:rPr>
        <w:t>（18）《水污染物排放总量监测技术规范》（HJ/T92-2002）；</w:t>
      </w:r>
    </w:p>
    <w:p>
      <w:pPr>
        <w:spacing w:line="360" w:lineRule="auto"/>
        <w:ind w:firstLine="480" w:firstLineChars="200"/>
        <w:rPr>
          <w:color w:val="auto"/>
          <w:sz w:val="24"/>
          <w:szCs w:val="24"/>
        </w:rPr>
      </w:pPr>
      <w:r>
        <w:rPr>
          <w:rFonts w:hint="eastAsia"/>
          <w:color w:val="auto"/>
          <w:sz w:val="24"/>
          <w:szCs w:val="24"/>
        </w:rPr>
        <w:t>（19）《一般工业固体废物贮存、处置场污染控制标准》（GB18599-2001）；</w:t>
      </w:r>
    </w:p>
    <w:p>
      <w:pPr>
        <w:spacing w:line="360" w:lineRule="auto"/>
        <w:ind w:firstLine="480" w:firstLineChars="200"/>
        <w:rPr>
          <w:color w:val="auto"/>
          <w:sz w:val="24"/>
          <w:szCs w:val="24"/>
        </w:rPr>
      </w:pPr>
      <w:r>
        <w:rPr>
          <w:rFonts w:hint="eastAsia"/>
          <w:color w:val="auto"/>
          <w:sz w:val="24"/>
          <w:szCs w:val="24"/>
        </w:rPr>
        <w:t>（20）《危险废物贮存污染控制标准》（GB18597-2001）；</w:t>
      </w:r>
    </w:p>
    <w:p>
      <w:pPr>
        <w:spacing w:line="360" w:lineRule="auto"/>
        <w:ind w:firstLine="480" w:firstLineChars="200"/>
        <w:rPr>
          <w:color w:val="auto"/>
          <w:sz w:val="24"/>
          <w:szCs w:val="24"/>
        </w:rPr>
      </w:pPr>
      <w:r>
        <w:rPr>
          <w:rFonts w:hint="eastAsia"/>
          <w:color w:val="auto"/>
          <w:sz w:val="24"/>
          <w:szCs w:val="24"/>
        </w:rPr>
        <w:t>（21）《关于发布&lt;一般工业固体废物贮存、处置场污染控制标准&gt;（GB18599-2001）等3项国家污染物控制标准修改单的公告》(公告2013年第36号)；</w:t>
      </w:r>
    </w:p>
    <w:p>
      <w:pPr>
        <w:spacing w:line="360" w:lineRule="auto"/>
        <w:ind w:firstLine="480" w:firstLineChars="200"/>
        <w:rPr>
          <w:color w:val="auto"/>
          <w:sz w:val="24"/>
          <w:szCs w:val="24"/>
        </w:rPr>
      </w:pPr>
      <w:r>
        <w:rPr>
          <w:rFonts w:hint="eastAsia"/>
          <w:color w:val="auto"/>
          <w:sz w:val="24"/>
          <w:szCs w:val="24"/>
        </w:rPr>
        <w:t>（22）《危险废物污染防治技术政策》（环发〔2001〕199号）；</w:t>
      </w:r>
    </w:p>
    <w:p>
      <w:pPr>
        <w:spacing w:line="360" w:lineRule="auto"/>
        <w:ind w:firstLine="480" w:firstLineChars="200"/>
        <w:rPr>
          <w:color w:val="auto"/>
          <w:sz w:val="24"/>
          <w:szCs w:val="24"/>
        </w:rPr>
      </w:pPr>
      <w:r>
        <w:rPr>
          <w:rFonts w:hint="eastAsia"/>
          <w:color w:val="auto"/>
          <w:sz w:val="24"/>
          <w:szCs w:val="24"/>
        </w:rPr>
        <w:t>（23）《建设项目危险废物环境影响评价指南》（公告2017〔43〕号）；</w:t>
      </w:r>
    </w:p>
    <w:p>
      <w:pPr>
        <w:spacing w:line="360" w:lineRule="auto"/>
        <w:ind w:firstLine="480" w:firstLineChars="200"/>
        <w:rPr>
          <w:color w:val="auto"/>
          <w:sz w:val="24"/>
          <w:szCs w:val="24"/>
        </w:rPr>
      </w:pPr>
      <w:r>
        <w:rPr>
          <w:rFonts w:hint="eastAsia"/>
          <w:color w:val="auto"/>
          <w:sz w:val="24"/>
          <w:szCs w:val="24"/>
        </w:rPr>
        <w:t>（24）《污染源源强核算技术指南准则》（HJ884—2018）；</w:t>
      </w:r>
    </w:p>
    <w:p>
      <w:pPr>
        <w:spacing w:line="360" w:lineRule="auto"/>
        <w:ind w:firstLine="480" w:firstLineChars="200"/>
        <w:rPr>
          <w:color w:val="auto"/>
          <w:sz w:val="24"/>
          <w:szCs w:val="24"/>
        </w:rPr>
      </w:pPr>
      <w:r>
        <w:rPr>
          <w:rFonts w:hint="eastAsia"/>
          <w:color w:val="auto"/>
          <w:sz w:val="24"/>
          <w:szCs w:val="24"/>
        </w:rPr>
        <w:t>（25)《危险废物鉴别标准 通则》（GB5085.7—2019）；</w:t>
      </w:r>
    </w:p>
    <w:p>
      <w:pPr>
        <w:spacing w:line="360" w:lineRule="auto"/>
        <w:ind w:firstLine="480" w:firstLineChars="200"/>
        <w:rPr>
          <w:color w:val="auto"/>
          <w:sz w:val="24"/>
          <w:szCs w:val="24"/>
        </w:rPr>
      </w:pPr>
      <w:r>
        <w:rPr>
          <w:rFonts w:hint="eastAsia"/>
          <w:color w:val="auto"/>
          <w:sz w:val="24"/>
          <w:szCs w:val="24"/>
        </w:rPr>
        <w:t>（26）《危险废物鉴别标准浸出毒性鉴别》（GB5085.3—2007）；</w:t>
      </w:r>
    </w:p>
    <w:p>
      <w:pPr>
        <w:spacing w:line="360" w:lineRule="auto"/>
        <w:ind w:firstLine="480" w:firstLineChars="200"/>
        <w:rPr>
          <w:color w:val="auto"/>
          <w:sz w:val="24"/>
          <w:szCs w:val="24"/>
        </w:rPr>
      </w:pPr>
      <w:r>
        <w:rPr>
          <w:rFonts w:hint="eastAsia"/>
          <w:color w:val="auto"/>
          <w:sz w:val="24"/>
          <w:szCs w:val="24"/>
        </w:rPr>
        <w:t>（27）《城镇污水处理厂污泥处理技术规程》（CJJ131-2009）；</w:t>
      </w:r>
    </w:p>
    <w:p>
      <w:pPr>
        <w:spacing w:line="360" w:lineRule="auto"/>
        <w:ind w:firstLine="480" w:firstLineChars="200"/>
        <w:rPr>
          <w:color w:val="auto"/>
          <w:sz w:val="24"/>
          <w:szCs w:val="24"/>
        </w:rPr>
      </w:pPr>
      <w:r>
        <w:rPr>
          <w:rFonts w:hint="eastAsia"/>
          <w:color w:val="auto"/>
          <w:sz w:val="24"/>
          <w:szCs w:val="24"/>
        </w:rPr>
        <w:t>（28）《城镇污水处理厂臭气处理技术规程》（CJJ/T243-2016）；</w:t>
      </w:r>
    </w:p>
    <w:p>
      <w:pPr>
        <w:spacing w:line="360" w:lineRule="auto"/>
        <w:ind w:firstLine="480" w:firstLineChars="200"/>
        <w:rPr>
          <w:color w:val="auto"/>
          <w:sz w:val="24"/>
          <w:szCs w:val="24"/>
        </w:rPr>
      </w:pPr>
      <w:r>
        <w:rPr>
          <w:rFonts w:hint="eastAsia"/>
          <w:color w:val="auto"/>
          <w:sz w:val="24"/>
          <w:szCs w:val="24"/>
        </w:rPr>
        <w:t>（29）《城镇污水处理厂污泥处理处置污染防治最佳可行技术指南(试行)》（HJ-BAT-002）。</w:t>
      </w:r>
    </w:p>
    <w:p>
      <w:pPr>
        <w:pStyle w:val="4"/>
        <w:rPr>
          <w:color w:val="auto"/>
        </w:rPr>
      </w:pPr>
      <w:bookmarkStart w:id="25" w:name="_Toc26276769"/>
      <w:r>
        <w:rPr>
          <w:rFonts w:hint="eastAsia"/>
          <w:color w:val="auto"/>
        </w:rPr>
        <w:t>2.1.4其他资料</w:t>
      </w:r>
      <w:bookmarkEnd w:id="25"/>
    </w:p>
    <w:p>
      <w:pPr>
        <w:spacing w:line="360" w:lineRule="auto"/>
        <w:ind w:firstLine="480" w:firstLineChars="200"/>
        <w:rPr>
          <w:color w:val="auto"/>
          <w:sz w:val="24"/>
          <w:szCs w:val="24"/>
        </w:rPr>
      </w:pPr>
      <w:r>
        <w:rPr>
          <w:rFonts w:hint="eastAsia"/>
          <w:color w:val="auto"/>
          <w:sz w:val="24"/>
          <w:szCs w:val="24"/>
        </w:rPr>
        <w:t>（1）环境影响评价委托书；</w:t>
      </w:r>
    </w:p>
    <w:p>
      <w:pPr>
        <w:spacing w:line="360" w:lineRule="auto"/>
        <w:ind w:firstLine="480" w:firstLineChars="200"/>
        <w:rPr>
          <w:color w:val="auto"/>
          <w:sz w:val="24"/>
          <w:szCs w:val="24"/>
        </w:rPr>
      </w:pPr>
      <w:r>
        <w:rPr>
          <w:rFonts w:hint="eastAsia"/>
          <w:color w:val="auto"/>
          <w:sz w:val="24"/>
          <w:szCs w:val="24"/>
        </w:rPr>
        <w:t>（2）《五华河东绿色生态工业小镇水质净化厂一期工程可行性研究报告》（湖北省城建设计院有限公司上海分公司，2018年6月）；</w:t>
      </w:r>
    </w:p>
    <w:p>
      <w:pPr>
        <w:spacing w:line="360" w:lineRule="auto"/>
        <w:ind w:firstLine="480" w:firstLineChars="200"/>
        <w:rPr>
          <w:color w:val="auto"/>
          <w:sz w:val="24"/>
          <w:szCs w:val="24"/>
        </w:rPr>
      </w:pPr>
      <w:r>
        <w:rPr>
          <w:rFonts w:hint="eastAsia"/>
          <w:color w:val="auto"/>
          <w:sz w:val="24"/>
          <w:szCs w:val="24"/>
        </w:rPr>
        <w:t>（3）《五华河东绿色生态工业小镇水质净化厂一期提标改造工程可行性研究报告》（湖北省城建设计院有限公司上海分公司，2019年7月）；</w:t>
      </w:r>
    </w:p>
    <w:p>
      <w:pPr>
        <w:spacing w:line="360" w:lineRule="auto"/>
        <w:ind w:firstLine="480" w:firstLineChars="200"/>
        <w:rPr>
          <w:color w:val="auto"/>
          <w:sz w:val="24"/>
          <w:szCs w:val="24"/>
        </w:rPr>
      </w:pPr>
      <w:r>
        <w:rPr>
          <w:rFonts w:hint="eastAsia"/>
          <w:color w:val="auto"/>
          <w:sz w:val="24"/>
          <w:szCs w:val="24"/>
        </w:rPr>
        <w:t>（4）《五华河东绿色生态工业小镇水质净化厂一期工程（油新水质净化厂）岩土工程勘察报告》（核工业鹰潭工程勘察院，2019.1.21）；</w:t>
      </w:r>
    </w:p>
    <w:p>
      <w:pPr>
        <w:spacing w:line="360" w:lineRule="auto"/>
        <w:ind w:firstLine="480" w:firstLineChars="200"/>
        <w:rPr>
          <w:color w:val="auto"/>
          <w:sz w:val="24"/>
          <w:szCs w:val="24"/>
        </w:rPr>
      </w:pPr>
      <w:r>
        <w:rPr>
          <w:rFonts w:hint="eastAsia"/>
          <w:color w:val="auto"/>
          <w:sz w:val="24"/>
          <w:szCs w:val="24"/>
        </w:rPr>
        <w:t>（5）《五华河东绿色生态工业小镇水质净化厂一期工程提升扩容岩土工程勘察报告》（核工业鹰潭工程勘察院，2020.6.8）；</w:t>
      </w:r>
    </w:p>
    <w:p>
      <w:pPr>
        <w:spacing w:line="360" w:lineRule="auto"/>
        <w:ind w:firstLine="480" w:firstLineChars="200"/>
        <w:rPr>
          <w:color w:val="auto"/>
          <w:sz w:val="24"/>
          <w:szCs w:val="24"/>
        </w:rPr>
      </w:pPr>
      <w:r>
        <w:rPr>
          <w:rFonts w:hint="eastAsia"/>
          <w:color w:val="auto"/>
          <w:sz w:val="24"/>
          <w:szCs w:val="24"/>
        </w:rPr>
        <w:t>（6）环评过程中所需要的其他资料。</w:t>
      </w:r>
    </w:p>
    <w:p>
      <w:pPr>
        <w:pStyle w:val="3"/>
        <w:rPr>
          <w:color w:val="auto"/>
        </w:rPr>
      </w:pPr>
      <w:bookmarkStart w:id="26" w:name="_Toc4278"/>
      <w:bookmarkStart w:id="27" w:name="_Toc26276770"/>
      <w:r>
        <w:rPr>
          <w:rFonts w:hint="eastAsia"/>
          <w:color w:val="auto"/>
        </w:rPr>
        <w:t>2.2评价目的和原则</w:t>
      </w:r>
      <w:bookmarkEnd w:id="26"/>
      <w:bookmarkEnd w:id="27"/>
    </w:p>
    <w:p>
      <w:pPr>
        <w:spacing w:line="360" w:lineRule="auto"/>
        <w:ind w:firstLine="480" w:firstLineChars="200"/>
        <w:rPr>
          <w:color w:val="auto"/>
          <w:sz w:val="24"/>
          <w:szCs w:val="24"/>
        </w:rPr>
      </w:pPr>
      <w:r>
        <w:rPr>
          <w:rFonts w:hint="eastAsia"/>
          <w:color w:val="auto"/>
          <w:sz w:val="24"/>
          <w:szCs w:val="24"/>
        </w:rPr>
        <w:t>环境影响评价的目的，是对项目实施后可能造成的环境影响进行分析、预测和评估，提出预防或者减轻不良环境影响的对策和措施。针对本项目而言，评价的目的具体表现在以下几个方面：</w:t>
      </w:r>
    </w:p>
    <w:p>
      <w:pPr>
        <w:spacing w:line="360" w:lineRule="auto"/>
        <w:ind w:firstLine="480" w:firstLineChars="200"/>
        <w:rPr>
          <w:color w:val="auto"/>
          <w:sz w:val="24"/>
          <w:szCs w:val="24"/>
        </w:rPr>
      </w:pPr>
      <w:r>
        <w:rPr>
          <w:rFonts w:hint="eastAsia"/>
          <w:color w:val="auto"/>
          <w:sz w:val="24"/>
          <w:szCs w:val="24"/>
        </w:rPr>
        <w:t>1、分析本项目建设是否符合国家现行产业政策要求；</w:t>
      </w:r>
    </w:p>
    <w:p>
      <w:pPr>
        <w:spacing w:line="360" w:lineRule="auto"/>
        <w:ind w:firstLine="480" w:firstLineChars="200"/>
        <w:rPr>
          <w:color w:val="auto"/>
          <w:sz w:val="24"/>
          <w:szCs w:val="24"/>
        </w:rPr>
      </w:pPr>
      <w:r>
        <w:rPr>
          <w:rFonts w:hint="eastAsia"/>
          <w:color w:val="auto"/>
          <w:sz w:val="24"/>
          <w:szCs w:val="24"/>
        </w:rPr>
        <w:t>2、对项目的选址、规划布局、设计等方面进行环境可行性论证；从环保角度对工程建设提出要求和建议；</w:t>
      </w:r>
    </w:p>
    <w:p>
      <w:pPr>
        <w:spacing w:line="360" w:lineRule="auto"/>
        <w:ind w:firstLine="480" w:firstLineChars="200"/>
        <w:rPr>
          <w:color w:val="auto"/>
          <w:sz w:val="24"/>
          <w:szCs w:val="24"/>
        </w:rPr>
      </w:pPr>
      <w:r>
        <w:rPr>
          <w:rFonts w:hint="eastAsia"/>
          <w:color w:val="auto"/>
          <w:sz w:val="24"/>
          <w:szCs w:val="24"/>
        </w:rPr>
        <w:t>3、调查、研究本项目所在区域、流域以及邻近地区的环境功能，开展评价区域自然环境、社会环境和环境质量现状调查，确定工程实施影响环境的要素和主要环境保护目标。</w:t>
      </w:r>
    </w:p>
    <w:p>
      <w:pPr>
        <w:spacing w:line="360" w:lineRule="auto"/>
        <w:ind w:firstLine="480" w:firstLineChars="200"/>
        <w:rPr>
          <w:color w:val="auto"/>
          <w:sz w:val="24"/>
          <w:szCs w:val="24"/>
        </w:rPr>
      </w:pPr>
      <w:r>
        <w:rPr>
          <w:rFonts w:hint="eastAsia"/>
          <w:color w:val="auto"/>
          <w:sz w:val="24"/>
          <w:szCs w:val="24"/>
        </w:rPr>
        <w:t>4、通过对本项目在施工期和运营期可能带来的各种环境影响的定性和定量分析、评述、预测，评价其未来影响范围和程度。</w:t>
      </w:r>
    </w:p>
    <w:p>
      <w:pPr>
        <w:spacing w:line="360" w:lineRule="auto"/>
        <w:ind w:firstLine="480" w:firstLineChars="200"/>
        <w:rPr>
          <w:color w:val="auto"/>
          <w:sz w:val="24"/>
          <w:szCs w:val="24"/>
        </w:rPr>
      </w:pPr>
      <w:r>
        <w:rPr>
          <w:rFonts w:hint="eastAsia"/>
          <w:color w:val="auto"/>
          <w:sz w:val="24"/>
          <w:szCs w:val="24"/>
        </w:rPr>
        <w:t>5、分析本工程可能存在的环境风险，预测风险发生后可能影响的程度和范围，并根据相关规定提出相应的风险防范措施。</w:t>
      </w:r>
    </w:p>
    <w:p>
      <w:pPr>
        <w:spacing w:line="360" w:lineRule="auto"/>
        <w:ind w:firstLine="480" w:firstLineChars="200"/>
        <w:rPr>
          <w:color w:val="auto"/>
          <w:sz w:val="24"/>
          <w:szCs w:val="24"/>
        </w:rPr>
      </w:pPr>
      <w:r>
        <w:rPr>
          <w:rFonts w:hint="eastAsia"/>
          <w:color w:val="auto"/>
          <w:sz w:val="24"/>
          <w:szCs w:val="24"/>
        </w:rPr>
        <w:t>6、针对工程施工、工程运行给环境带来的不良影响，制定可行的对策和减缓措施，制定工程环境监理和环境管理规划，估算工程环境投资，保证工程顺利施工和正常运行，充分发挥工程的经济效益、社会效益和环境效益。</w:t>
      </w:r>
    </w:p>
    <w:p>
      <w:pPr>
        <w:spacing w:line="360" w:lineRule="auto"/>
        <w:ind w:firstLine="480" w:firstLineChars="200"/>
        <w:rPr>
          <w:color w:val="auto"/>
          <w:sz w:val="24"/>
          <w:szCs w:val="24"/>
        </w:rPr>
      </w:pPr>
      <w:r>
        <w:rPr>
          <w:rFonts w:hint="eastAsia"/>
          <w:color w:val="auto"/>
          <w:sz w:val="24"/>
          <w:szCs w:val="24"/>
        </w:rPr>
        <w:t>7、结合公众参与，弥补环境影响评价可能出现的疏忽和遗漏，进而使拟建项目的规划、设计和环境及管理更趋完善与合理，力求拟议项目的建设及运营在环境效益、社会效益和经济效益方面取得最优化的统一；为项目的生产管理和环境管理提供科学依据，为沿线地区的经济发展规划、环保规划提供依据，并给决策者提供协调环境与发展关系的科学依据。</w:t>
      </w:r>
    </w:p>
    <w:p>
      <w:pPr>
        <w:spacing w:line="360" w:lineRule="auto"/>
        <w:ind w:firstLine="480" w:firstLineChars="200"/>
        <w:rPr>
          <w:color w:val="auto"/>
          <w:sz w:val="24"/>
          <w:szCs w:val="24"/>
        </w:rPr>
      </w:pPr>
      <w:r>
        <w:rPr>
          <w:rFonts w:hint="eastAsia"/>
          <w:color w:val="auto"/>
          <w:sz w:val="24"/>
          <w:szCs w:val="24"/>
        </w:rPr>
        <w:t>8、从环保角度论证项目建设的可行性，为工程建设和环境管理提供科学依据。</w:t>
      </w:r>
    </w:p>
    <w:p>
      <w:pPr>
        <w:spacing w:line="360" w:lineRule="auto"/>
        <w:ind w:firstLine="480" w:firstLineChars="200"/>
        <w:rPr>
          <w:color w:val="auto"/>
          <w:sz w:val="24"/>
          <w:szCs w:val="24"/>
        </w:rPr>
      </w:pPr>
      <w:r>
        <w:rPr>
          <w:rFonts w:hint="eastAsia"/>
          <w:color w:val="auto"/>
          <w:sz w:val="24"/>
          <w:szCs w:val="24"/>
        </w:rPr>
        <w:t>通过以上多方面的分析，明确给出本项目环境影响的可行性结论，为该项目工程设计、建设及生产中的环境管理等提供依据。</w:t>
      </w:r>
    </w:p>
    <w:p>
      <w:pPr>
        <w:spacing w:line="360" w:lineRule="auto"/>
        <w:ind w:firstLine="480" w:firstLineChars="200"/>
        <w:rPr>
          <w:color w:val="auto"/>
          <w:sz w:val="24"/>
          <w:szCs w:val="24"/>
        </w:rPr>
      </w:pPr>
      <w:r>
        <w:rPr>
          <w:rFonts w:hint="eastAsia"/>
          <w:color w:val="auto"/>
          <w:sz w:val="24"/>
          <w:szCs w:val="24"/>
        </w:rPr>
        <w:t>本评价工作将遵循以下原则：</w:t>
      </w:r>
    </w:p>
    <w:p>
      <w:pPr>
        <w:spacing w:line="360" w:lineRule="auto"/>
        <w:ind w:firstLine="480" w:firstLineChars="200"/>
        <w:rPr>
          <w:color w:val="auto"/>
          <w:sz w:val="24"/>
          <w:szCs w:val="24"/>
        </w:rPr>
      </w:pPr>
      <w:r>
        <w:rPr>
          <w:rFonts w:hint="eastAsia"/>
          <w:color w:val="auto"/>
          <w:sz w:val="24"/>
          <w:szCs w:val="24"/>
        </w:rPr>
        <w:t>突出环境影响评价的源头预防作用，坚持保护和改善环境质量。</w:t>
      </w:r>
    </w:p>
    <w:p>
      <w:pPr>
        <w:spacing w:line="360" w:lineRule="auto"/>
        <w:ind w:firstLine="480" w:firstLineChars="200"/>
        <w:rPr>
          <w:color w:val="auto"/>
          <w:sz w:val="24"/>
          <w:szCs w:val="24"/>
        </w:rPr>
      </w:pPr>
      <w:r>
        <w:rPr>
          <w:rFonts w:hint="eastAsia"/>
          <w:color w:val="auto"/>
          <w:sz w:val="24"/>
          <w:szCs w:val="24"/>
        </w:rPr>
        <w:t>1、依法评价</w:t>
      </w:r>
    </w:p>
    <w:p>
      <w:pPr>
        <w:spacing w:line="360" w:lineRule="auto"/>
        <w:ind w:firstLine="480" w:firstLineChars="200"/>
        <w:rPr>
          <w:color w:val="auto"/>
          <w:sz w:val="24"/>
          <w:szCs w:val="24"/>
        </w:rPr>
      </w:pPr>
      <w:r>
        <w:rPr>
          <w:rFonts w:hint="eastAsia"/>
          <w:color w:val="auto"/>
          <w:sz w:val="24"/>
          <w:szCs w:val="24"/>
        </w:rPr>
        <w:t>贯彻执行我国环境保护相关法律法规、标准、政策和规划等，优化项目建设，服务环境管理。</w:t>
      </w:r>
    </w:p>
    <w:p>
      <w:pPr>
        <w:spacing w:line="360" w:lineRule="auto"/>
        <w:ind w:firstLine="480" w:firstLineChars="200"/>
        <w:rPr>
          <w:color w:val="auto"/>
          <w:sz w:val="24"/>
          <w:szCs w:val="24"/>
        </w:rPr>
      </w:pPr>
      <w:r>
        <w:rPr>
          <w:rFonts w:hint="eastAsia"/>
          <w:color w:val="auto"/>
          <w:sz w:val="24"/>
          <w:szCs w:val="24"/>
        </w:rPr>
        <w:t>2、科学评价</w:t>
      </w:r>
    </w:p>
    <w:p>
      <w:pPr>
        <w:spacing w:line="360" w:lineRule="auto"/>
        <w:ind w:firstLine="480" w:firstLineChars="200"/>
        <w:rPr>
          <w:color w:val="auto"/>
          <w:sz w:val="24"/>
          <w:szCs w:val="24"/>
        </w:rPr>
      </w:pPr>
      <w:r>
        <w:rPr>
          <w:rFonts w:hint="eastAsia"/>
          <w:color w:val="auto"/>
          <w:sz w:val="24"/>
          <w:szCs w:val="24"/>
        </w:rPr>
        <w:t>规范环境影响评价方法，科学分析项目建设对环境质量的影响。</w:t>
      </w:r>
    </w:p>
    <w:p>
      <w:pPr>
        <w:spacing w:line="360" w:lineRule="auto"/>
        <w:ind w:firstLine="480" w:firstLineChars="200"/>
        <w:rPr>
          <w:color w:val="auto"/>
          <w:sz w:val="24"/>
          <w:szCs w:val="24"/>
        </w:rPr>
      </w:pPr>
      <w:r>
        <w:rPr>
          <w:rFonts w:hint="eastAsia"/>
          <w:color w:val="auto"/>
          <w:sz w:val="24"/>
          <w:szCs w:val="24"/>
        </w:rPr>
        <w:t>3、突出重点</w:t>
      </w:r>
    </w:p>
    <w:p>
      <w:pPr>
        <w:spacing w:line="360" w:lineRule="auto"/>
        <w:ind w:firstLine="480" w:firstLineChars="200"/>
        <w:rPr>
          <w:color w:val="auto"/>
          <w:sz w:val="24"/>
          <w:szCs w:val="24"/>
        </w:rPr>
      </w:pPr>
      <w:r>
        <w:rPr>
          <w:rFonts w:hint="eastAsia"/>
          <w:color w:val="auto"/>
          <w:sz w:val="24"/>
          <w:szCs w:val="24"/>
        </w:rPr>
        <w:t>根据建设项目的工程内容及其特点，明确与环境要素间的作用效应关系，根据规划环境影响评价结论和审查意见，充分利用符合时效的数据资料及成果，对建设项目主要环境影响予以重点分析和评价。</w:t>
      </w:r>
    </w:p>
    <w:p>
      <w:pPr>
        <w:pStyle w:val="3"/>
        <w:rPr>
          <w:color w:val="auto"/>
        </w:rPr>
      </w:pPr>
      <w:bookmarkStart w:id="28" w:name="_Toc26276771"/>
      <w:bookmarkStart w:id="29" w:name="_Toc13077"/>
      <w:r>
        <w:rPr>
          <w:rFonts w:hint="eastAsia"/>
          <w:color w:val="auto"/>
        </w:rPr>
        <w:t>2.3评价内容和重点</w:t>
      </w:r>
      <w:bookmarkEnd w:id="28"/>
      <w:bookmarkEnd w:id="29"/>
    </w:p>
    <w:p>
      <w:pPr>
        <w:spacing w:line="360" w:lineRule="auto"/>
        <w:ind w:firstLine="480" w:firstLineChars="200"/>
        <w:rPr>
          <w:color w:val="auto"/>
          <w:sz w:val="24"/>
          <w:szCs w:val="24"/>
        </w:rPr>
      </w:pPr>
      <w:r>
        <w:rPr>
          <w:rFonts w:hint="eastAsia"/>
          <w:color w:val="auto"/>
          <w:sz w:val="24"/>
          <w:szCs w:val="24"/>
        </w:rPr>
        <w:t>根据环境影响评价技术导则的相关要求，结合本项目的排污特点和区域环境特征，确定的本次评价工作的内容见下表。</w:t>
      </w:r>
    </w:p>
    <w:p>
      <w:pPr>
        <w:spacing w:line="360" w:lineRule="auto"/>
        <w:jc w:val="center"/>
        <w:rPr>
          <w:b/>
          <w:color w:val="auto"/>
          <w:sz w:val="24"/>
          <w:szCs w:val="24"/>
        </w:rPr>
      </w:pPr>
      <w:r>
        <w:rPr>
          <w:rFonts w:hint="eastAsia"/>
          <w:b/>
          <w:color w:val="auto"/>
          <w:sz w:val="24"/>
          <w:szCs w:val="24"/>
        </w:rPr>
        <w:t>表2-3-1   本项目主要评价内容一览表</w:t>
      </w:r>
    </w:p>
    <w:tbl>
      <w:tblPr>
        <w:tblStyle w:val="29"/>
        <w:tblW w:w="8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5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b/>
                <w:color w:val="auto"/>
                <w:sz w:val="21"/>
                <w:szCs w:val="21"/>
              </w:rPr>
            </w:pPr>
            <w:r>
              <w:rPr>
                <w:rFonts w:hint="eastAsia"/>
                <w:b/>
                <w:color w:val="auto"/>
                <w:sz w:val="21"/>
                <w:szCs w:val="21"/>
              </w:rPr>
              <w:t>序号</w:t>
            </w:r>
          </w:p>
        </w:tc>
        <w:tc>
          <w:tcPr>
            <w:tcW w:w="1560" w:type="dxa"/>
            <w:vAlign w:val="center"/>
          </w:tcPr>
          <w:p>
            <w:pPr>
              <w:adjustRightInd w:val="0"/>
              <w:snapToGrid w:val="0"/>
              <w:jc w:val="center"/>
              <w:rPr>
                <w:b/>
                <w:color w:val="auto"/>
                <w:sz w:val="21"/>
                <w:szCs w:val="21"/>
              </w:rPr>
            </w:pPr>
            <w:r>
              <w:rPr>
                <w:rFonts w:hint="eastAsia"/>
                <w:b/>
                <w:color w:val="auto"/>
                <w:sz w:val="21"/>
                <w:szCs w:val="21"/>
              </w:rPr>
              <w:t>项目</w:t>
            </w:r>
          </w:p>
        </w:tc>
        <w:tc>
          <w:tcPr>
            <w:tcW w:w="5811" w:type="dxa"/>
            <w:vAlign w:val="center"/>
          </w:tcPr>
          <w:p>
            <w:pPr>
              <w:adjustRightInd w:val="0"/>
              <w:snapToGrid w:val="0"/>
              <w:jc w:val="center"/>
              <w:rPr>
                <w:b/>
                <w:color w:val="auto"/>
                <w:sz w:val="21"/>
                <w:szCs w:val="21"/>
              </w:rPr>
            </w:pPr>
            <w:r>
              <w:rPr>
                <w:rFonts w:hint="eastAsia"/>
                <w:b/>
                <w:color w:val="auto"/>
                <w:sz w:val="21"/>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rFonts w:hint="eastAsia"/>
                <w:color w:val="auto"/>
                <w:sz w:val="21"/>
                <w:szCs w:val="21"/>
              </w:rPr>
              <w:t>1</w:t>
            </w:r>
          </w:p>
        </w:tc>
        <w:tc>
          <w:tcPr>
            <w:tcW w:w="1560" w:type="dxa"/>
            <w:vAlign w:val="center"/>
          </w:tcPr>
          <w:p>
            <w:pPr>
              <w:adjustRightInd w:val="0"/>
              <w:snapToGrid w:val="0"/>
              <w:jc w:val="center"/>
              <w:rPr>
                <w:color w:val="auto"/>
                <w:sz w:val="21"/>
                <w:szCs w:val="21"/>
              </w:rPr>
            </w:pPr>
            <w:r>
              <w:rPr>
                <w:rFonts w:hint="eastAsia"/>
                <w:color w:val="auto"/>
                <w:sz w:val="21"/>
                <w:szCs w:val="21"/>
              </w:rPr>
              <w:t>总则</w:t>
            </w:r>
          </w:p>
        </w:tc>
        <w:tc>
          <w:tcPr>
            <w:tcW w:w="5811" w:type="dxa"/>
            <w:vAlign w:val="center"/>
          </w:tcPr>
          <w:p>
            <w:pPr>
              <w:adjustRightInd w:val="0"/>
              <w:snapToGrid w:val="0"/>
              <w:jc w:val="center"/>
              <w:rPr>
                <w:color w:val="auto"/>
                <w:sz w:val="21"/>
                <w:szCs w:val="21"/>
              </w:rPr>
            </w:pPr>
            <w:r>
              <w:rPr>
                <w:rFonts w:hint="eastAsia"/>
                <w:color w:val="auto"/>
                <w:sz w:val="21"/>
                <w:szCs w:val="21"/>
              </w:rPr>
              <w:t>编制依据、影响识别、确定评价等级及评价范围、确认环境保护目标和评价标准，产业政策符合性及项目选址可行性分析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rFonts w:hint="eastAsia"/>
                <w:color w:val="auto"/>
                <w:sz w:val="21"/>
                <w:szCs w:val="21"/>
              </w:rPr>
              <w:t>2</w:t>
            </w:r>
          </w:p>
        </w:tc>
        <w:tc>
          <w:tcPr>
            <w:tcW w:w="1560" w:type="dxa"/>
            <w:vAlign w:val="center"/>
          </w:tcPr>
          <w:p>
            <w:pPr>
              <w:adjustRightInd w:val="0"/>
              <w:snapToGrid w:val="0"/>
              <w:jc w:val="center"/>
              <w:rPr>
                <w:color w:val="auto"/>
                <w:sz w:val="21"/>
                <w:szCs w:val="21"/>
              </w:rPr>
            </w:pPr>
            <w:r>
              <w:rPr>
                <w:rFonts w:hint="eastAsia"/>
                <w:color w:val="auto"/>
                <w:sz w:val="21"/>
                <w:szCs w:val="21"/>
              </w:rPr>
              <w:t>工程分析</w:t>
            </w:r>
          </w:p>
        </w:tc>
        <w:tc>
          <w:tcPr>
            <w:tcW w:w="5811" w:type="dxa"/>
            <w:vAlign w:val="center"/>
          </w:tcPr>
          <w:p>
            <w:pPr>
              <w:adjustRightInd w:val="0"/>
              <w:snapToGrid w:val="0"/>
              <w:jc w:val="center"/>
              <w:rPr>
                <w:color w:val="auto"/>
                <w:sz w:val="21"/>
                <w:szCs w:val="21"/>
              </w:rPr>
            </w:pPr>
            <w:r>
              <w:rPr>
                <w:rFonts w:hint="eastAsia"/>
                <w:color w:val="auto"/>
                <w:sz w:val="21"/>
                <w:szCs w:val="21"/>
              </w:rPr>
              <w:t>工程概况、项目建设的必要性、污水处理工艺流程、污水处理工程及排污节点、污染物排放及治理措施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color w:val="auto"/>
                <w:sz w:val="21"/>
                <w:szCs w:val="21"/>
              </w:rPr>
              <w:t>3</w:t>
            </w:r>
          </w:p>
        </w:tc>
        <w:tc>
          <w:tcPr>
            <w:tcW w:w="1560" w:type="dxa"/>
            <w:vAlign w:val="center"/>
          </w:tcPr>
          <w:p>
            <w:pPr>
              <w:adjustRightInd w:val="0"/>
              <w:snapToGrid w:val="0"/>
              <w:jc w:val="center"/>
              <w:rPr>
                <w:color w:val="auto"/>
                <w:sz w:val="21"/>
                <w:szCs w:val="21"/>
              </w:rPr>
            </w:pPr>
            <w:r>
              <w:rPr>
                <w:rFonts w:hint="eastAsia"/>
                <w:color w:val="auto"/>
                <w:sz w:val="21"/>
                <w:szCs w:val="21"/>
              </w:rPr>
              <w:t>环境质量现状监测与评价</w:t>
            </w:r>
          </w:p>
        </w:tc>
        <w:tc>
          <w:tcPr>
            <w:tcW w:w="5811" w:type="dxa"/>
            <w:vAlign w:val="center"/>
          </w:tcPr>
          <w:p>
            <w:pPr>
              <w:adjustRightInd w:val="0"/>
              <w:snapToGrid w:val="0"/>
              <w:jc w:val="center"/>
              <w:rPr>
                <w:color w:val="auto"/>
                <w:sz w:val="21"/>
                <w:szCs w:val="21"/>
              </w:rPr>
            </w:pPr>
            <w:r>
              <w:rPr>
                <w:rFonts w:hint="eastAsia"/>
                <w:color w:val="auto"/>
                <w:sz w:val="21"/>
                <w:szCs w:val="21"/>
              </w:rPr>
              <w:t>自然环境现状调查；环境空气、地下水环境、声环境、土壤环境质量现状监测与评价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rFonts w:hint="eastAsia"/>
                <w:color w:val="auto"/>
                <w:sz w:val="21"/>
                <w:szCs w:val="21"/>
              </w:rPr>
              <w:t>4</w:t>
            </w:r>
          </w:p>
        </w:tc>
        <w:tc>
          <w:tcPr>
            <w:tcW w:w="1560" w:type="dxa"/>
            <w:vAlign w:val="center"/>
          </w:tcPr>
          <w:p>
            <w:pPr>
              <w:adjustRightInd w:val="0"/>
              <w:snapToGrid w:val="0"/>
              <w:jc w:val="center"/>
              <w:rPr>
                <w:color w:val="auto"/>
                <w:sz w:val="21"/>
                <w:szCs w:val="21"/>
              </w:rPr>
            </w:pPr>
            <w:r>
              <w:rPr>
                <w:rFonts w:hint="eastAsia"/>
                <w:color w:val="auto"/>
                <w:sz w:val="21"/>
                <w:szCs w:val="21"/>
              </w:rPr>
              <w:t>环境影响评价</w:t>
            </w:r>
          </w:p>
        </w:tc>
        <w:tc>
          <w:tcPr>
            <w:tcW w:w="5811" w:type="dxa"/>
            <w:vAlign w:val="center"/>
          </w:tcPr>
          <w:p>
            <w:pPr>
              <w:adjustRightInd w:val="0"/>
              <w:snapToGrid w:val="0"/>
              <w:jc w:val="center"/>
              <w:rPr>
                <w:color w:val="auto"/>
                <w:sz w:val="21"/>
                <w:szCs w:val="21"/>
              </w:rPr>
            </w:pPr>
            <w:r>
              <w:rPr>
                <w:rFonts w:hint="eastAsia"/>
                <w:color w:val="auto"/>
                <w:sz w:val="21"/>
                <w:szCs w:val="21"/>
              </w:rPr>
              <w:t>施工废气、废水、噪声及固废影响评价；运营期大气环境影响评价、水环境评价、声环境影响评价、固体废物环境影响评价、土壤环境影响评价、环境风险评价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color w:val="auto"/>
                <w:sz w:val="21"/>
                <w:szCs w:val="21"/>
              </w:rPr>
              <w:t>5</w:t>
            </w:r>
          </w:p>
        </w:tc>
        <w:tc>
          <w:tcPr>
            <w:tcW w:w="1560" w:type="dxa"/>
            <w:vAlign w:val="center"/>
          </w:tcPr>
          <w:p>
            <w:pPr>
              <w:adjustRightInd w:val="0"/>
              <w:snapToGrid w:val="0"/>
              <w:jc w:val="center"/>
              <w:rPr>
                <w:color w:val="auto"/>
                <w:sz w:val="21"/>
                <w:szCs w:val="21"/>
              </w:rPr>
            </w:pPr>
            <w:r>
              <w:rPr>
                <w:rFonts w:hint="eastAsia"/>
                <w:color w:val="auto"/>
                <w:sz w:val="21"/>
                <w:szCs w:val="21"/>
              </w:rPr>
              <w:t>污染防治措施可行性论证</w:t>
            </w:r>
          </w:p>
        </w:tc>
        <w:tc>
          <w:tcPr>
            <w:tcW w:w="5811" w:type="dxa"/>
            <w:vAlign w:val="center"/>
          </w:tcPr>
          <w:p>
            <w:pPr>
              <w:adjustRightInd w:val="0"/>
              <w:snapToGrid w:val="0"/>
              <w:jc w:val="center"/>
              <w:rPr>
                <w:color w:val="auto"/>
                <w:sz w:val="21"/>
                <w:szCs w:val="21"/>
              </w:rPr>
            </w:pPr>
            <w:r>
              <w:rPr>
                <w:rFonts w:hint="eastAsia"/>
                <w:color w:val="auto"/>
                <w:sz w:val="21"/>
                <w:szCs w:val="21"/>
              </w:rPr>
              <w:t>主要针对拟建项目采取的废气、废水、噪声及固体废物污染防治措施进行可行性分析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color w:val="auto"/>
                <w:sz w:val="21"/>
                <w:szCs w:val="21"/>
              </w:rPr>
              <w:t>6</w:t>
            </w:r>
          </w:p>
        </w:tc>
        <w:tc>
          <w:tcPr>
            <w:tcW w:w="1560" w:type="dxa"/>
            <w:vAlign w:val="center"/>
          </w:tcPr>
          <w:p>
            <w:pPr>
              <w:adjustRightInd w:val="0"/>
              <w:snapToGrid w:val="0"/>
              <w:jc w:val="center"/>
              <w:rPr>
                <w:color w:val="auto"/>
                <w:sz w:val="21"/>
                <w:szCs w:val="21"/>
              </w:rPr>
            </w:pPr>
            <w:r>
              <w:rPr>
                <w:rFonts w:hint="eastAsia"/>
                <w:color w:val="auto"/>
                <w:sz w:val="21"/>
                <w:szCs w:val="21"/>
              </w:rPr>
              <w:t>环境影响经济损益分析</w:t>
            </w:r>
          </w:p>
        </w:tc>
        <w:tc>
          <w:tcPr>
            <w:tcW w:w="5811" w:type="dxa"/>
            <w:vAlign w:val="center"/>
          </w:tcPr>
          <w:p>
            <w:pPr>
              <w:adjustRightInd w:val="0"/>
              <w:snapToGrid w:val="0"/>
              <w:jc w:val="center"/>
              <w:rPr>
                <w:color w:val="auto"/>
                <w:sz w:val="21"/>
                <w:szCs w:val="21"/>
              </w:rPr>
            </w:pPr>
            <w:r>
              <w:rPr>
                <w:rFonts w:hint="eastAsia"/>
                <w:color w:val="auto"/>
                <w:sz w:val="21"/>
                <w:szCs w:val="21"/>
              </w:rPr>
              <w:t>综合考虑社会、经济、环境效益，分析项目环保投资合理性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color w:val="auto"/>
                <w:sz w:val="21"/>
                <w:szCs w:val="21"/>
              </w:rPr>
              <w:t>7</w:t>
            </w:r>
          </w:p>
        </w:tc>
        <w:tc>
          <w:tcPr>
            <w:tcW w:w="1560" w:type="dxa"/>
            <w:vAlign w:val="center"/>
          </w:tcPr>
          <w:p>
            <w:pPr>
              <w:adjustRightInd w:val="0"/>
              <w:snapToGrid w:val="0"/>
              <w:jc w:val="center"/>
              <w:rPr>
                <w:color w:val="auto"/>
                <w:sz w:val="21"/>
                <w:szCs w:val="21"/>
              </w:rPr>
            </w:pPr>
            <w:r>
              <w:rPr>
                <w:rFonts w:hint="eastAsia"/>
                <w:color w:val="auto"/>
                <w:sz w:val="21"/>
                <w:szCs w:val="21"/>
              </w:rPr>
              <w:t>环境管理与监测计划</w:t>
            </w:r>
          </w:p>
        </w:tc>
        <w:tc>
          <w:tcPr>
            <w:tcW w:w="5811" w:type="dxa"/>
            <w:vAlign w:val="center"/>
          </w:tcPr>
          <w:p>
            <w:pPr>
              <w:adjustRightInd w:val="0"/>
              <w:snapToGrid w:val="0"/>
              <w:jc w:val="center"/>
              <w:rPr>
                <w:color w:val="auto"/>
                <w:sz w:val="21"/>
                <w:szCs w:val="21"/>
              </w:rPr>
            </w:pPr>
            <w:r>
              <w:rPr>
                <w:rFonts w:hint="eastAsia"/>
                <w:color w:val="auto"/>
                <w:sz w:val="21"/>
                <w:szCs w:val="21"/>
              </w:rPr>
              <w:t>提出项目环境管理和监测计划，并给出建设项目环境保护“三同时”验收内容一览表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djustRightInd w:val="0"/>
              <w:snapToGrid w:val="0"/>
              <w:jc w:val="center"/>
              <w:rPr>
                <w:color w:val="auto"/>
                <w:sz w:val="21"/>
                <w:szCs w:val="21"/>
              </w:rPr>
            </w:pPr>
            <w:r>
              <w:rPr>
                <w:rFonts w:hint="eastAsia"/>
                <w:color w:val="auto"/>
                <w:sz w:val="21"/>
                <w:szCs w:val="21"/>
              </w:rPr>
              <w:t>8</w:t>
            </w:r>
          </w:p>
        </w:tc>
        <w:tc>
          <w:tcPr>
            <w:tcW w:w="1560" w:type="dxa"/>
            <w:vAlign w:val="center"/>
          </w:tcPr>
          <w:p>
            <w:pPr>
              <w:adjustRightInd w:val="0"/>
              <w:snapToGrid w:val="0"/>
              <w:jc w:val="center"/>
              <w:rPr>
                <w:color w:val="auto"/>
                <w:sz w:val="21"/>
                <w:szCs w:val="21"/>
              </w:rPr>
            </w:pPr>
            <w:r>
              <w:rPr>
                <w:rFonts w:hint="eastAsia"/>
                <w:color w:val="auto"/>
                <w:sz w:val="21"/>
                <w:szCs w:val="21"/>
              </w:rPr>
              <w:t>结论与建议</w:t>
            </w:r>
          </w:p>
        </w:tc>
        <w:tc>
          <w:tcPr>
            <w:tcW w:w="5811" w:type="dxa"/>
            <w:vAlign w:val="center"/>
          </w:tcPr>
          <w:p>
            <w:pPr>
              <w:adjustRightInd w:val="0"/>
              <w:snapToGrid w:val="0"/>
              <w:jc w:val="center"/>
              <w:rPr>
                <w:color w:val="auto"/>
                <w:sz w:val="21"/>
                <w:szCs w:val="21"/>
              </w:rPr>
            </w:pPr>
            <w:r>
              <w:rPr>
                <w:rFonts w:hint="eastAsia"/>
                <w:color w:val="auto"/>
                <w:sz w:val="21"/>
                <w:szCs w:val="21"/>
              </w:rPr>
              <w:t>给出本项目环境影响评价结论，提出合理化建议</w:t>
            </w:r>
          </w:p>
        </w:tc>
      </w:tr>
    </w:tbl>
    <w:p>
      <w:pPr>
        <w:spacing w:line="360" w:lineRule="auto"/>
        <w:ind w:firstLine="480" w:firstLineChars="200"/>
        <w:jc w:val="left"/>
        <w:rPr>
          <w:color w:val="auto"/>
          <w:sz w:val="24"/>
          <w:szCs w:val="24"/>
        </w:rPr>
      </w:pPr>
      <w:r>
        <w:rPr>
          <w:rFonts w:hint="eastAsia"/>
          <w:color w:val="auto"/>
          <w:sz w:val="24"/>
          <w:szCs w:val="24"/>
        </w:rPr>
        <w:t>根据本项目污染物排放特点及所处环境，本次评价工作重点为：</w:t>
      </w:r>
    </w:p>
    <w:p>
      <w:pPr>
        <w:spacing w:line="360" w:lineRule="auto"/>
        <w:ind w:firstLine="480" w:firstLineChars="200"/>
        <w:jc w:val="left"/>
        <w:rPr>
          <w:color w:val="auto"/>
          <w:sz w:val="24"/>
          <w:szCs w:val="24"/>
        </w:rPr>
      </w:pPr>
      <w:r>
        <w:rPr>
          <w:rFonts w:hint="eastAsia"/>
          <w:color w:val="auto"/>
          <w:sz w:val="24"/>
          <w:szCs w:val="24"/>
        </w:rPr>
        <w:t>1、工程建设期及运行期对区域自然及生态环境的影响及预防措施；</w:t>
      </w:r>
    </w:p>
    <w:p>
      <w:pPr>
        <w:spacing w:line="360" w:lineRule="auto"/>
        <w:ind w:firstLine="480" w:firstLineChars="200"/>
        <w:jc w:val="left"/>
        <w:rPr>
          <w:color w:val="auto"/>
          <w:sz w:val="24"/>
          <w:szCs w:val="24"/>
        </w:rPr>
      </w:pPr>
      <w:r>
        <w:rPr>
          <w:rFonts w:hint="eastAsia"/>
          <w:color w:val="auto"/>
          <w:sz w:val="24"/>
          <w:szCs w:val="24"/>
        </w:rPr>
        <w:t>2、对区域地表水和地下水环境的影响；</w:t>
      </w:r>
    </w:p>
    <w:p>
      <w:pPr>
        <w:spacing w:line="360" w:lineRule="auto"/>
        <w:ind w:firstLine="480" w:firstLineChars="200"/>
        <w:jc w:val="left"/>
        <w:rPr>
          <w:color w:val="auto"/>
          <w:sz w:val="24"/>
          <w:szCs w:val="24"/>
        </w:rPr>
      </w:pPr>
      <w:r>
        <w:rPr>
          <w:rFonts w:hint="eastAsia"/>
          <w:color w:val="auto"/>
          <w:sz w:val="24"/>
          <w:szCs w:val="24"/>
        </w:rPr>
        <w:t>3、恶臭对区域大气环境的影响；</w:t>
      </w:r>
    </w:p>
    <w:p>
      <w:pPr>
        <w:spacing w:line="360" w:lineRule="auto"/>
        <w:ind w:firstLine="480" w:firstLineChars="200"/>
        <w:jc w:val="left"/>
        <w:rPr>
          <w:color w:val="auto"/>
          <w:sz w:val="24"/>
          <w:szCs w:val="24"/>
        </w:rPr>
      </w:pPr>
      <w:r>
        <w:rPr>
          <w:rFonts w:hint="eastAsia"/>
          <w:color w:val="auto"/>
          <w:sz w:val="24"/>
          <w:szCs w:val="24"/>
        </w:rPr>
        <w:t>4、环境风险影响；</w:t>
      </w:r>
    </w:p>
    <w:p>
      <w:pPr>
        <w:spacing w:line="360" w:lineRule="auto"/>
        <w:ind w:firstLine="480" w:firstLineChars="200"/>
        <w:jc w:val="left"/>
        <w:rPr>
          <w:b/>
          <w:color w:val="auto"/>
          <w:sz w:val="24"/>
          <w:szCs w:val="24"/>
        </w:rPr>
      </w:pPr>
      <w:r>
        <w:rPr>
          <w:rFonts w:hint="eastAsia"/>
          <w:color w:val="auto"/>
          <w:sz w:val="24"/>
          <w:szCs w:val="24"/>
        </w:rPr>
        <w:t>5、工程运行的环保措施及经济、技术论证。</w:t>
      </w:r>
    </w:p>
    <w:p>
      <w:pPr>
        <w:pStyle w:val="3"/>
        <w:rPr>
          <w:color w:val="auto"/>
        </w:rPr>
      </w:pPr>
      <w:bookmarkStart w:id="30" w:name="_Toc26276772"/>
      <w:bookmarkStart w:id="31" w:name="_Toc3701"/>
      <w:r>
        <w:rPr>
          <w:rFonts w:hint="eastAsia"/>
          <w:color w:val="auto"/>
        </w:rPr>
        <w:t>2.4环境影响识别与评价因子筛选</w:t>
      </w:r>
      <w:bookmarkEnd w:id="30"/>
      <w:bookmarkEnd w:id="31"/>
    </w:p>
    <w:p>
      <w:pPr>
        <w:pStyle w:val="4"/>
        <w:rPr>
          <w:color w:val="auto"/>
        </w:rPr>
      </w:pPr>
      <w:bookmarkStart w:id="32" w:name="_Toc26276773"/>
      <w:r>
        <w:rPr>
          <w:rFonts w:hint="eastAsia"/>
          <w:color w:val="auto"/>
        </w:rPr>
        <w:t>2.4.1环境影响识别</w:t>
      </w:r>
      <w:bookmarkEnd w:id="32"/>
    </w:p>
    <w:p>
      <w:pPr>
        <w:spacing w:line="360" w:lineRule="auto"/>
        <w:ind w:firstLine="480" w:firstLineChars="200"/>
        <w:rPr>
          <w:color w:val="auto"/>
          <w:sz w:val="24"/>
          <w:szCs w:val="24"/>
        </w:rPr>
      </w:pPr>
      <w:r>
        <w:rPr>
          <w:rFonts w:hint="eastAsia"/>
          <w:color w:val="auto"/>
          <w:sz w:val="24"/>
          <w:szCs w:val="24"/>
        </w:rPr>
        <w:t>根据可行性研究报告及现场考察的情况，本项目施工期、运营期可能造成的环境影响如下表所示。</w:t>
      </w:r>
    </w:p>
    <w:p>
      <w:pPr>
        <w:adjustRightInd w:val="0"/>
        <w:snapToGrid w:val="0"/>
        <w:spacing w:line="360" w:lineRule="auto"/>
        <w:jc w:val="center"/>
        <w:rPr>
          <w:b/>
          <w:color w:val="auto"/>
          <w:sz w:val="24"/>
          <w:szCs w:val="24"/>
        </w:rPr>
      </w:pPr>
      <w:r>
        <w:rPr>
          <w:rFonts w:hint="eastAsia"/>
          <w:b/>
          <w:color w:val="auto"/>
          <w:sz w:val="24"/>
          <w:szCs w:val="24"/>
        </w:rPr>
        <w:t>表2-4-1   本工程环境影响特性表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1843"/>
        <w:gridCol w:w="2552"/>
        <w:gridCol w:w="1275"/>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djustRightInd w:val="0"/>
              <w:snapToGrid w:val="0"/>
              <w:jc w:val="center"/>
              <w:rPr>
                <w:b/>
                <w:color w:val="auto"/>
                <w:sz w:val="21"/>
                <w:szCs w:val="21"/>
              </w:rPr>
            </w:pPr>
            <w:r>
              <w:rPr>
                <w:rFonts w:hint="eastAsia"/>
                <w:b/>
                <w:color w:val="auto"/>
                <w:sz w:val="21"/>
                <w:szCs w:val="21"/>
              </w:rPr>
              <w:t>时期</w:t>
            </w:r>
          </w:p>
        </w:tc>
        <w:tc>
          <w:tcPr>
            <w:tcW w:w="1134" w:type="dxa"/>
            <w:vAlign w:val="center"/>
          </w:tcPr>
          <w:p>
            <w:pPr>
              <w:adjustRightInd w:val="0"/>
              <w:snapToGrid w:val="0"/>
              <w:jc w:val="center"/>
              <w:rPr>
                <w:b/>
                <w:color w:val="auto"/>
                <w:sz w:val="21"/>
                <w:szCs w:val="21"/>
              </w:rPr>
            </w:pPr>
            <w:r>
              <w:rPr>
                <w:rFonts w:hint="eastAsia"/>
                <w:b/>
                <w:color w:val="auto"/>
                <w:sz w:val="21"/>
                <w:szCs w:val="21"/>
              </w:rPr>
              <w:t>环境要素</w:t>
            </w:r>
          </w:p>
        </w:tc>
        <w:tc>
          <w:tcPr>
            <w:tcW w:w="1843" w:type="dxa"/>
            <w:vAlign w:val="center"/>
          </w:tcPr>
          <w:p>
            <w:pPr>
              <w:adjustRightInd w:val="0"/>
              <w:snapToGrid w:val="0"/>
              <w:jc w:val="center"/>
              <w:rPr>
                <w:b/>
                <w:color w:val="auto"/>
                <w:sz w:val="21"/>
                <w:szCs w:val="21"/>
              </w:rPr>
            </w:pPr>
            <w:r>
              <w:rPr>
                <w:rFonts w:hint="eastAsia"/>
                <w:b/>
                <w:color w:val="auto"/>
                <w:sz w:val="21"/>
                <w:szCs w:val="21"/>
              </w:rPr>
              <w:t>影响来源与环节</w:t>
            </w:r>
          </w:p>
        </w:tc>
        <w:tc>
          <w:tcPr>
            <w:tcW w:w="2552" w:type="dxa"/>
            <w:vAlign w:val="center"/>
          </w:tcPr>
          <w:p>
            <w:pPr>
              <w:adjustRightInd w:val="0"/>
              <w:snapToGrid w:val="0"/>
              <w:jc w:val="center"/>
              <w:rPr>
                <w:b/>
                <w:color w:val="auto"/>
                <w:sz w:val="21"/>
                <w:szCs w:val="21"/>
              </w:rPr>
            </w:pPr>
            <w:r>
              <w:rPr>
                <w:rFonts w:hint="eastAsia"/>
                <w:b/>
                <w:color w:val="auto"/>
                <w:sz w:val="21"/>
                <w:szCs w:val="21"/>
              </w:rPr>
              <w:t>主要污染物及影响因子</w:t>
            </w:r>
          </w:p>
        </w:tc>
        <w:tc>
          <w:tcPr>
            <w:tcW w:w="1275" w:type="dxa"/>
            <w:vAlign w:val="center"/>
          </w:tcPr>
          <w:p>
            <w:pPr>
              <w:adjustRightInd w:val="0"/>
              <w:snapToGrid w:val="0"/>
              <w:jc w:val="center"/>
              <w:rPr>
                <w:b/>
                <w:color w:val="auto"/>
                <w:sz w:val="21"/>
                <w:szCs w:val="21"/>
              </w:rPr>
            </w:pPr>
            <w:r>
              <w:rPr>
                <w:rFonts w:hint="eastAsia"/>
                <w:b/>
                <w:color w:val="auto"/>
                <w:sz w:val="21"/>
                <w:szCs w:val="21"/>
              </w:rPr>
              <w:t>影响位置</w:t>
            </w:r>
          </w:p>
        </w:tc>
        <w:tc>
          <w:tcPr>
            <w:tcW w:w="1043" w:type="dxa"/>
            <w:vAlign w:val="center"/>
          </w:tcPr>
          <w:p>
            <w:pPr>
              <w:adjustRightInd w:val="0"/>
              <w:snapToGrid w:val="0"/>
              <w:jc w:val="center"/>
              <w:rPr>
                <w:b/>
                <w:color w:val="auto"/>
                <w:sz w:val="21"/>
                <w:szCs w:val="21"/>
              </w:rPr>
            </w:pPr>
            <w:r>
              <w:rPr>
                <w:rFonts w:hint="eastAsia"/>
                <w:b/>
                <w:color w:val="auto"/>
                <w:sz w:val="21"/>
                <w:szCs w:val="21"/>
              </w:rPr>
              <w:t>影响性质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adjustRightInd w:val="0"/>
              <w:snapToGrid w:val="0"/>
              <w:jc w:val="center"/>
              <w:rPr>
                <w:color w:val="auto"/>
                <w:sz w:val="21"/>
                <w:szCs w:val="21"/>
              </w:rPr>
            </w:pPr>
            <w:r>
              <w:rPr>
                <w:rFonts w:hint="eastAsia"/>
                <w:color w:val="auto"/>
                <w:sz w:val="21"/>
                <w:szCs w:val="21"/>
              </w:rPr>
              <w:t>施工期</w:t>
            </w:r>
          </w:p>
        </w:tc>
        <w:tc>
          <w:tcPr>
            <w:tcW w:w="1134" w:type="dxa"/>
            <w:vAlign w:val="center"/>
          </w:tcPr>
          <w:p>
            <w:pPr>
              <w:adjustRightInd w:val="0"/>
              <w:snapToGrid w:val="0"/>
              <w:jc w:val="center"/>
              <w:rPr>
                <w:color w:val="auto"/>
                <w:sz w:val="21"/>
                <w:szCs w:val="21"/>
              </w:rPr>
            </w:pPr>
            <w:r>
              <w:rPr>
                <w:rFonts w:hint="eastAsia"/>
                <w:color w:val="auto"/>
                <w:sz w:val="21"/>
                <w:szCs w:val="21"/>
              </w:rPr>
              <w:t>生态环境</w:t>
            </w:r>
          </w:p>
        </w:tc>
        <w:tc>
          <w:tcPr>
            <w:tcW w:w="1843" w:type="dxa"/>
            <w:vAlign w:val="center"/>
          </w:tcPr>
          <w:p>
            <w:pPr>
              <w:adjustRightInd w:val="0"/>
              <w:snapToGrid w:val="0"/>
              <w:jc w:val="center"/>
              <w:rPr>
                <w:color w:val="auto"/>
                <w:sz w:val="21"/>
                <w:szCs w:val="21"/>
              </w:rPr>
            </w:pPr>
            <w:r>
              <w:rPr>
                <w:rFonts w:hint="eastAsia"/>
                <w:color w:val="auto"/>
                <w:sz w:val="21"/>
                <w:szCs w:val="21"/>
              </w:rPr>
              <w:t>施工、征地</w:t>
            </w:r>
          </w:p>
        </w:tc>
        <w:tc>
          <w:tcPr>
            <w:tcW w:w="2552" w:type="dxa"/>
            <w:vAlign w:val="center"/>
          </w:tcPr>
          <w:p>
            <w:pPr>
              <w:adjustRightInd w:val="0"/>
              <w:snapToGrid w:val="0"/>
              <w:jc w:val="center"/>
              <w:rPr>
                <w:color w:val="auto"/>
                <w:sz w:val="21"/>
                <w:szCs w:val="21"/>
              </w:rPr>
            </w:pPr>
            <w:r>
              <w:rPr>
                <w:rFonts w:hint="eastAsia"/>
                <w:color w:val="auto"/>
                <w:sz w:val="21"/>
                <w:szCs w:val="21"/>
              </w:rPr>
              <w:t>土石方工程等引起植被破坏、土地占用、土壤侵蚀、水土流失、景观</w:t>
            </w:r>
          </w:p>
        </w:tc>
        <w:tc>
          <w:tcPr>
            <w:tcW w:w="1275" w:type="dxa"/>
            <w:vAlign w:val="center"/>
          </w:tcPr>
          <w:p>
            <w:pPr>
              <w:adjustRightInd w:val="0"/>
              <w:snapToGrid w:val="0"/>
              <w:jc w:val="center"/>
              <w:rPr>
                <w:color w:val="auto"/>
                <w:sz w:val="21"/>
                <w:szCs w:val="21"/>
              </w:rPr>
            </w:pPr>
            <w:r>
              <w:rPr>
                <w:rFonts w:hint="eastAsia"/>
                <w:color w:val="auto"/>
                <w:sz w:val="21"/>
                <w:szCs w:val="21"/>
              </w:rPr>
              <w:t>施工区域</w:t>
            </w:r>
          </w:p>
        </w:tc>
        <w:tc>
          <w:tcPr>
            <w:tcW w:w="1043" w:type="dxa"/>
            <w:vAlign w:val="center"/>
          </w:tcPr>
          <w:p>
            <w:pPr>
              <w:adjustRightInd w:val="0"/>
              <w:snapToGrid w:val="0"/>
              <w:jc w:val="center"/>
              <w:rPr>
                <w:color w:val="auto"/>
                <w:sz w:val="21"/>
                <w:szCs w:val="21"/>
              </w:rPr>
            </w:pPr>
            <w:r>
              <w:rPr>
                <w:rFonts w:hint="eastAsia"/>
                <w:color w:val="auto"/>
                <w:sz w:val="21"/>
                <w:szCs w:val="21"/>
              </w:rPr>
              <w:t>短期影响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声环境</w:t>
            </w:r>
          </w:p>
        </w:tc>
        <w:tc>
          <w:tcPr>
            <w:tcW w:w="1843" w:type="dxa"/>
            <w:vAlign w:val="center"/>
          </w:tcPr>
          <w:p>
            <w:pPr>
              <w:adjustRightInd w:val="0"/>
              <w:snapToGrid w:val="0"/>
              <w:jc w:val="center"/>
              <w:rPr>
                <w:color w:val="auto"/>
                <w:sz w:val="21"/>
                <w:szCs w:val="21"/>
              </w:rPr>
            </w:pPr>
            <w:r>
              <w:rPr>
                <w:rFonts w:hint="eastAsia"/>
                <w:color w:val="auto"/>
                <w:sz w:val="21"/>
                <w:szCs w:val="21"/>
              </w:rPr>
              <w:t>运输、施工机械</w:t>
            </w:r>
          </w:p>
        </w:tc>
        <w:tc>
          <w:tcPr>
            <w:tcW w:w="2552" w:type="dxa"/>
            <w:vAlign w:val="center"/>
          </w:tcPr>
          <w:p>
            <w:pPr>
              <w:adjustRightInd w:val="0"/>
              <w:snapToGrid w:val="0"/>
              <w:jc w:val="center"/>
              <w:rPr>
                <w:color w:val="auto"/>
                <w:sz w:val="21"/>
                <w:szCs w:val="21"/>
              </w:rPr>
            </w:pPr>
            <w:r>
              <w:rPr>
                <w:rFonts w:hint="eastAsia"/>
                <w:color w:val="auto"/>
                <w:sz w:val="21"/>
                <w:szCs w:val="21"/>
              </w:rPr>
              <w:t>施工噪声</w:t>
            </w:r>
          </w:p>
        </w:tc>
        <w:tc>
          <w:tcPr>
            <w:tcW w:w="1275" w:type="dxa"/>
            <w:vAlign w:val="center"/>
          </w:tcPr>
          <w:p>
            <w:pPr>
              <w:adjustRightInd w:val="0"/>
              <w:snapToGrid w:val="0"/>
              <w:jc w:val="center"/>
              <w:rPr>
                <w:color w:val="auto"/>
                <w:sz w:val="21"/>
                <w:szCs w:val="21"/>
              </w:rPr>
            </w:pPr>
            <w:r>
              <w:rPr>
                <w:rFonts w:hint="eastAsia"/>
                <w:color w:val="auto"/>
                <w:sz w:val="21"/>
                <w:szCs w:val="21"/>
              </w:rPr>
              <w:t>施工区域</w:t>
            </w:r>
          </w:p>
        </w:tc>
        <w:tc>
          <w:tcPr>
            <w:tcW w:w="1043" w:type="dxa"/>
            <w:vMerge w:val="restart"/>
            <w:vAlign w:val="center"/>
          </w:tcPr>
          <w:p>
            <w:pPr>
              <w:adjustRightInd w:val="0"/>
              <w:snapToGrid w:val="0"/>
              <w:jc w:val="center"/>
              <w:rPr>
                <w:color w:val="auto"/>
                <w:sz w:val="21"/>
                <w:szCs w:val="21"/>
              </w:rPr>
            </w:pPr>
            <w:r>
              <w:rPr>
                <w:rFonts w:hint="eastAsia"/>
                <w:color w:val="auto"/>
                <w:sz w:val="21"/>
                <w:szCs w:val="21"/>
              </w:rPr>
              <w:t>暂时性的，与施工同步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大气环境</w:t>
            </w:r>
          </w:p>
        </w:tc>
        <w:tc>
          <w:tcPr>
            <w:tcW w:w="1843" w:type="dxa"/>
            <w:vAlign w:val="center"/>
          </w:tcPr>
          <w:p>
            <w:pPr>
              <w:adjustRightInd w:val="0"/>
              <w:snapToGrid w:val="0"/>
              <w:jc w:val="center"/>
              <w:rPr>
                <w:color w:val="auto"/>
                <w:sz w:val="21"/>
                <w:szCs w:val="21"/>
              </w:rPr>
            </w:pPr>
            <w:r>
              <w:rPr>
                <w:rFonts w:hint="eastAsia"/>
                <w:color w:val="auto"/>
                <w:sz w:val="21"/>
                <w:szCs w:val="21"/>
              </w:rPr>
              <w:t>施工扬尘、施工机械燃油废气</w:t>
            </w:r>
          </w:p>
        </w:tc>
        <w:tc>
          <w:tcPr>
            <w:tcW w:w="2552" w:type="dxa"/>
            <w:vAlign w:val="center"/>
          </w:tcPr>
          <w:p>
            <w:pPr>
              <w:adjustRightInd w:val="0"/>
              <w:snapToGrid w:val="0"/>
              <w:jc w:val="center"/>
              <w:rPr>
                <w:color w:val="auto"/>
                <w:sz w:val="21"/>
                <w:szCs w:val="21"/>
              </w:rPr>
            </w:pPr>
            <w:r>
              <w:rPr>
                <w:rFonts w:hint="eastAsia"/>
                <w:color w:val="auto"/>
                <w:sz w:val="21"/>
                <w:szCs w:val="21"/>
              </w:rPr>
              <w:t>颗粒物</w:t>
            </w:r>
          </w:p>
        </w:tc>
        <w:tc>
          <w:tcPr>
            <w:tcW w:w="1275" w:type="dxa"/>
            <w:vAlign w:val="center"/>
          </w:tcPr>
          <w:p>
            <w:pPr>
              <w:adjustRightInd w:val="0"/>
              <w:snapToGrid w:val="0"/>
              <w:jc w:val="center"/>
              <w:rPr>
                <w:color w:val="auto"/>
                <w:sz w:val="21"/>
                <w:szCs w:val="21"/>
              </w:rPr>
            </w:pPr>
            <w:r>
              <w:rPr>
                <w:rFonts w:hint="eastAsia"/>
                <w:color w:val="auto"/>
                <w:sz w:val="21"/>
                <w:szCs w:val="21"/>
              </w:rPr>
              <w:t>施工区域</w:t>
            </w:r>
          </w:p>
        </w:tc>
        <w:tc>
          <w:tcPr>
            <w:tcW w:w="1043"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水环境</w:t>
            </w:r>
          </w:p>
        </w:tc>
        <w:tc>
          <w:tcPr>
            <w:tcW w:w="1843" w:type="dxa"/>
            <w:vAlign w:val="center"/>
          </w:tcPr>
          <w:p>
            <w:pPr>
              <w:adjustRightInd w:val="0"/>
              <w:snapToGrid w:val="0"/>
              <w:jc w:val="center"/>
              <w:rPr>
                <w:color w:val="auto"/>
                <w:sz w:val="21"/>
                <w:szCs w:val="21"/>
              </w:rPr>
            </w:pPr>
            <w:r>
              <w:rPr>
                <w:rFonts w:hint="eastAsia"/>
                <w:color w:val="auto"/>
                <w:sz w:val="21"/>
                <w:szCs w:val="21"/>
              </w:rPr>
              <w:t>施工泥浆废水、机械维修含油废水、施工生活污水</w:t>
            </w:r>
          </w:p>
        </w:tc>
        <w:tc>
          <w:tcPr>
            <w:tcW w:w="2552" w:type="dxa"/>
            <w:vAlign w:val="center"/>
          </w:tcPr>
          <w:p>
            <w:pPr>
              <w:adjustRightInd w:val="0"/>
              <w:snapToGrid w:val="0"/>
              <w:jc w:val="center"/>
              <w:rPr>
                <w:color w:val="auto"/>
                <w:sz w:val="21"/>
                <w:szCs w:val="21"/>
              </w:rPr>
            </w:pPr>
            <w:r>
              <w:rPr>
                <w:rFonts w:hint="eastAsia"/>
                <w:color w:val="auto"/>
                <w:sz w:val="21"/>
                <w:szCs w:val="21"/>
              </w:rPr>
              <w:t>SS、COD、NH</w:t>
            </w:r>
            <w:r>
              <w:rPr>
                <w:rFonts w:hint="eastAsia"/>
                <w:color w:val="auto"/>
                <w:sz w:val="21"/>
                <w:szCs w:val="21"/>
                <w:vertAlign w:val="subscript"/>
              </w:rPr>
              <w:t>3</w:t>
            </w:r>
            <w:r>
              <w:rPr>
                <w:rFonts w:hint="eastAsia"/>
                <w:color w:val="auto"/>
                <w:sz w:val="21"/>
                <w:szCs w:val="21"/>
              </w:rPr>
              <w:t>-N、石油类</w:t>
            </w:r>
          </w:p>
        </w:tc>
        <w:tc>
          <w:tcPr>
            <w:tcW w:w="1275" w:type="dxa"/>
            <w:vAlign w:val="center"/>
          </w:tcPr>
          <w:p>
            <w:pPr>
              <w:adjustRightInd w:val="0"/>
              <w:snapToGrid w:val="0"/>
              <w:jc w:val="center"/>
              <w:rPr>
                <w:color w:val="auto"/>
                <w:sz w:val="21"/>
                <w:szCs w:val="21"/>
              </w:rPr>
            </w:pPr>
            <w:r>
              <w:rPr>
                <w:rFonts w:hint="eastAsia"/>
                <w:color w:val="auto"/>
                <w:sz w:val="21"/>
                <w:szCs w:val="21"/>
              </w:rPr>
              <w:t>施工区域周围的水域</w:t>
            </w:r>
          </w:p>
        </w:tc>
        <w:tc>
          <w:tcPr>
            <w:tcW w:w="1043"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社会环境</w:t>
            </w:r>
          </w:p>
        </w:tc>
        <w:tc>
          <w:tcPr>
            <w:tcW w:w="4395" w:type="dxa"/>
            <w:gridSpan w:val="2"/>
            <w:vAlign w:val="center"/>
          </w:tcPr>
          <w:p>
            <w:pPr>
              <w:adjustRightInd w:val="0"/>
              <w:snapToGrid w:val="0"/>
              <w:jc w:val="center"/>
              <w:rPr>
                <w:color w:val="auto"/>
                <w:sz w:val="21"/>
                <w:szCs w:val="21"/>
              </w:rPr>
            </w:pPr>
            <w:r>
              <w:rPr>
                <w:rFonts w:hint="eastAsia"/>
                <w:color w:val="auto"/>
                <w:sz w:val="21"/>
                <w:szCs w:val="21"/>
              </w:rPr>
              <w:t>道路通行</w:t>
            </w:r>
          </w:p>
        </w:tc>
        <w:tc>
          <w:tcPr>
            <w:tcW w:w="1275" w:type="dxa"/>
            <w:vAlign w:val="center"/>
          </w:tcPr>
          <w:p>
            <w:pPr>
              <w:adjustRightInd w:val="0"/>
              <w:snapToGrid w:val="0"/>
              <w:jc w:val="center"/>
              <w:rPr>
                <w:color w:val="auto"/>
                <w:sz w:val="21"/>
                <w:szCs w:val="21"/>
              </w:rPr>
            </w:pPr>
            <w:r>
              <w:rPr>
                <w:rFonts w:hint="eastAsia"/>
                <w:color w:val="auto"/>
                <w:sz w:val="21"/>
                <w:szCs w:val="21"/>
              </w:rPr>
              <w:t>施工区域及辐射区域</w:t>
            </w:r>
          </w:p>
        </w:tc>
        <w:tc>
          <w:tcPr>
            <w:tcW w:w="1043" w:type="dxa"/>
            <w:vAlign w:val="center"/>
          </w:tcPr>
          <w:p>
            <w:pPr>
              <w:adjustRightInd w:val="0"/>
              <w:snapToGrid w:val="0"/>
              <w:jc w:val="center"/>
              <w:rPr>
                <w:color w:val="auto"/>
                <w:sz w:val="21"/>
                <w:szCs w:val="21"/>
              </w:rPr>
            </w:pPr>
            <w:r>
              <w:rPr>
                <w:rFonts w:hint="eastAsia"/>
                <w:color w:val="auto"/>
                <w:sz w:val="21"/>
                <w:szCs w:val="21"/>
              </w:rPr>
              <w:t>短期影响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adjustRightInd w:val="0"/>
              <w:snapToGrid w:val="0"/>
              <w:jc w:val="center"/>
              <w:rPr>
                <w:color w:val="auto"/>
                <w:sz w:val="21"/>
                <w:szCs w:val="21"/>
              </w:rPr>
            </w:pPr>
            <w:r>
              <w:rPr>
                <w:rFonts w:hint="eastAsia"/>
                <w:color w:val="auto"/>
                <w:sz w:val="21"/>
                <w:szCs w:val="21"/>
              </w:rPr>
              <w:t>运营期</w:t>
            </w:r>
          </w:p>
        </w:tc>
        <w:tc>
          <w:tcPr>
            <w:tcW w:w="1134" w:type="dxa"/>
            <w:vAlign w:val="center"/>
          </w:tcPr>
          <w:p>
            <w:pPr>
              <w:adjustRightInd w:val="0"/>
              <w:snapToGrid w:val="0"/>
              <w:jc w:val="center"/>
              <w:rPr>
                <w:color w:val="auto"/>
                <w:sz w:val="21"/>
                <w:szCs w:val="21"/>
              </w:rPr>
            </w:pPr>
            <w:r>
              <w:rPr>
                <w:rFonts w:hint="eastAsia"/>
                <w:color w:val="auto"/>
                <w:sz w:val="21"/>
                <w:szCs w:val="21"/>
              </w:rPr>
              <w:t>声环境</w:t>
            </w:r>
          </w:p>
        </w:tc>
        <w:tc>
          <w:tcPr>
            <w:tcW w:w="1843" w:type="dxa"/>
            <w:vAlign w:val="center"/>
          </w:tcPr>
          <w:p>
            <w:pPr>
              <w:adjustRightInd w:val="0"/>
              <w:snapToGrid w:val="0"/>
              <w:jc w:val="center"/>
              <w:rPr>
                <w:color w:val="auto"/>
                <w:sz w:val="21"/>
                <w:szCs w:val="21"/>
              </w:rPr>
            </w:pPr>
            <w:r>
              <w:rPr>
                <w:rFonts w:hint="eastAsia"/>
                <w:color w:val="auto"/>
                <w:sz w:val="21"/>
                <w:szCs w:val="21"/>
              </w:rPr>
              <w:t>项目区</w:t>
            </w:r>
          </w:p>
        </w:tc>
        <w:tc>
          <w:tcPr>
            <w:tcW w:w="2552" w:type="dxa"/>
            <w:vAlign w:val="center"/>
          </w:tcPr>
          <w:p>
            <w:pPr>
              <w:adjustRightInd w:val="0"/>
              <w:snapToGrid w:val="0"/>
              <w:jc w:val="center"/>
              <w:rPr>
                <w:color w:val="auto"/>
                <w:sz w:val="21"/>
                <w:szCs w:val="21"/>
              </w:rPr>
            </w:pPr>
            <w:r>
              <w:rPr>
                <w:rFonts w:hint="eastAsia"/>
                <w:color w:val="auto"/>
                <w:sz w:val="21"/>
                <w:szCs w:val="21"/>
              </w:rPr>
              <w:t>设备噪声</w:t>
            </w:r>
          </w:p>
        </w:tc>
        <w:tc>
          <w:tcPr>
            <w:tcW w:w="1275" w:type="dxa"/>
            <w:vAlign w:val="center"/>
          </w:tcPr>
          <w:p>
            <w:pPr>
              <w:adjustRightInd w:val="0"/>
              <w:snapToGrid w:val="0"/>
              <w:jc w:val="center"/>
              <w:rPr>
                <w:color w:val="auto"/>
                <w:sz w:val="21"/>
                <w:szCs w:val="21"/>
              </w:rPr>
            </w:pPr>
            <w:r>
              <w:rPr>
                <w:rFonts w:hint="eastAsia"/>
                <w:color w:val="auto"/>
                <w:sz w:val="21"/>
                <w:szCs w:val="21"/>
              </w:rPr>
              <w:t>项目区周边</w:t>
            </w:r>
          </w:p>
        </w:tc>
        <w:tc>
          <w:tcPr>
            <w:tcW w:w="1043" w:type="dxa"/>
            <w:vMerge w:val="restart"/>
            <w:vAlign w:val="center"/>
          </w:tcPr>
          <w:p>
            <w:pPr>
              <w:adjustRightInd w:val="0"/>
              <w:snapToGrid w:val="0"/>
              <w:jc w:val="center"/>
              <w:rPr>
                <w:color w:val="auto"/>
                <w:sz w:val="21"/>
                <w:szCs w:val="21"/>
              </w:rPr>
            </w:pPr>
            <w:r>
              <w:rPr>
                <w:rFonts w:hint="eastAsia"/>
                <w:color w:val="auto"/>
                <w:sz w:val="21"/>
                <w:szCs w:val="21"/>
              </w:rPr>
              <w:t>长期影响</w:t>
            </w:r>
          </w:p>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大气环境</w:t>
            </w:r>
          </w:p>
        </w:tc>
        <w:tc>
          <w:tcPr>
            <w:tcW w:w="1843" w:type="dxa"/>
            <w:vAlign w:val="center"/>
          </w:tcPr>
          <w:p>
            <w:pPr>
              <w:adjustRightInd w:val="0"/>
              <w:snapToGrid w:val="0"/>
              <w:jc w:val="center"/>
              <w:rPr>
                <w:color w:val="auto"/>
                <w:sz w:val="21"/>
                <w:szCs w:val="21"/>
              </w:rPr>
            </w:pPr>
            <w:r>
              <w:rPr>
                <w:rFonts w:hint="eastAsia"/>
                <w:color w:val="auto"/>
                <w:sz w:val="21"/>
                <w:szCs w:val="21"/>
              </w:rPr>
              <w:t>项目区</w:t>
            </w:r>
          </w:p>
        </w:tc>
        <w:tc>
          <w:tcPr>
            <w:tcW w:w="2552" w:type="dxa"/>
            <w:vAlign w:val="center"/>
          </w:tcPr>
          <w:p>
            <w:pPr>
              <w:adjustRightInd w:val="0"/>
              <w:snapToGrid w:val="0"/>
              <w:jc w:val="center"/>
              <w:rPr>
                <w:color w:val="auto"/>
                <w:sz w:val="21"/>
                <w:szCs w:val="21"/>
              </w:rPr>
            </w:pPr>
            <w:r>
              <w:rPr>
                <w:rFonts w:hint="eastAsia"/>
                <w:color w:val="auto"/>
                <w:sz w:val="21"/>
                <w:szCs w:val="21"/>
              </w:rPr>
              <w:t>恶臭（NH</w:t>
            </w:r>
            <w:r>
              <w:rPr>
                <w:rFonts w:hint="eastAsia"/>
                <w:color w:val="auto"/>
                <w:sz w:val="21"/>
                <w:szCs w:val="21"/>
                <w:vertAlign w:val="subscript"/>
              </w:rPr>
              <w:t>3</w:t>
            </w:r>
            <w:r>
              <w:rPr>
                <w:rFonts w:hint="eastAsia"/>
                <w:color w:val="auto"/>
                <w:sz w:val="21"/>
                <w:szCs w:val="21"/>
              </w:rPr>
              <w:t>、H</w:t>
            </w:r>
            <w:r>
              <w:rPr>
                <w:rFonts w:hint="eastAsia"/>
                <w:color w:val="auto"/>
                <w:sz w:val="21"/>
                <w:szCs w:val="21"/>
                <w:vertAlign w:val="subscript"/>
              </w:rPr>
              <w:t>2</w:t>
            </w:r>
            <w:r>
              <w:rPr>
                <w:rFonts w:hint="eastAsia"/>
                <w:color w:val="auto"/>
                <w:sz w:val="21"/>
                <w:szCs w:val="21"/>
              </w:rPr>
              <w:t>S）</w:t>
            </w:r>
          </w:p>
        </w:tc>
        <w:tc>
          <w:tcPr>
            <w:tcW w:w="1275" w:type="dxa"/>
            <w:vAlign w:val="center"/>
          </w:tcPr>
          <w:p>
            <w:pPr>
              <w:adjustRightInd w:val="0"/>
              <w:snapToGrid w:val="0"/>
              <w:jc w:val="center"/>
              <w:rPr>
                <w:color w:val="auto"/>
                <w:sz w:val="21"/>
                <w:szCs w:val="21"/>
              </w:rPr>
            </w:pPr>
            <w:r>
              <w:rPr>
                <w:rFonts w:hint="eastAsia"/>
                <w:color w:val="auto"/>
                <w:sz w:val="21"/>
                <w:szCs w:val="21"/>
              </w:rPr>
              <w:t>项目区周边</w:t>
            </w:r>
          </w:p>
        </w:tc>
        <w:tc>
          <w:tcPr>
            <w:tcW w:w="1043"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地表水环境</w:t>
            </w:r>
          </w:p>
        </w:tc>
        <w:tc>
          <w:tcPr>
            <w:tcW w:w="1843" w:type="dxa"/>
            <w:vAlign w:val="center"/>
          </w:tcPr>
          <w:p>
            <w:pPr>
              <w:adjustRightInd w:val="0"/>
              <w:snapToGrid w:val="0"/>
              <w:jc w:val="center"/>
              <w:rPr>
                <w:color w:val="auto"/>
                <w:sz w:val="21"/>
                <w:szCs w:val="21"/>
              </w:rPr>
            </w:pPr>
            <w:r>
              <w:rPr>
                <w:rFonts w:hint="eastAsia"/>
                <w:color w:val="auto"/>
                <w:sz w:val="21"/>
                <w:szCs w:val="21"/>
              </w:rPr>
              <w:t>处理后的尾水</w:t>
            </w:r>
          </w:p>
        </w:tc>
        <w:tc>
          <w:tcPr>
            <w:tcW w:w="2552" w:type="dxa"/>
            <w:vAlign w:val="center"/>
          </w:tcPr>
          <w:p>
            <w:pPr>
              <w:adjustRightInd w:val="0"/>
              <w:snapToGrid w:val="0"/>
              <w:jc w:val="center"/>
              <w:rPr>
                <w:color w:val="auto"/>
                <w:sz w:val="21"/>
                <w:szCs w:val="21"/>
              </w:rPr>
            </w:pPr>
            <w:r>
              <w:rPr>
                <w:rFonts w:hint="eastAsia"/>
                <w:color w:val="auto"/>
                <w:sz w:val="21"/>
                <w:szCs w:val="21"/>
              </w:rPr>
              <w:t>SS、COD、NH</w:t>
            </w:r>
            <w:r>
              <w:rPr>
                <w:rFonts w:hint="eastAsia"/>
                <w:color w:val="auto"/>
                <w:sz w:val="21"/>
                <w:szCs w:val="21"/>
                <w:vertAlign w:val="subscript"/>
              </w:rPr>
              <w:t>3</w:t>
            </w:r>
            <w:r>
              <w:rPr>
                <w:rFonts w:hint="eastAsia"/>
                <w:color w:val="auto"/>
                <w:sz w:val="21"/>
                <w:szCs w:val="21"/>
              </w:rPr>
              <w:t>-N等</w:t>
            </w:r>
          </w:p>
        </w:tc>
        <w:tc>
          <w:tcPr>
            <w:tcW w:w="1275" w:type="dxa"/>
            <w:vAlign w:val="center"/>
          </w:tcPr>
          <w:p>
            <w:pPr>
              <w:adjustRightInd w:val="0"/>
              <w:snapToGrid w:val="0"/>
              <w:jc w:val="center"/>
              <w:rPr>
                <w:color w:val="auto"/>
                <w:sz w:val="21"/>
                <w:szCs w:val="21"/>
              </w:rPr>
            </w:pPr>
            <w:r>
              <w:rPr>
                <w:rFonts w:hint="eastAsia"/>
                <w:color w:val="auto"/>
                <w:sz w:val="21"/>
                <w:szCs w:val="21"/>
              </w:rPr>
              <w:t>大嵩河</w:t>
            </w:r>
          </w:p>
        </w:tc>
        <w:tc>
          <w:tcPr>
            <w:tcW w:w="1043"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地下水环境</w:t>
            </w:r>
          </w:p>
        </w:tc>
        <w:tc>
          <w:tcPr>
            <w:tcW w:w="1843" w:type="dxa"/>
            <w:vAlign w:val="center"/>
          </w:tcPr>
          <w:p>
            <w:pPr>
              <w:adjustRightInd w:val="0"/>
              <w:snapToGrid w:val="0"/>
              <w:jc w:val="center"/>
              <w:rPr>
                <w:color w:val="auto"/>
                <w:sz w:val="21"/>
                <w:szCs w:val="21"/>
              </w:rPr>
            </w:pPr>
            <w:r>
              <w:rPr>
                <w:rFonts w:hint="eastAsia"/>
                <w:color w:val="auto"/>
                <w:sz w:val="21"/>
                <w:szCs w:val="21"/>
              </w:rPr>
              <w:t>进厂污水</w:t>
            </w:r>
          </w:p>
        </w:tc>
        <w:tc>
          <w:tcPr>
            <w:tcW w:w="2552" w:type="dxa"/>
            <w:vAlign w:val="center"/>
          </w:tcPr>
          <w:p>
            <w:pPr>
              <w:adjustRightInd w:val="0"/>
              <w:snapToGrid w:val="0"/>
              <w:jc w:val="center"/>
              <w:rPr>
                <w:color w:val="auto"/>
                <w:sz w:val="21"/>
                <w:szCs w:val="21"/>
              </w:rPr>
            </w:pPr>
            <w:r>
              <w:rPr>
                <w:rFonts w:hint="eastAsia"/>
                <w:color w:val="auto"/>
                <w:sz w:val="21"/>
                <w:szCs w:val="21"/>
              </w:rPr>
              <w:t>SS、COD、NH</w:t>
            </w:r>
            <w:r>
              <w:rPr>
                <w:rFonts w:hint="eastAsia"/>
                <w:color w:val="auto"/>
                <w:sz w:val="21"/>
                <w:szCs w:val="21"/>
                <w:vertAlign w:val="subscript"/>
              </w:rPr>
              <w:t>3</w:t>
            </w:r>
            <w:r>
              <w:rPr>
                <w:rFonts w:hint="eastAsia"/>
                <w:color w:val="auto"/>
                <w:sz w:val="21"/>
                <w:szCs w:val="21"/>
              </w:rPr>
              <w:t>-N等</w:t>
            </w:r>
          </w:p>
        </w:tc>
        <w:tc>
          <w:tcPr>
            <w:tcW w:w="1275" w:type="dxa"/>
            <w:vAlign w:val="center"/>
          </w:tcPr>
          <w:p>
            <w:pPr>
              <w:adjustRightInd w:val="0"/>
              <w:snapToGrid w:val="0"/>
              <w:jc w:val="center"/>
              <w:rPr>
                <w:color w:val="auto"/>
                <w:sz w:val="21"/>
                <w:szCs w:val="21"/>
              </w:rPr>
            </w:pPr>
            <w:r>
              <w:rPr>
                <w:rFonts w:hint="eastAsia"/>
                <w:color w:val="auto"/>
                <w:sz w:val="21"/>
                <w:szCs w:val="21"/>
              </w:rPr>
              <w:t>项目区及其周边地下水</w:t>
            </w:r>
          </w:p>
        </w:tc>
        <w:tc>
          <w:tcPr>
            <w:tcW w:w="1043"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土壤环境</w:t>
            </w:r>
          </w:p>
        </w:tc>
        <w:tc>
          <w:tcPr>
            <w:tcW w:w="1843" w:type="dxa"/>
            <w:vAlign w:val="center"/>
          </w:tcPr>
          <w:p>
            <w:pPr>
              <w:adjustRightInd w:val="0"/>
              <w:snapToGrid w:val="0"/>
              <w:jc w:val="center"/>
              <w:rPr>
                <w:color w:val="auto"/>
                <w:sz w:val="21"/>
                <w:szCs w:val="21"/>
              </w:rPr>
            </w:pPr>
            <w:r>
              <w:rPr>
                <w:rFonts w:hint="eastAsia"/>
                <w:color w:val="auto"/>
                <w:sz w:val="21"/>
                <w:szCs w:val="21"/>
              </w:rPr>
              <w:t>进厂污水</w:t>
            </w:r>
          </w:p>
        </w:tc>
        <w:tc>
          <w:tcPr>
            <w:tcW w:w="2552" w:type="dxa"/>
            <w:vAlign w:val="center"/>
          </w:tcPr>
          <w:p>
            <w:pPr>
              <w:adjustRightInd w:val="0"/>
              <w:snapToGrid w:val="0"/>
              <w:jc w:val="center"/>
              <w:rPr>
                <w:color w:val="auto"/>
                <w:sz w:val="21"/>
                <w:szCs w:val="21"/>
              </w:rPr>
            </w:pPr>
            <w:r>
              <w:rPr>
                <w:rFonts w:hint="eastAsia"/>
                <w:color w:val="auto"/>
                <w:sz w:val="21"/>
                <w:szCs w:val="21"/>
              </w:rPr>
              <w:t>SS、COD、NH</w:t>
            </w:r>
            <w:r>
              <w:rPr>
                <w:rFonts w:hint="eastAsia"/>
                <w:color w:val="auto"/>
                <w:sz w:val="21"/>
                <w:szCs w:val="21"/>
                <w:vertAlign w:val="subscript"/>
              </w:rPr>
              <w:t>3</w:t>
            </w:r>
            <w:r>
              <w:rPr>
                <w:rFonts w:hint="eastAsia"/>
                <w:color w:val="auto"/>
                <w:sz w:val="21"/>
                <w:szCs w:val="21"/>
              </w:rPr>
              <w:t>-N等</w:t>
            </w:r>
          </w:p>
        </w:tc>
        <w:tc>
          <w:tcPr>
            <w:tcW w:w="1275" w:type="dxa"/>
            <w:vAlign w:val="center"/>
          </w:tcPr>
          <w:p>
            <w:pPr>
              <w:adjustRightInd w:val="0"/>
              <w:snapToGrid w:val="0"/>
              <w:jc w:val="center"/>
              <w:rPr>
                <w:color w:val="auto"/>
                <w:sz w:val="21"/>
                <w:szCs w:val="21"/>
              </w:rPr>
            </w:pPr>
            <w:r>
              <w:rPr>
                <w:rFonts w:hint="eastAsia"/>
                <w:color w:val="auto"/>
                <w:sz w:val="21"/>
                <w:szCs w:val="21"/>
              </w:rPr>
              <w:t>项目区及其周边土壤</w:t>
            </w:r>
          </w:p>
        </w:tc>
        <w:tc>
          <w:tcPr>
            <w:tcW w:w="1043"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社会环境</w:t>
            </w:r>
          </w:p>
        </w:tc>
        <w:tc>
          <w:tcPr>
            <w:tcW w:w="4395" w:type="dxa"/>
            <w:gridSpan w:val="2"/>
            <w:vAlign w:val="center"/>
          </w:tcPr>
          <w:p>
            <w:pPr>
              <w:adjustRightInd w:val="0"/>
              <w:snapToGrid w:val="0"/>
              <w:jc w:val="center"/>
              <w:rPr>
                <w:color w:val="auto"/>
                <w:sz w:val="21"/>
                <w:szCs w:val="21"/>
              </w:rPr>
            </w:pPr>
            <w:r>
              <w:rPr>
                <w:rFonts w:hint="eastAsia"/>
                <w:color w:val="auto"/>
                <w:sz w:val="21"/>
                <w:szCs w:val="21"/>
              </w:rPr>
              <w:t>建成后增加就业人数，有利于发展区域经济；减少对水环境的污染</w:t>
            </w:r>
          </w:p>
        </w:tc>
        <w:tc>
          <w:tcPr>
            <w:tcW w:w="1275" w:type="dxa"/>
            <w:vAlign w:val="center"/>
          </w:tcPr>
          <w:p>
            <w:pPr>
              <w:adjustRightInd w:val="0"/>
              <w:snapToGrid w:val="0"/>
              <w:jc w:val="center"/>
              <w:rPr>
                <w:color w:val="auto"/>
                <w:sz w:val="21"/>
                <w:szCs w:val="21"/>
              </w:rPr>
            </w:pPr>
            <w:r>
              <w:rPr>
                <w:rFonts w:hint="eastAsia"/>
                <w:color w:val="auto"/>
                <w:sz w:val="21"/>
                <w:szCs w:val="21"/>
              </w:rPr>
              <w:t>项目区周边</w:t>
            </w:r>
          </w:p>
        </w:tc>
        <w:tc>
          <w:tcPr>
            <w:tcW w:w="1043"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1134" w:type="dxa"/>
            <w:vAlign w:val="center"/>
          </w:tcPr>
          <w:p>
            <w:pPr>
              <w:adjustRightInd w:val="0"/>
              <w:snapToGrid w:val="0"/>
              <w:jc w:val="center"/>
              <w:rPr>
                <w:color w:val="auto"/>
                <w:sz w:val="21"/>
                <w:szCs w:val="21"/>
              </w:rPr>
            </w:pPr>
            <w:r>
              <w:rPr>
                <w:rFonts w:hint="eastAsia"/>
                <w:color w:val="auto"/>
                <w:sz w:val="21"/>
                <w:szCs w:val="21"/>
              </w:rPr>
              <w:t>固体废物</w:t>
            </w:r>
          </w:p>
        </w:tc>
        <w:tc>
          <w:tcPr>
            <w:tcW w:w="1843" w:type="dxa"/>
            <w:vAlign w:val="center"/>
          </w:tcPr>
          <w:p>
            <w:pPr>
              <w:adjustRightInd w:val="0"/>
              <w:snapToGrid w:val="0"/>
              <w:jc w:val="center"/>
              <w:rPr>
                <w:color w:val="auto"/>
                <w:sz w:val="21"/>
                <w:szCs w:val="21"/>
              </w:rPr>
            </w:pPr>
            <w:r>
              <w:rPr>
                <w:rFonts w:hint="eastAsia"/>
                <w:color w:val="auto"/>
                <w:sz w:val="21"/>
                <w:szCs w:val="21"/>
              </w:rPr>
              <w:t>生活垃圾、污泥</w:t>
            </w:r>
          </w:p>
        </w:tc>
        <w:tc>
          <w:tcPr>
            <w:tcW w:w="2552" w:type="dxa"/>
            <w:vAlign w:val="center"/>
          </w:tcPr>
          <w:p>
            <w:pPr>
              <w:adjustRightInd w:val="0"/>
              <w:snapToGrid w:val="0"/>
              <w:jc w:val="center"/>
              <w:rPr>
                <w:color w:val="auto"/>
                <w:sz w:val="21"/>
                <w:szCs w:val="21"/>
              </w:rPr>
            </w:pPr>
            <w:r>
              <w:rPr>
                <w:rFonts w:hint="eastAsia"/>
                <w:color w:val="auto"/>
                <w:sz w:val="21"/>
                <w:szCs w:val="21"/>
              </w:rPr>
              <w:t>生活垃圾、污泥</w:t>
            </w:r>
          </w:p>
        </w:tc>
        <w:tc>
          <w:tcPr>
            <w:tcW w:w="1275" w:type="dxa"/>
            <w:vAlign w:val="center"/>
          </w:tcPr>
          <w:p>
            <w:pPr>
              <w:adjustRightInd w:val="0"/>
              <w:snapToGrid w:val="0"/>
              <w:jc w:val="center"/>
              <w:rPr>
                <w:color w:val="auto"/>
                <w:sz w:val="21"/>
                <w:szCs w:val="21"/>
              </w:rPr>
            </w:pPr>
            <w:r>
              <w:rPr>
                <w:rFonts w:hint="eastAsia"/>
                <w:color w:val="auto"/>
                <w:sz w:val="21"/>
                <w:szCs w:val="21"/>
              </w:rPr>
              <w:t>项目区及其周边</w:t>
            </w:r>
          </w:p>
        </w:tc>
        <w:tc>
          <w:tcPr>
            <w:tcW w:w="1043" w:type="dxa"/>
            <w:vMerge w:val="continue"/>
            <w:vAlign w:val="center"/>
          </w:tcPr>
          <w:p>
            <w:pPr>
              <w:adjustRightInd w:val="0"/>
              <w:snapToGrid w:val="0"/>
              <w:jc w:val="center"/>
              <w:rPr>
                <w:color w:val="auto"/>
                <w:sz w:val="21"/>
                <w:szCs w:val="21"/>
              </w:rPr>
            </w:pPr>
          </w:p>
        </w:tc>
      </w:tr>
    </w:tbl>
    <w:p>
      <w:pPr>
        <w:pStyle w:val="4"/>
        <w:rPr>
          <w:color w:val="auto"/>
        </w:rPr>
      </w:pPr>
      <w:bookmarkStart w:id="33" w:name="_Toc26276774"/>
      <w:r>
        <w:rPr>
          <w:rFonts w:hint="eastAsia"/>
          <w:color w:val="auto"/>
        </w:rPr>
        <w:t>2.4.2环境影响因子筛选</w:t>
      </w:r>
      <w:bookmarkEnd w:id="33"/>
    </w:p>
    <w:p>
      <w:pPr>
        <w:spacing w:line="360" w:lineRule="auto"/>
        <w:ind w:firstLine="480" w:firstLineChars="200"/>
        <w:rPr>
          <w:color w:val="auto"/>
          <w:sz w:val="24"/>
          <w:szCs w:val="24"/>
        </w:rPr>
      </w:pPr>
      <w:r>
        <w:rPr>
          <w:rFonts w:hint="eastAsia"/>
          <w:color w:val="auto"/>
          <w:sz w:val="24"/>
          <w:szCs w:val="24"/>
        </w:rPr>
        <w:t>根据工程环境影响特点和工程区环境状况，结合区内环境功能和各类环境因子可能受影响程度，采用矩阵法对相关环境影响因子进行筛选，详见下表。</w:t>
      </w:r>
    </w:p>
    <w:p>
      <w:pPr>
        <w:spacing w:line="360" w:lineRule="auto"/>
        <w:jc w:val="center"/>
        <w:rPr>
          <w:b/>
          <w:color w:val="auto"/>
          <w:sz w:val="24"/>
          <w:szCs w:val="24"/>
        </w:rPr>
      </w:pPr>
      <w:r>
        <w:rPr>
          <w:rFonts w:hint="eastAsia"/>
          <w:b/>
          <w:color w:val="auto"/>
          <w:sz w:val="24"/>
          <w:szCs w:val="24"/>
        </w:rPr>
        <w:t>表2-4-2   工程环境影响评价识别与筛选矩阵</w:t>
      </w:r>
    </w:p>
    <w:tbl>
      <w:tblPr>
        <w:tblStyle w:val="29"/>
        <w:tblW w:w="7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1661"/>
        <w:gridCol w:w="2124"/>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0" w:type="dxa"/>
            <w:gridSpan w:val="2"/>
            <w:vAlign w:val="center"/>
          </w:tcPr>
          <w:p>
            <w:pPr>
              <w:jc w:val="center"/>
              <w:rPr>
                <w:b/>
                <w:color w:val="auto"/>
                <w:sz w:val="21"/>
                <w:szCs w:val="22"/>
              </w:rPr>
            </w:pPr>
            <w:r>
              <w:rPr>
                <w:rFonts w:hint="eastAsia"/>
                <w:b/>
                <w:color w:val="auto"/>
                <w:sz w:val="21"/>
                <w:szCs w:val="22"/>
              </w:rPr>
              <w:t>环境要素</w:t>
            </w:r>
          </w:p>
        </w:tc>
        <w:tc>
          <w:tcPr>
            <w:tcW w:w="2124" w:type="dxa"/>
            <w:vAlign w:val="center"/>
          </w:tcPr>
          <w:p>
            <w:pPr>
              <w:jc w:val="center"/>
              <w:rPr>
                <w:b/>
                <w:color w:val="auto"/>
                <w:sz w:val="21"/>
                <w:szCs w:val="22"/>
              </w:rPr>
            </w:pPr>
            <w:r>
              <w:rPr>
                <w:rFonts w:hint="eastAsia"/>
                <w:b/>
                <w:color w:val="auto"/>
                <w:sz w:val="21"/>
                <w:szCs w:val="22"/>
              </w:rPr>
              <w:t>施工期</w:t>
            </w:r>
          </w:p>
        </w:tc>
        <w:tc>
          <w:tcPr>
            <w:tcW w:w="1956" w:type="dxa"/>
            <w:vAlign w:val="center"/>
          </w:tcPr>
          <w:p>
            <w:pPr>
              <w:jc w:val="center"/>
              <w:rPr>
                <w:b/>
                <w:color w:val="auto"/>
                <w:sz w:val="21"/>
                <w:szCs w:val="22"/>
              </w:rPr>
            </w:pPr>
            <w:r>
              <w:rPr>
                <w:rFonts w:hint="eastAsia"/>
                <w:b/>
                <w:color w:val="auto"/>
                <w:sz w:val="21"/>
                <w:szCs w:val="22"/>
              </w:rPr>
              <w:t>运营期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restart"/>
            <w:vAlign w:val="center"/>
          </w:tcPr>
          <w:p>
            <w:pPr>
              <w:jc w:val="center"/>
              <w:rPr>
                <w:color w:val="auto"/>
                <w:sz w:val="21"/>
                <w:szCs w:val="22"/>
              </w:rPr>
            </w:pPr>
            <w:r>
              <w:rPr>
                <w:rFonts w:hint="eastAsia"/>
                <w:color w:val="auto"/>
                <w:sz w:val="21"/>
                <w:szCs w:val="22"/>
              </w:rPr>
              <w:t>环境质量</w:t>
            </w:r>
          </w:p>
        </w:tc>
        <w:tc>
          <w:tcPr>
            <w:tcW w:w="1661" w:type="dxa"/>
            <w:vAlign w:val="center"/>
          </w:tcPr>
          <w:p>
            <w:pPr>
              <w:jc w:val="center"/>
              <w:rPr>
                <w:color w:val="auto"/>
                <w:sz w:val="21"/>
                <w:szCs w:val="22"/>
              </w:rPr>
            </w:pPr>
            <w:r>
              <w:rPr>
                <w:rFonts w:hint="eastAsia"/>
                <w:color w:val="auto"/>
                <w:sz w:val="21"/>
                <w:szCs w:val="22"/>
              </w:rPr>
              <w:t>地表水</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地下水</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环境空气</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声环境</w:t>
            </w:r>
          </w:p>
        </w:tc>
        <w:tc>
          <w:tcPr>
            <w:tcW w:w="2124" w:type="dxa"/>
            <w:vAlign w:val="center"/>
          </w:tcPr>
          <w:p>
            <w:pPr>
              <w:jc w:val="center"/>
              <w:rPr>
                <w:color w:val="auto"/>
                <w:sz w:val="21"/>
                <w:szCs w:val="22"/>
              </w:rPr>
            </w:pPr>
            <w:r>
              <w:rPr>
                <w:rFonts w:hint="eastAsia"/>
                <w:color w:val="auto"/>
                <w:sz w:val="21"/>
                <w:szCs w:val="22"/>
              </w:rPr>
              <w:t>A/Sh/Si</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土壤</w:t>
            </w:r>
          </w:p>
        </w:tc>
        <w:tc>
          <w:tcPr>
            <w:tcW w:w="2124" w:type="dxa"/>
            <w:vAlign w:val="center"/>
          </w:tcPr>
          <w:p>
            <w:pPr>
              <w:jc w:val="center"/>
              <w:rPr>
                <w:color w:val="auto"/>
                <w:sz w:val="21"/>
                <w:szCs w:val="22"/>
              </w:rPr>
            </w:pPr>
            <w:r>
              <w:rPr>
                <w:rFonts w:hint="eastAsia"/>
                <w:color w:val="auto"/>
                <w:sz w:val="21"/>
                <w:szCs w:val="22"/>
              </w:rPr>
              <w:t>A/Sh/Si</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水源地</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restart"/>
            <w:vAlign w:val="center"/>
          </w:tcPr>
          <w:p>
            <w:pPr>
              <w:jc w:val="center"/>
              <w:rPr>
                <w:color w:val="auto"/>
                <w:sz w:val="21"/>
                <w:szCs w:val="22"/>
              </w:rPr>
            </w:pPr>
            <w:r>
              <w:rPr>
                <w:rFonts w:hint="eastAsia"/>
                <w:color w:val="auto"/>
                <w:sz w:val="21"/>
                <w:szCs w:val="22"/>
              </w:rPr>
              <w:t>自然环境</w:t>
            </w:r>
          </w:p>
        </w:tc>
        <w:tc>
          <w:tcPr>
            <w:tcW w:w="1661" w:type="dxa"/>
            <w:vAlign w:val="center"/>
          </w:tcPr>
          <w:p>
            <w:pPr>
              <w:jc w:val="center"/>
              <w:rPr>
                <w:color w:val="auto"/>
                <w:sz w:val="21"/>
                <w:szCs w:val="22"/>
              </w:rPr>
            </w:pPr>
            <w:r>
              <w:rPr>
                <w:rFonts w:hint="eastAsia"/>
                <w:color w:val="auto"/>
                <w:sz w:val="21"/>
                <w:szCs w:val="22"/>
              </w:rPr>
              <w:t>地形</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环境地质</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土壤</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气候</w:t>
            </w:r>
          </w:p>
        </w:tc>
        <w:tc>
          <w:tcPr>
            <w:tcW w:w="2124" w:type="dxa"/>
            <w:vAlign w:val="center"/>
          </w:tcPr>
          <w:p>
            <w:pPr>
              <w:jc w:val="center"/>
              <w:rPr>
                <w:color w:val="auto"/>
                <w:sz w:val="21"/>
                <w:szCs w:val="22"/>
              </w:rPr>
            </w:pPr>
            <w:r>
              <w:rPr>
                <w:rFonts w:hint="eastAsia"/>
                <w:color w:val="auto"/>
                <w:sz w:val="21"/>
                <w:szCs w:val="22"/>
              </w:rPr>
              <w:t>-</w:t>
            </w:r>
          </w:p>
        </w:tc>
        <w:tc>
          <w:tcPr>
            <w:tcW w:w="1956" w:type="dxa"/>
            <w:vAlign w:val="center"/>
          </w:tcPr>
          <w:p>
            <w:pPr>
              <w:jc w:val="center"/>
              <w:rPr>
                <w:color w:val="auto"/>
                <w:sz w:val="21"/>
                <w:szCs w:val="22"/>
              </w:rPr>
            </w:pPr>
            <w:r>
              <w:rPr>
                <w:rFonts w:hint="eastAsia"/>
                <w:color w:val="auto"/>
                <w:sz w:val="21"/>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地表水文</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restart"/>
            <w:vAlign w:val="center"/>
          </w:tcPr>
          <w:p>
            <w:pPr>
              <w:jc w:val="center"/>
              <w:rPr>
                <w:color w:val="auto"/>
                <w:sz w:val="21"/>
                <w:szCs w:val="22"/>
              </w:rPr>
            </w:pPr>
            <w:r>
              <w:rPr>
                <w:rFonts w:hint="eastAsia"/>
                <w:color w:val="auto"/>
                <w:sz w:val="21"/>
                <w:szCs w:val="22"/>
              </w:rPr>
              <w:t>生态环境</w:t>
            </w:r>
          </w:p>
        </w:tc>
        <w:tc>
          <w:tcPr>
            <w:tcW w:w="1661" w:type="dxa"/>
            <w:vAlign w:val="center"/>
          </w:tcPr>
          <w:p>
            <w:pPr>
              <w:jc w:val="center"/>
              <w:rPr>
                <w:color w:val="auto"/>
                <w:sz w:val="21"/>
                <w:szCs w:val="22"/>
              </w:rPr>
            </w:pPr>
            <w:r>
              <w:rPr>
                <w:rFonts w:hint="eastAsia"/>
                <w:color w:val="auto"/>
                <w:sz w:val="21"/>
                <w:szCs w:val="22"/>
              </w:rPr>
              <w:t>占地、植被</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水土流失</w:t>
            </w:r>
          </w:p>
        </w:tc>
        <w:tc>
          <w:tcPr>
            <w:tcW w:w="2124" w:type="dxa"/>
            <w:vAlign w:val="center"/>
          </w:tcPr>
          <w:p>
            <w:pPr>
              <w:jc w:val="center"/>
              <w:rPr>
                <w:color w:val="auto"/>
                <w:sz w:val="21"/>
                <w:szCs w:val="22"/>
              </w:rPr>
            </w:pPr>
            <w:r>
              <w:rPr>
                <w:rFonts w:hint="eastAsia"/>
                <w:color w:val="auto"/>
                <w:sz w:val="21"/>
                <w:szCs w:val="22"/>
              </w:rPr>
              <w:t>A/Sh/Si</w:t>
            </w:r>
          </w:p>
        </w:tc>
        <w:tc>
          <w:tcPr>
            <w:tcW w:w="1956" w:type="dxa"/>
            <w:vAlign w:val="center"/>
          </w:tcPr>
          <w:p>
            <w:pPr>
              <w:jc w:val="center"/>
              <w:rPr>
                <w:color w:val="auto"/>
                <w:sz w:val="21"/>
                <w:szCs w:val="22"/>
              </w:rPr>
            </w:pPr>
            <w:r>
              <w:rPr>
                <w:rFonts w:hint="eastAsia"/>
                <w:color w:val="auto"/>
                <w:sz w:val="21"/>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野生动植物</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A/Sh/N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景观</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B/L/N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restart"/>
            <w:vAlign w:val="center"/>
          </w:tcPr>
          <w:p>
            <w:pPr>
              <w:jc w:val="center"/>
              <w:rPr>
                <w:color w:val="auto"/>
                <w:sz w:val="21"/>
                <w:szCs w:val="22"/>
              </w:rPr>
            </w:pPr>
            <w:r>
              <w:rPr>
                <w:rFonts w:hint="eastAsia"/>
                <w:color w:val="auto"/>
                <w:sz w:val="21"/>
                <w:szCs w:val="22"/>
              </w:rPr>
              <w:t>社会环境</w:t>
            </w:r>
          </w:p>
        </w:tc>
        <w:tc>
          <w:tcPr>
            <w:tcW w:w="1661" w:type="dxa"/>
            <w:vAlign w:val="center"/>
          </w:tcPr>
          <w:p>
            <w:pPr>
              <w:jc w:val="center"/>
              <w:rPr>
                <w:color w:val="auto"/>
                <w:sz w:val="21"/>
                <w:szCs w:val="22"/>
              </w:rPr>
            </w:pPr>
            <w:r>
              <w:rPr>
                <w:rFonts w:hint="eastAsia"/>
                <w:color w:val="auto"/>
                <w:sz w:val="21"/>
                <w:szCs w:val="22"/>
              </w:rPr>
              <w:t>社会经济</w:t>
            </w:r>
          </w:p>
        </w:tc>
        <w:tc>
          <w:tcPr>
            <w:tcW w:w="2124" w:type="dxa"/>
            <w:vAlign w:val="center"/>
          </w:tcPr>
          <w:p>
            <w:pPr>
              <w:jc w:val="center"/>
              <w:rPr>
                <w:color w:val="auto"/>
                <w:sz w:val="21"/>
                <w:szCs w:val="22"/>
              </w:rPr>
            </w:pPr>
            <w:r>
              <w:rPr>
                <w:rFonts w:hint="eastAsia"/>
                <w:color w:val="auto"/>
                <w:sz w:val="21"/>
                <w:szCs w:val="22"/>
              </w:rPr>
              <w:t>B/Sh/Si</w:t>
            </w:r>
          </w:p>
        </w:tc>
        <w:tc>
          <w:tcPr>
            <w:tcW w:w="1956" w:type="dxa"/>
            <w:vAlign w:val="center"/>
          </w:tcPr>
          <w:p>
            <w:pPr>
              <w:jc w:val="center"/>
              <w:rPr>
                <w:color w:val="auto"/>
                <w:sz w:val="21"/>
                <w:szCs w:val="22"/>
              </w:rPr>
            </w:pPr>
            <w:r>
              <w:rPr>
                <w:rFonts w:hint="eastAsia"/>
                <w:color w:val="auto"/>
                <w:sz w:val="21"/>
                <w:szCs w:val="22"/>
              </w:rPr>
              <w:t>B/L/N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基础设施</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B/L/Si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环境卫生</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B/L/Si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公众健康</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Merge w:val="continue"/>
            <w:vAlign w:val="center"/>
          </w:tcPr>
          <w:p>
            <w:pPr>
              <w:jc w:val="center"/>
              <w:rPr>
                <w:color w:val="auto"/>
                <w:sz w:val="21"/>
                <w:szCs w:val="22"/>
              </w:rPr>
            </w:pPr>
          </w:p>
        </w:tc>
        <w:tc>
          <w:tcPr>
            <w:tcW w:w="1661" w:type="dxa"/>
            <w:vAlign w:val="center"/>
          </w:tcPr>
          <w:p>
            <w:pPr>
              <w:jc w:val="center"/>
              <w:rPr>
                <w:color w:val="auto"/>
                <w:sz w:val="21"/>
                <w:szCs w:val="22"/>
              </w:rPr>
            </w:pPr>
            <w:r>
              <w:rPr>
                <w:rFonts w:hint="eastAsia"/>
                <w:color w:val="auto"/>
                <w:sz w:val="21"/>
                <w:szCs w:val="22"/>
              </w:rPr>
              <w:t>居民生活质量</w:t>
            </w:r>
          </w:p>
        </w:tc>
        <w:tc>
          <w:tcPr>
            <w:tcW w:w="2124" w:type="dxa"/>
            <w:vAlign w:val="center"/>
          </w:tcPr>
          <w:p>
            <w:pPr>
              <w:jc w:val="center"/>
              <w:rPr>
                <w:color w:val="auto"/>
                <w:sz w:val="21"/>
                <w:szCs w:val="22"/>
              </w:rPr>
            </w:pPr>
            <w:r>
              <w:rPr>
                <w:rFonts w:hint="eastAsia"/>
                <w:color w:val="auto"/>
                <w:sz w:val="21"/>
                <w:szCs w:val="22"/>
              </w:rPr>
              <w:t>A/Sh/N</w:t>
            </w:r>
          </w:p>
        </w:tc>
        <w:tc>
          <w:tcPr>
            <w:tcW w:w="1956" w:type="dxa"/>
            <w:vAlign w:val="center"/>
          </w:tcPr>
          <w:p>
            <w:pPr>
              <w:jc w:val="center"/>
              <w:rPr>
                <w:color w:val="auto"/>
                <w:sz w:val="21"/>
                <w:szCs w:val="22"/>
              </w:rPr>
            </w:pPr>
            <w:r>
              <w:rPr>
                <w:rFonts w:hint="eastAsia"/>
                <w:color w:val="auto"/>
                <w:sz w:val="21"/>
                <w:szCs w:val="22"/>
              </w:rPr>
              <w:t>-</w:t>
            </w:r>
          </w:p>
        </w:tc>
      </w:tr>
    </w:tbl>
    <w:p>
      <w:pPr>
        <w:spacing w:line="360" w:lineRule="auto"/>
        <w:ind w:firstLine="480" w:firstLineChars="200"/>
        <w:jc w:val="left"/>
        <w:rPr>
          <w:color w:val="auto"/>
          <w:sz w:val="24"/>
          <w:szCs w:val="24"/>
        </w:rPr>
      </w:pPr>
      <w:r>
        <w:rPr>
          <w:rFonts w:hint="eastAsia"/>
          <w:color w:val="auto"/>
          <w:sz w:val="24"/>
          <w:szCs w:val="24"/>
        </w:rPr>
        <w:t>注： B：有利影响；A：不利影响；L：长期影响；Sh：短期影响；Si：显著影响；N：一般影响。</w:t>
      </w:r>
    </w:p>
    <w:p>
      <w:pPr>
        <w:pStyle w:val="4"/>
        <w:rPr>
          <w:color w:val="auto"/>
        </w:rPr>
      </w:pPr>
      <w:bookmarkStart w:id="34" w:name="_Toc26276775"/>
      <w:r>
        <w:rPr>
          <w:rFonts w:hint="eastAsia"/>
          <w:color w:val="auto"/>
        </w:rPr>
        <w:t>2.4.3环境影响评价因子筛选</w:t>
      </w:r>
      <w:bookmarkEnd w:id="34"/>
    </w:p>
    <w:p>
      <w:pPr>
        <w:spacing w:line="360" w:lineRule="auto"/>
        <w:ind w:firstLine="480" w:firstLineChars="200"/>
        <w:rPr>
          <w:color w:val="auto"/>
          <w:sz w:val="24"/>
          <w:szCs w:val="24"/>
        </w:rPr>
      </w:pPr>
      <w:r>
        <w:rPr>
          <w:rFonts w:hint="eastAsia"/>
          <w:color w:val="auto"/>
          <w:sz w:val="24"/>
          <w:szCs w:val="24"/>
        </w:rPr>
        <w:t>通过对工程环境影响因子筛选结果，确定环评的评价内容及评价因子见下表。</w:t>
      </w:r>
    </w:p>
    <w:p>
      <w:pPr>
        <w:spacing w:line="360" w:lineRule="auto"/>
        <w:jc w:val="center"/>
        <w:rPr>
          <w:b/>
          <w:color w:val="auto"/>
          <w:sz w:val="24"/>
          <w:szCs w:val="24"/>
        </w:rPr>
      </w:pPr>
      <w:r>
        <w:rPr>
          <w:rFonts w:hint="eastAsia"/>
          <w:b/>
          <w:color w:val="auto"/>
          <w:sz w:val="24"/>
          <w:szCs w:val="24"/>
        </w:rPr>
        <w:t>表2-4-3   本工程环境影响评价内容及评价因子</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555"/>
        <w:gridCol w:w="2120"/>
        <w:gridCol w:w="2450"/>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jc w:val="center"/>
              <w:rPr>
                <w:b/>
                <w:color w:val="auto"/>
                <w:sz w:val="21"/>
                <w:szCs w:val="21"/>
              </w:rPr>
            </w:pPr>
            <w:r>
              <w:rPr>
                <w:rFonts w:hint="eastAsia"/>
                <w:b/>
                <w:color w:val="auto"/>
                <w:sz w:val="21"/>
                <w:szCs w:val="21"/>
              </w:rPr>
              <w:t>时期</w:t>
            </w:r>
          </w:p>
        </w:tc>
        <w:tc>
          <w:tcPr>
            <w:tcW w:w="1555" w:type="dxa"/>
            <w:vAlign w:val="center"/>
          </w:tcPr>
          <w:p>
            <w:pPr>
              <w:jc w:val="center"/>
              <w:rPr>
                <w:b/>
                <w:color w:val="auto"/>
                <w:sz w:val="21"/>
                <w:szCs w:val="21"/>
              </w:rPr>
            </w:pPr>
            <w:r>
              <w:rPr>
                <w:rFonts w:hint="eastAsia"/>
                <w:b/>
                <w:color w:val="auto"/>
                <w:sz w:val="21"/>
                <w:szCs w:val="21"/>
              </w:rPr>
              <w:t>环境要素</w:t>
            </w:r>
          </w:p>
        </w:tc>
        <w:tc>
          <w:tcPr>
            <w:tcW w:w="2120" w:type="dxa"/>
            <w:vAlign w:val="center"/>
          </w:tcPr>
          <w:p>
            <w:pPr>
              <w:jc w:val="center"/>
              <w:rPr>
                <w:b/>
                <w:color w:val="auto"/>
                <w:sz w:val="21"/>
                <w:szCs w:val="21"/>
              </w:rPr>
            </w:pPr>
            <w:r>
              <w:rPr>
                <w:rFonts w:hint="eastAsia"/>
                <w:b/>
                <w:color w:val="auto"/>
                <w:sz w:val="21"/>
                <w:szCs w:val="21"/>
              </w:rPr>
              <w:t>评价内容</w:t>
            </w:r>
          </w:p>
        </w:tc>
        <w:tc>
          <w:tcPr>
            <w:tcW w:w="2450" w:type="dxa"/>
            <w:vAlign w:val="center"/>
          </w:tcPr>
          <w:p>
            <w:pPr>
              <w:jc w:val="center"/>
              <w:rPr>
                <w:b/>
                <w:color w:val="auto"/>
                <w:sz w:val="21"/>
                <w:szCs w:val="21"/>
              </w:rPr>
            </w:pPr>
            <w:r>
              <w:rPr>
                <w:rFonts w:hint="eastAsia"/>
                <w:b/>
                <w:color w:val="auto"/>
                <w:sz w:val="21"/>
                <w:szCs w:val="21"/>
              </w:rPr>
              <w:t>现状评价因子</w:t>
            </w:r>
          </w:p>
        </w:tc>
        <w:tc>
          <w:tcPr>
            <w:tcW w:w="1703" w:type="dxa"/>
            <w:vAlign w:val="center"/>
          </w:tcPr>
          <w:p>
            <w:pPr>
              <w:jc w:val="center"/>
              <w:rPr>
                <w:b/>
                <w:color w:val="auto"/>
                <w:sz w:val="21"/>
                <w:szCs w:val="21"/>
              </w:rPr>
            </w:pPr>
            <w:r>
              <w:rPr>
                <w:rFonts w:hint="eastAsia"/>
                <w:b/>
                <w:color w:val="auto"/>
                <w:sz w:val="21"/>
                <w:szCs w:val="21"/>
              </w:rPr>
              <w:t>预测评价因子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restart"/>
            <w:vAlign w:val="center"/>
          </w:tcPr>
          <w:p>
            <w:pPr>
              <w:jc w:val="center"/>
              <w:rPr>
                <w:color w:val="auto"/>
                <w:sz w:val="21"/>
                <w:szCs w:val="21"/>
              </w:rPr>
            </w:pPr>
            <w:r>
              <w:rPr>
                <w:rFonts w:hint="eastAsia"/>
                <w:color w:val="auto"/>
                <w:sz w:val="21"/>
                <w:szCs w:val="21"/>
              </w:rPr>
              <w:t>施工期</w:t>
            </w:r>
          </w:p>
        </w:tc>
        <w:tc>
          <w:tcPr>
            <w:tcW w:w="1555" w:type="dxa"/>
            <w:vAlign w:val="center"/>
          </w:tcPr>
          <w:p>
            <w:pPr>
              <w:jc w:val="center"/>
              <w:rPr>
                <w:color w:val="auto"/>
                <w:sz w:val="21"/>
                <w:szCs w:val="21"/>
              </w:rPr>
            </w:pPr>
            <w:r>
              <w:rPr>
                <w:rFonts w:hint="eastAsia"/>
                <w:color w:val="auto"/>
                <w:sz w:val="21"/>
                <w:szCs w:val="21"/>
              </w:rPr>
              <w:t>生态环境</w:t>
            </w:r>
          </w:p>
        </w:tc>
        <w:tc>
          <w:tcPr>
            <w:tcW w:w="2120" w:type="dxa"/>
            <w:vAlign w:val="center"/>
          </w:tcPr>
          <w:p>
            <w:pPr>
              <w:jc w:val="center"/>
              <w:rPr>
                <w:color w:val="auto"/>
                <w:sz w:val="21"/>
                <w:szCs w:val="21"/>
              </w:rPr>
            </w:pPr>
            <w:r>
              <w:rPr>
                <w:rFonts w:hint="eastAsia"/>
                <w:color w:val="auto"/>
                <w:sz w:val="21"/>
                <w:szCs w:val="21"/>
              </w:rPr>
              <w:t>占地、水土流失影响、植被破坏影响分析</w:t>
            </w:r>
          </w:p>
        </w:tc>
        <w:tc>
          <w:tcPr>
            <w:tcW w:w="2450" w:type="dxa"/>
            <w:vAlign w:val="center"/>
          </w:tcPr>
          <w:p>
            <w:pPr>
              <w:jc w:val="center"/>
              <w:rPr>
                <w:color w:val="auto"/>
                <w:sz w:val="21"/>
                <w:szCs w:val="21"/>
              </w:rPr>
            </w:pPr>
            <w:r>
              <w:rPr>
                <w:rFonts w:hint="eastAsia"/>
                <w:color w:val="auto"/>
                <w:sz w:val="21"/>
                <w:szCs w:val="21"/>
              </w:rPr>
              <w:t>土地利用现状、动植物种类及资源分布、水力侵蚀情况</w:t>
            </w:r>
          </w:p>
        </w:tc>
        <w:tc>
          <w:tcPr>
            <w:tcW w:w="1703" w:type="dxa"/>
            <w:vAlign w:val="center"/>
          </w:tcPr>
          <w:p>
            <w:pPr>
              <w:jc w:val="center"/>
              <w:rPr>
                <w:color w:val="auto"/>
                <w:sz w:val="21"/>
                <w:szCs w:val="21"/>
              </w:rPr>
            </w:pPr>
            <w:r>
              <w:rPr>
                <w:rFonts w:hint="eastAsia"/>
                <w:color w:val="auto"/>
                <w:sz w:val="21"/>
                <w:szCs w:val="21"/>
              </w:rPr>
              <w:t>工程开挖对生态影响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地质环境</w:t>
            </w:r>
          </w:p>
        </w:tc>
        <w:tc>
          <w:tcPr>
            <w:tcW w:w="2120" w:type="dxa"/>
            <w:vAlign w:val="center"/>
          </w:tcPr>
          <w:p>
            <w:pPr>
              <w:jc w:val="center"/>
              <w:rPr>
                <w:color w:val="auto"/>
                <w:sz w:val="21"/>
                <w:szCs w:val="21"/>
              </w:rPr>
            </w:pPr>
            <w:r>
              <w:rPr>
                <w:rFonts w:hint="eastAsia"/>
                <w:color w:val="auto"/>
                <w:sz w:val="21"/>
                <w:szCs w:val="21"/>
              </w:rPr>
              <w:t>施工对地质灾害及场地稳定性分析</w:t>
            </w:r>
          </w:p>
        </w:tc>
        <w:tc>
          <w:tcPr>
            <w:tcW w:w="2450" w:type="dxa"/>
            <w:vAlign w:val="center"/>
          </w:tcPr>
          <w:p>
            <w:pPr>
              <w:jc w:val="center"/>
              <w:rPr>
                <w:color w:val="auto"/>
                <w:sz w:val="21"/>
                <w:szCs w:val="21"/>
              </w:rPr>
            </w:pPr>
            <w:r>
              <w:rPr>
                <w:rFonts w:hint="eastAsia"/>
                <w:color w:val="auto"/>
                <w:sz w:val="21"/>
                <w:szCs w:val="21"/>
              </w:rPr>
              <w:t>环境地质、地质灾害</w:t>
            </w:r>
          </w:p>
        </w:tc>
        <w:tc>
          <w:tcPr>
            <w:tcW w:w="1703" w:type="dxa"/>
            <w:vAlign w:val="center"/>
          </w:tcPr>
          <w:p>
            <w:pPr>
              <w:jc w:val="center"/>
              <w:rPr>
                <w:color w:val="auto"/>
                <w:sz w:val="21"/>
                <w:szCs w:val="21"/>
              </w:rPr>
            </w:pPr>
            <w:r>
              <w:rPr>
                <w:rFonts w:hint="eastAsia"/>
                <w:color w:val="auto"/>
                <w:sz w:val="21"/>
                <w:szCs w:val="21"/>
              </w:rPr>
              <w:t>地质灾害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大气环境</w:t>
            </w:r>
          </w:p>
        </w:tc>
        <w:tc>
          <w:tcPr>
            <w:tcW w:w="2120" w:type="dxa"/>
            <w:vAlign w:val="center"/>
          </w:tcPr>
          <w:p>
            <w:pPr>
              <w:jc w:val="center"/>
              <w:rPr>
                <w:color w:val="auto"/>
                <w:sz w:val="21"/>
                <w:szCs w:val="21"/>
              </w:rPr>
            </w:pPr>
            <w:r>
              <w:rPr>
                <w:rFonts w:hint="eastAsia"/>
                <w:color w:val="auto"/>
                <w:sz w:val="21"/>
                <w:szCs w:val="21"/>
              </w:rPr>
              <w:t>施工扬尘及道路扬尘分析</w:t>
            </w:r>
          </w:p>
        </w:tc>
        <w:tc>
          <w:tcPr>
            <w:tcW w:w="2450" w:type="dxa"/>
            <w:vAlign w:val="center"/>
          </w:tcPr>
          <w:p>
            <w:pPr>
              <w:jc w:val="center"/>
              <w:rPr>
                <w:color w:val="auto"/>
                <w:sz w:val="21"/>
                <w:szCs w:val="21"/>
              </w:rPr>
            </w:pPr>
            <w:r>
              <w:rPr>
                <w:rFonts w:hint="eastAsia"/>
                <w:color w:val="auto"/>
                <w:sz w:val="21"/>
                <w:szCs w:val="21"/>
              </w:rPr>
              <w:t>颗粒物</w:t>
            </w:r>
          </w:p>
        </w:tc>
        <w:tc>
          <w:tcPr>
            <w:tcW w:w="1703" w:type="dxa"/>
            <w:vAlign w:val="center"/>
          </w:tcPr>
          <w:p>
            <w:pPr>
              <w:jc w:val="center"/>
              <w:rPr>
                <w:color w:val="auto"/>
                <w:sz w:val="21"/>
                <w:szCs w:val="21"/>
              </w:rPr>
            </w:pPr>
            <w:r>
              <w:rPr>
                <w:rFonts w:hint="eastAsia"/>
                <w:color w:val="auto"/>
                <w:sz w:val="21"/>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水环境</w:t>
            </w:r>
          </w:p>
        </w:tc>
        <w:tc>
          <w:tcPr>
            <w:tcW w:w="2120" w:type="dxa"/>
            <w:vAlign w:val="center"/>
          </w:tcPr>
          <w:p>
            <w:pPr>
              <w:jc w:val="center"/>
              <w:rPr>
                <w:color w:val="auto"/>
                <w:sz w:val="21"/>
                <w:szCs w:val="21"/>
              </w:rPr>
            </w:pPr>
            <w:r>
              <w:rPr>
                <w:rFonts w:hint="eastAsia"/>
                <w:color w:val="auto"/>
                <w:sz w:val="21"/>
                <w:szCs w:val="21"/>
              </w:rPr>
              <w:t>生产废水及生活污水对水环境影响分析</w:t>
            </w:r>
          </w:p>
        </w:tc>
        <w:tc>
          <w:tcPr>
            <w:tcW w:w="2450" w:type="dxa"/>
            <w:vAlign w:val="center"/>
          </w:tcPr>
          <w:p>
            <w:pPr>
              <w:jc w:val="center"/>
              <w:rPr>
                <w:color w:val="auto"/>
                <w:sz w:val="21"/>
                <w:szCs w:val="21"/>
              </w:rPr>
            </w:pPr>
            <w:r>
              <w:rPr>
                <w:rFonts w:hint="eastAsia"/>
                <w:color w:val="auto"/>
                <w:sz w:val="21"/>
                <w:szCs w:val="21"/>
              </w:rPr>
              <w:t>SS、BOD</w:t>
            </w:r>
            <w:r>
              <w:rPr>
                <w:rFonts w:hint="eastAsia"/>
                <w:color w:val="auto"/>
                <w:sz w:val="21"/>
                <w:szCs w:val="21"/>
                <w:vertAlign w:val="subscript"/>
              </w:rPr>
              <w:t>5</w:t>
            </w:r>
            <w:r>
              <w:rPr>
                <w:rFonts w:hint="eastAsia"/>
                <w:color w:val="auto"/>
                <w:sz w:val="21"/>
                <w:szCs w:val="21"/>
              </w:rPr>
              <w:t>、COD</w:t>
            </w:r>
            <w:r>
              <w:rPr>
                <w:rFonts w:hint="eastAsia"/>
                <w:color w:val="auto"/>
                <w:sz w:val="21"/>
                <w:szCs w:val="21"/>
                <w:vertAlign w:val="subscript"/>
              </w:rPr>
              <w:t>Cr</w:t>
            </w:r>
            <w:r>
              <w:rPr>
                <w:rFonts w:hint="eastAsia"/>
                <w:color w:val="auto"/>
                <w:sz w:val="21"/>
                <w:szCs w:val="21"/>
              </w:rPr>
              <w:t>、NH</w:t>
            </w:r>
            <w:r>
              <w:rPr>
                <w:rFonts w:hint="eastAsia"/>
                <w:color w:val="auto"/>
                <w:sz w:val="21"/>
                <w:szCs w:val="21"/>
                <w:vertAlign w:val="subscript"/>
              </w:rPr>
              <w:t>3</w:t>
            </w:r>
            <w:r>
              <w:rPr>
                <w:rFonts w:hint="eastAsia"/>
                <w:color w:val="auto"/>
                <w:sz w:val="21"/>
                <w:szCs w:val="21"/>
              </w:rPr>
              <w:t>-N等</w:t>
            </w:r>
          </w:p>
        </w:tc>
        <w:tc>
          <w:tcPr>
            <w:tcW w:w="1703" w:type="dxa"/>
            <w:vAlign w:val="center"/>
          </w:tcPr>
          <w:p>
            <w:pPr>
              <w:jc w:val="center"/>
              <w:rPr>
                <w:color w:val="auto"/>
                <w:sz w:val="21"/>
                <w:szCs w:val="21"/>
              </w:rPr>
            </w:pPr>
            <w:r>
              <w:rPr>
                <w:rFonts w:hint="eastAsia"/>
                <w:color w:val="auto"/>
                <w:sz w:val="21"/>
                <w:szCs w:val="21"/>
              </w:rPr>
              <w:t>SS、BOD</w:t>
            </w:r>
            <w:r>
              <w:rPr>
                <w:rFonts w:hint="eastAsia"/>
                <w:color w:val="auto"/>
                <w:sz w:val="21"/>
                <w:szCs w:val="21"/>
                <w:vertAlign w:val="subscript"/>
              </w:rPr>
              <w:t>5</w:t>
            </w:r>
            <w:r>
              <w:rPr>
                <w:rFonts w:hint="eastAsia"/>
                <w:color w:val="auto"/>
                <w:sz w:val="21"/>
                <w:szCs w:val="21"/>
              </w:rPr>
              <w:t>、COD</w:t>
            </w:r>
            <w:r>
              <w:rPr>
                <w:rFonts w:hint="eastAsia"/>
                <w:color w:val="auto"/>
                <w:sz w:val="21"/>
                <w:szCs w:val="21"/>
                <w:vertAlign w:val="subscript"/>
              </w:rPr>
              <w:t>Cr</w:t>
            </w:r>
            <w:r>
              <w:rPr>
                <w:rFonts w:hint="eastAsia"/>
                <w:color w:val="auto"/>
                <w:sz w:val="21"/>
                <w:szCs w:val="21"/>
              </w:rPr>
              <w:t>、NH</w:t>
            </w:r>
            <w:r>
              <w:rPr>
                <w:rFonts w:hint="eastAsia"/>
                <w:color w:val="auto"/>
                <w:sz w:val="21"/>
                <w:szCs w:val="21"/>
                <w:vertAlign w:val="subscript"/>
              </w:rPr>
              <w:t>3</w:t>
            </w:r>
            <w:r>
              <w:rPr>
                <w:rFonts w:hint="eastAsia"/>
                <w:color w:val="auto"/>
                <w:sz w:val="21"/>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声环境</w:t>
            </w:r>
          </w:p>
        </w:tc>
        <w:tc>
          <w:tcPr>
            <w:tcW w:w="2120" w:type="dxa"/>
            <w:vAlign w:val="center"/>
          </w:tcPr>
          <w:p>
            <w:pPr>
              <w:jc w:val="center"/>
              <w:rPr>
                <w:color w:val="auto"/>
                <w:sz w:val="21"/>
                <w:szCs w:val="21"/>
              </w:rPr>
            </w:pPr>
            <w:r>
              <w:rPr>
                <w:rFonts w:hint="eastAsia"/>
                <w:color w:val="auto"/>
                <w:sz w:val="21"/>
                <w:szCs w:val="21"/>
              </w:rPr>
              <w:t>施工机械对声环境影响分析</w:t>
            </w:r>
          </w:p>
        </w:tc>
        <w:tc>
          <w:tcPr>
            <w:tcW w:w="2450" w:type="dxa"/>
            <w:vAlign w:val="center"/>
          </w:tcPr>
          <w:p>
            <w:pPr>
              <w:jc w:val="center"/>
              <w:rPr>
                <w:color w:val="auto"/>
                <w:sz w:val="21"/>
                <w:szCs w:val="21"/>
              </w:rPr>
            </w:pPr>
            <w:r>
              <w:rPr>
                <w:color w:val="auto"/>
                <w:sz w:val="21"/>
                <w:szCs w:val="21"/>
              </w:rPr>
              <w:t>L</w:t>
            </w:r>
            <w:r>
              <w:rPr>
                <w:rFonts w:hint="eastAsia"/>
                <w:color w:val="auto"/>
                <w:sz w:val="21"/>
                <w:szCs w:val="21"/>
                <w:vertAlign w:val="subscript"/>
              </w:rPr>
              <w:t>A</w:t>
            </w:r>
            <w:r>
              <w:rPr>
                <w:color w:val="auto"/>
                <w:sz w:val="21"/>
                <w:szCs w:val="21"/>
                <w:vertAlign w:val="subscript"/>
              </w:rPr>
              <w:t>eq</w:t>
            </w:r>
          </w:p>
        </w:tc>
        <w:tc>
          <w:tcPr>
            <w:tcW w:w="1703" w:type="dxa"/>
            <w:vAlign w:val="center"/>
          </w:tcPr>
          <w:p>
            <w:pPr>
              <w:jc w:val="center"/>
              <w:rPr>
                <w:color w:val="auto"/>
                <w:sz w:val="21"/>
                <w:szCs w:val="21"/>
              </w:rPr>
            </w:pPr>
            <w:r>
              <w:rPr>
                <w:color w:val="auto"/>
                <w:sz w:val="21"/>
                <w:szCs w:val="21"/>
              </w:rPr>
              <w:t>L</w:t>
            </w:r>
            <w:r>
              <w:rPr>
                <w:color w:val="auto"/>
                <w:sz w:val="21"/>
                <w:szCs w:val="21"/>
                <w:vertAlign w:val="subscript"/>
              </w:rPr>
              <w:t>Aeq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固体废弃物</w:t>
            </w:r>
          </w:p>
        </w:tc>
        <w:tc>
          <w:tcPr>
            <w:tcW w:w="2120" w:type="dxa"/>
            <w:vAlign w:val="center"/>
          </w:tcPr>
          <w:p>
            <w:pPr>
              <w:jc w:val="center"/>
              <w:rPr>
                <w:color w:val="auto"/>
                <w:sz w:val="21"/>
                <w:szCs w:val="21"/>
              </w:rPr>
            </w:pPr>
            <w:r>
              <w:rPr>
                <w:rFonts w:hint="eastAsia"/>
                <w:color w:val="auto"/>
                <w:sz w:val="21"/>
                <w:szCs w:val="21"/>
              </w:rPr>
              <w:t>工程弃渣及生活垃圾分析</w:t>
            </w:r>
          </w:p>
        </w:tc>
        <w:tc>
          <w:tcPr>
            <w:tcW w:w="2450" w:type="dxa"/>
            <w:vAlign w:val="center"/>
          </w:tcPr>
          <w:p>
            <w:pPr>
              <w:jc w:val="center"/>
              <w:rPr>
                <w:color w:val="auto"/>
                <w:sz w:val="21"/>
                <w:szCs w:val="21"/>
              </w:rPr>
            </w:pPr>
            <w:r>
              <w:rPr>
                <w:color w:val="auto"/>
                <w:sz w:val="21"/>
                <w:szCs w:val="21"/>
              </w:rPr>
              <w:t>/</w:t>
            </w:r>
          </w:p>
        </w:tc>
        <w:tc>
          <w:tcPr>
            <w:tcW w:w="1703" w:type="dxa"/>
            <w:vAlign w:val="center"/>
          </w:tcPr>
          <w:p>
            <w:pPr>
              <w:jc w:val="center"/>
              <w:rPr>
                <w:color w:val="auto"/>
                <w:sz w:val="21"/>
                <w:szCs w:val="21"/>
              </w:rPr>
            </w:pPr>
            <w:r>
              <w:rPr>
                <w:rFonts w:hint="eastAsia"/>
                <w:color w:val="auto"/>
                <w:sz w:val="21"/>
                <w:szCs w:val="21"/>
              </w:rPr>
              <w:t>弃渣及生活垃圾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景观</w:t>
            </w:r>
          </w:p>
        </w:tc>
        <w:tc>
          <w:tcPr>
            <w:tcW w:w="2120" w:type="dxa"/>
            <w:vAlign w:val="center"/>
          </w:tcPr>
          <w:p>
            <w:pPr>
              <w:jc w:val="center"/>
              <w:rPr>
                <w:color w:val="auto"/>
                <w:sz w:val="21"/>
                <w:szCs w:val="21"/>
              </w:rPr>
            </w:pPr>
            <w:r>
              <w:rPr>
                <w:rFonts w:hint="eastAsia"/>
                <w:color w:val="auto"/>
                <w:sz w:val="21"/>
                <w:szCs w:val="21"/>
              </w:rPr>
              <w:t>施工对景观分析</w:t>
            </w:r>
          </w:p>
        </w:tc>
        <w:tc>
          <w:tcPr>
            <w:tcW w:w="2450" w:type="dxa"/>
            <w:vAlign w:val="center"/>
          </w:tcPr>
          <w:p>
            <w:pPr>
              <w:jc w:val="center"/>
              <w:rPr>
                <w:color w:val="auto"/>
                <w:sz w:val="21"/>
                <w:szCs w:val="21"/>
              </w:rPr>
            </w:pPr>
            <w:r>
              <w:rPr>
                <w:rFonts w:hint="eastAsia"/>
                <w:color w:val="auto"/>
                <w:sz w:val="21"/>
                <w:szCs w:val="21"/>
              </w:rPr>
              <w:t>景观</w:t>
            </w:r>
          </w:p>
        </w:tc>
        <w:tc>
          <w:tcPr>
            <w:tcW w:w="1703" w:type="dxa"/>
            <w:vAlign w:val="center"/>
          </w:tcPr>
          <w:p>
            <w:pPr>
              <w:jc w:val="center"/>
              <w:rPr>
                <w:color w:val="auto"/>
                <w:sz w:val="21"/>
                <w:szCs w:val="21"/>
              </w:rPr>
            </w:pP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社会经济环境</w:t>
            </w:r>
          </w:p>
        </w:tc>
        <w:tc>
          <w:tcPr>
            <w:tcW w:w="2120" w:type="dxa"/>
            <w:vAlign w:val="center"/>
          </w:tcPr>
          <w:p>
            <w:pPr>
              <w:jc w:val="center"/>
              <w:rPr>
                <w:color w:val="auto"/>
                <w:sz w:val="21"/>
                <w:szCs w:val="21"/>
              </w:rPr>
            </w:pPr>
            <w:r>
              <w:rPr>
                <w:rFonts w:hint="eastAsia"/>
                <w:color w:val="auto"/>
                <w:sz w:val="21"/>
                <w:szCs w:val="21"/>
              </w:rPr>
              <w:t>施工对人群健康及经济影响分析</w:t>
            </w:r>
          </w:p>
        </w:tc>
        <w:tc>
          <w:tcPr>
            <w:tcW w:w="2450" w:type="dxa"/>
            <w:vAlign w:val="center"/>
          </w:tcPr>
          <w:p>
            <w:pPr>
              <w:jc w:val="center"/>
              <w:rPr>
                <w:color w:val="auto"/>
                <w:sz w:val="21"/>
                <w:szCs w:val="21"/>
              </w:rPr>
            </w:pPr>
            <w:r>
              <w:rPr>
                <w:rFonts w:hint="eastAsia"/>
                <w:color w:val="auto"/>
                <w:sz w:val="21"/>
                <w:szCs w:val="21"/>
              </w:rPr>
              <w:t>/</w:t>
            </w:r>
          </w:p>
        </w:tc>
        <w:tc>
          <w:tcPr>
            <w:tcW w:w="1703" w:type="dxa"/>
            <w:vAlign w:val="center"/>
          </w:tcPr>
          <w:p>
            <w:pPr>
              <w:jc w:val="center"/>
              <w:rPr>
                <w:color w:val="auto"/>
                <w:sz w:val="21"/>
                <w:szCs w:val="21"/>
              </w:rPr>
            </w:pPr>
            <w:r>
              <w:rPr>
                <w:rFonts w:hint="eastAsia"/>
                <w:color w:val="auto"/>
                <w:sz w:val="21"/>
                <w:szCs w:val="21"/>
              </w:rPr>
              <w:t>人群健康、经济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restart"/>
            <w:vAlign w:val="center"/>
          </w:tcPr>
          <w:p>
            <w:pPr>
              <w:jc w:val="center"/>
              <w:rPr>
                <w:color w:val="auto"/>
                <w:sz w:val="21"/>
                <w:szCs w:val="21"/>
              </w:rPr>
            </w:pPr>
            <w:r>
              <w:rPr>
                <w:rFonts w:hint="eastAsia"/>
                <w:color w:val="auto"/>
                <w:sz w:val="21"/>
                <w:szCs w:val="21"/>
              </w:rPr>
              <w:t>运营期</w:t>
            </w:r>
          </w:p>
        </w:tc>
        <w:tc>
          <w:tcPr>
            <w:tcW w:w="1555" w:type="dxa"/>
            <w:vAlign w:val="center"/>
          </w:tcPr>
          <w:p>
            <w:pPr>
              <w:jc w:val="center"/>
              <w:rPr>
                <w:color w:val="auto"/>
                <w:sz w:val="21"/>
                <w:szCs w:val="21"/>
              </w:rPr>
            </w:pPr>
            <w:r>
              <w:rPr>
                <w:rFonts w:hint="eastAsia"/>
                <w:color w:val="auto"/>
                <w:sz w:val="21"/>
                <w:szCs w:val="21"/>
              </w:rPr>
              <w:t>生态环境</w:t>
            </w:r>
          </w:p>
        </w:tc>
        <w:tc>
          <w:tcPr>
            <w:tcW w:w="2120" w:type="dxa"/>
            <w:vAlign w:val="center"/>
          </w:tcPr>
          <w:p>
            <w:pPr>
              <w:jc w:val="center"/>
              <w:rPr>
                <w:color w:val="auto"/>
                <w:sz w:val="21"/>
                <w:szCs w:val="21"/>
              </w:rPr>
            </w:pPr>
            <w:r>
              <w:rPr>
                <w:rFonts w:hint="eastAsia"/>
                <w:color w:val="auto"/>
                <w:sz w:val="21"/>
                <w:szCs w:val="21"/>
              </w:rPr>
              <w:t>外排尾水对水生生态环境的影响</w:t>
            </w:r>
          </w:p>
        </w:tc>
        <w:tc>
          <w:tcPr>
            <w:tcW w:w="2450" w:type="dxa"/>
            <w:vAlign w:val="center"/>
          </w:tcPr>
          <w:p>
            <w:pPr>
              <w:jc w:val="center"/>
              <w:rPr>
                <w:color w:val="auto"/>
                <w:sz w:val="21"/>
                <w:szCs w:val="21"/>
              </w:rPr>
            </w:pPr>
            <w:r>
              <w:rPr>
                <w:rFonts w:hint="eastAsia"/>
                <w:color w:val="auto"/>
                <w:sz w:val="21"/>
                <w:szCs w:val="21"/>
              </w:rPr>
              <w:t>生物量、生物多样性</w:t>
            </w:r>
          </w:p>
        </w:tc>
        <w:tc>
          <w:tcPr>
            <w:tcW w:w="1703" w:type="dxa"/>
            <w:vAlign w:val="center"/>
          </w:tcPr>
          <w:p>
            <w:pPr>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大气环境</w:t>
            </w:r>
          </w:p>
        </w:tc>
        <w:tc>
          <w:tcPr>
            <w:tcW w:w="2120" w:type="dxa"/>
            <w:vAlign w:val="center"/>
          </w:tcPr>
          <w:p>
            <w:pPr>
              <w:jc w:val="center"/>
              <w:rPr>
                <w:color w:val="auto"/>
                <w:sz w:val="21"/>
                <w:szCs w:val="21"/>
              </w:rPr>
            </w:pPr>
            <w:r>
              <w:rPr>
                <w:rFonts w:hint="eastAsia"/>
                <w:color w:val="auto"/>
                <w:sz w:val="21"/>
                <w:szCs w:val="21"/>
              </w:rPr>
              <w:t>恶臭对环境的影响</w:t>
            </w:r>
          </w:p>
        </w:tc>
        <w:tc>
          <w:tcPr>
            <w:tcW w:w="2450" w:type="dxa"/>
            <w:vAlign w:val="center"/>
          </w:tcPr>
          <w:p>
            <w:pPr>
              <w:jc w:val="center"/>
              <w:rPr>
                <w:color w:val="auto"/>
                <w:sz w:val="21"/>
                <w:szCs w:val="21"/>
              </w:rPr>
            </w:pPr>
            <w:r>
              <w:rPr>
                <w:rFonts w:hint="eastAsia"/>
                <w:color w:val="auto"/>
                <w:sz w:val="21"/>
                <w:szCs w:val="21"/>
              </w:rPr>
              <w:t>PM</w:t>
            </w:r>
            <w:r>
              <w:rPr>
                <w:rFonts w:hint="eastAsia"/>
                <w:color w:val="auto"/>
                <w:sz w:val="21"/>
                <w:szCs w:val="21"/>
                <w:vertAlign w:val="subscript"/>
              </w:rPr>
              <w:t>10</w:t>
            </w:r>
            <w:r>
              <w:rPr>
                <w:rFonts w:hint="eastAsia"/>
                <w:color w:val="auto"/>
                <w:sz w:val="21"/>
                <w:szCs w:val="21"/>
              </w:rPr>
              <w:t>、PM</w:t>
            </w:r>
            <w:r>
              <w:rPr>
                <w:rFonts w:hint="eastAsia"/>
                <w:color w:val="auto"/>
                <w:sz w:val="21"/>
                <w:szCs w:val="21"/>
                <w:vertAlign w:val="subscript"/>
              </w:rPr>
              <w:t>2.5</w:t>
            </w:r>
            <w:r>
              <w:rPr>
                <w:rFonts w:hint="eastAsia"/>
                <w:color w:val="auto"/>
                <w:sz w:val="21"/>
                <w:szCs w:val="21"/>
              </w:rPr>
              <w:t>、CO、O</w:t>
            </w:r>
            <w:r>
              <w:rPr>
                <w:rFonts w:hint="eastAsia"/>
                <w:color w:val="auto"/>
                <w:sz w:val="21"/>
                <w:szCs w:val="21"/>
                <w:vertAlign w:val="subscript"/>
              </w:rPr>
              <w:t>3</w:t>
            </w:r>
            <w:r>
              <w:rPr>
                <w:rFonts w:hint="eastAsia"/>
                <w:color w:val="auto"/>
                <w:sz w:val="21"/>
                <w:szCs w:val="21"/>
              </w:rPr>
              <w:t>、SO</w:t>
            </w:r>
            <w:r>
              <w:rPr>
                <w:rFonts w:hint="eastAsia"/>
                <w:color w:val="auto"/>
                <w:sz w:val="21"/>
                <w:szCs w:val="21"/>
                <w:vertAlign w:val="subscript"/>
              </w:rPr>
              <w:t>2</w:t>
            </w:r>
            <w:r>
              <w:rPr>
                <w:rFonts w:hint="eastAsia"/>
                <w:color w:val="auto"/>
                <w:sz w:val="21"/>
                <w:szCs w:val="21"/>
              </w:rPr>
              <w:t>、NO</w:t>
            </w:r>
            <w:r>
              <w:rPr>
                <w:rFonts w:hint="eastAsia"/>
                <w:color w:val="auto"/>
                <w:sz w:val="21"/>
                <w:szCs w:val="21"/>
                <w:vertAlign w:val="subscript"/>
              </w:rPr>
              <w:t>2</w:t>
            </w:r>
            <w:r>
              <w:rPr>
                <w:rFonts w:hint="eastAsia"/>
                <w:color w:val="auto"/>
                <w:sz w:val="21"/>
                <w:szCs w:val="21"/>
              </w:rPr>
              <w:t>、NH</w:t>
            </w:r>
            <w:r>
              <w:rPr>
                <w:rFonts w:hint="eastAsia"/>
                <w:color w:val="auto"/>
                <w:sz w:val="21"/>
                <w:szCs w:val="21"/>
                <w:vertAlign w:val="subscript"/>
              </w:rPr>
              <w:t>3</w:t>
            </w:r>
            <w:r>
              <w:rPr>
                <w:rFonts w:hint="eastAsia"/>
                <w:color w:val="auto"/>
                <w:sz w:val="21"/>
                <w:szCs w:val="21"/>
              </w:rPr>
              <w:t>、</w:t>
            </w:r>
            <w:r>
              <w:rPr>
                <w:color w:val="auto"/>
                <w:sz w:val="21"/>
                <w:szCs w:val="21"/>
              </w:rPr>
              <w:t>H</w:t>
            </w:r>
            <w:r>
              <w:rPr>
                <w:color w:val="auto"/>
                <w:sz w:val="21"/>
                <w:szCs w:val="21"/>
                <w:vertAlign w:val="subscript"/>
              </w:rPr>
              <w:t>2</w:t>
            </w:r>
            <w:r>
              <w:rPr>
                <w:color w:val="auto"/>
                <w:sz w:val="21"/>
                <w:szCs w:val="21"/>
              </w:rPr>
              <w:t>S</w:t>
            </w:r>
          </w:p>
        </w:tc>
        <w:tc>
          <w:tcPr>
            <w:tcW w:w="1703" w:type="dxa"/>
            <w:vAlign w:val="center"/>
          </w:tcPr>
          <w:p>
            <w:pPr>
              <w:jc w:val="center"/>
              <w:rPr>
                <w:color w:val="auto"/>
                <w:sz w:val="21"/>
                <w:szCs w:val="21"/>
              </w:rPr>
            </w:pPr>
            <w:r>
              <w:rPr>
                <w:rFonts w:hint="eastAsia"/>
                <w:color w:val="auto"/>
                <w:sz w:val="21"/>
                <w:szCs w:val="21"/>
              </w:rPr>
              <w:t>NH</w:t>
            </w:r>
            <w:r>
              <w:rPr>
                <w:rFonts w:hint="eastAsia"/>
                <w:color w:val="auto"/>
                <w:sz w:val="21"/>
                <w:szCs w:val="21"/>
                <w:vertAlign w:val="subscript"/>
              </w:rPr>
              <w:t>3</w:t>
            </w:r>
            <w:r>
              <w:rPr>
                <w:rFonts w:hint="eastAsia"/>
                <w:color w:val="auto"/>
                <w:sz w:val="21"/>
                <w:szCs w:val="21"/>
              </w:rPr>
              <w:t>、H</w:t>
            </w:r>
            <w:r>
              <w:rPr>
                <w:rFonts w:hint="eastAsia"/>
                <w:color w:val="auto"/>
                <w:sz w:val="21"/>
                <w:szCs w:val="21"/>
                <w:vertAlign w:val="subscript"/>
              </w:rPr>
              <w:t>2</w:t>
            </w:r>
            <w:r>
              <w:rPr>
                <w:rFonts w:hint="eastAsia"/>
                <w:color w:val="auto"/>
                <w:sz w:val="21"/>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地表水环境</w:t>
            </w:r>
          </w:p>
        </w:tc>
        <w:tc>
          <w:tcPr>
            <w:tcW w:w="2120" w:type="dxa"/>
            <w:vAlign w:val="center"/>
          </w:tcPr>
          <w:p>
            <w:pPr>
              <w:jc w:val="center"/>
              <w:rPr>
                <w:color w:val="auto"/>
                <w:sz w:val="21"/>
                <w:szCs w:val="21"/>
              </w:rPr>
            </w:pPr>
            <w:r>
              <w:rPr>
                <w:rFonts w:hint="eastAsia"/>
                <w:color w:val="auto"/>
                <w:sz w:val="21"/>
                <w:szCs w:val="21"/>
              </w:rPr>
              <w:t>外排尾水对水环境影响分析</w:t>
            </w:r>
          </w:p>
        </w:tc>
        <w:tc>
          <w:tcPr>
            <w:tcW w:w="2450" w:type="dxa"/>
            <w:vAlign w:val="center"/>
          </w:tcPr>
          <w:p>
            <w:pPr>
              <w:jc w:val="center"/>
              <w:rPr>
                <w:color w:val="auto"/>
                <w:sz w:val="21"/>
                <w:szCs w:val="21"/>
              </w:rPr>
            </w:pPr>
            <w:r>
              <w:rPr>
                <w:rFonts w:hint="eastAsia"/>
                <w:color w:val="auto"/>
                <w:sz w:val="21"/>
                <w:szCs w:val="21"/>
              </w:rPr>
              <w:t>pH、SS、COD</w:t>
            </w:r>
            <w:r>
              <w:rPr>
                <w:rFonts w:hint="eastAsia"/>
                <w:color w:val="auto"/>
                <w:sz w:val="21"/>
                <w:szCs w:val="21"/>
                <w:vertAlign w:val="subscript"/>
              </w:rPr>
              <w:t>Cr</w:t>
            </w:r>
            <w:r>
              <w:rPr>
                <w:rFonts w:hint="eastAsia"/>
                <w:color w:val="auto"/>
                <w:sz w:val="21"/>
                <w:szCs w:val="21"/>
              </w:rPr>
              <w:t>、DO、BOD</w:t>
            </w:r>
            <w:r>
              <w:rPr>
                <w:rFonts w:hint="eastAsia"/>
                <w:color w:val="auto"/>
                <w:sz w:val="21"/>
                <w:szCs w:val="21"/>
                <w:vertAlign w:val="subscript"/>
              </w:rPr>
              <w:t>5</w:t>
            </w:r>
            <w:r>
              <w:rPr>
                <w:rFonts w:hint="eastAsia"/>
                <w:color w:val="auto"/>
                <w:sz w:val="21"/>
                <w:szCs w:val="21"/>
              </w:rPr>
              <w:t>、氨氮、石油类、挥发酚、氰化物、硫化物等</w:t>
            </w:r>
          </w:p>
        </w:tc>
        <w:tc>
          <w:tcPr>
            <w:tcW w:w="1703" w:type="dxa"/>
            <w:vAlign w:val="center"/>
          </w:tcPr>
          <w:p>
            <w:pPr>
              <w:jc w:val="center"/>
              <w:rPr>
                <w:color w:val="auto"/>
                <w:sz w:val="21"/>
                <w:szCs w:val="21"/>
              </w:rPr>
            </w:pPr>
            <w:r>
              <w:rPr>
                <w:rFonts w:hint="eastAsia"/>
                <w:color w:val="auto"/>
                <w:sz w:val="21"/>
                <w:szCs w:val="21"/>
              </w:rPr>
              <w:t>COD</w:t>
            </w:r>
            <w:r>
              <w:rPr>
                <w:rFonts w:hint="eastAsia"/>
                <w:color w:val="auto"/>
                <w:sz w:val="21"/>
                <w:szCs w:val="21"/>
                <w:vertAlign w:val="subscript"/>
              </w:rPr>
              <w:t>Cr</w:t>
            </w:r>
            <w:r>
              <w:rPr>
                <w:rFonts w:hint="eastAsia"/>
                <w:color w:val="auto"/>
                <w:sz w:val="21"/>
                <w:szCs w:val="21"/>
              </w:rPr>
              <w:t>、NH</w:t>
            </w:r>
            <w:r>
              <w:rPr>
                <w:rFonts w:hint="eastAsia"/>
                <w:color w:val="auto"/>
                <w:sz w:val="21"/>
                <w:szCs w:val="21"/>
                <w:vertAlign w:val="subscript"/>
              </w:rPr>
              <w:t>3</w:t>
            </w:r>
            <w:r>
              <w:rPr>
                <w:rFonts w:hint="eastAsia"/>
                <w:color w:val="auto"/>
                <w:sz w:val="21"/>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地下水环境</w:t>
            </w:r>
          </w:p>
        </w:tc>
        <w:tc>
          <w:tcPr>
            <w:tcW w:w="2120" w:type="dxa"/>
            <w:vAlign w:val="center"/>
          </w:tcPr>
          <w:p>
            <w:pPr>
              <w:jc w:val="center"/>
              <w:rPr>
                <w:color w:val="auto"/>
                <w:sz w:val="21"/>
                <w:szCs w:val="21"/>
              </w:rPr>
            </w:pPr>
            <w:r>
              <w:rPr>
                <w:rFonts w:hint="eastAsia"/>
                <w:color w:val="auto"/>
                <w:sz w:val="21"/>
                <w:szCs w:val="21"/>
              </w:rPr>
              <w:t>废水对地下水的影响</w:t>
            </w:r>
          </w:p>
        </w:tc>
        <w:tc>
          <w:tcPr>
            <w:tcW w:w="2450" w:type="dxa"/>
            <w:vAlign w:val="center"/>
          </w:tcPr>
          <w:p>
            <w:pPr>
              <w:jc w:val="center"/>
              <w:rPr>
                <w:color w:val="auto"/>
                <w:sz w:val="21"/>
                <w:szCs w:val="21"/>
              </w:rPr>
            </w:pPr>
            <w:r>
              <w:rPr>
                <w:rFonts w:hint="eastAsia"/>
                <w:color w:val="auto"/>
                <w:sz w:val="21"/>
                <w:szCs w:val="21"/>
              </w:rPr>
              <w:t>pH、氨氮、硫酸盐、铬（六价）、总硬度、氟化物、溶解性总固体等</w:t>
            </w:r>
          </w:p>
        </w:tc>
        <w:tc>
          <w:tcPr>
            <w:tcW w:w="1703" w:type="dxa"/>
            <w:vAlign w:val="center"/>
          </w:tcPr>
          <w:p>
            <w:pPr>
              <w:jc w:val="center"/>
              <w:rPr>
                <w:color w:val="auto"/>
                <w:sz w:val="21"/>
                <w:szCs w:val="21"/>
              </w:rPr>
            </w:pPr>
            <w:r>
              <w:rPr>
                <w:rFonts w:hint="eastAsia"/>
                <w:color w:val="auto"/>
                <w:sz w:val="21"/>
                <w:szCs w:val="21"/>
              </w:rPr>
              <w:t>COD</w:t>
            </w:r>
            <w:r>
              <w:rPr>
                <w:rFonts w:hint="eastAsia"/>
                <w:color w:val="auto"/>
                <w:sz w:val="21"/>
                <w:szCs w:val="21"/>
                <w:vertAlign w:val="subscript"/>
              </w:rPr>
              <w:t>Cr</w:t>
            </w:r>
            <w:r>
              <w:rPr>
                <w:rFonts w:hint="eastAsia"/>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土壤环境</w:t>
            </w:r>
          </w:p>
        </w:tc>
        <w:tc>
          <w:tcPr>
            <w:tcW w:w="2120" w:type="dxa"/>
            <w:vAlign w:val="center"/>
          </w:tcPr>
          <w:p>
            <w:pPr>
              <w:jc w:val="center"/>
              <w:rPr>
                <w:color w:val="auto"/>
                <w:sz w:val="21"/>
                <w:szCs w:val="21"/>
              </w:rPr>
            </w:pPr>
            <w:r>
              <w:rPr>
                <w:rFonts w:hint="eastAsia"/>
                <w:color w:val="auto"/>
                <w:sz w:val="21"/>
                <w:szCs w:val="21"/>
              </w:rPr>
              <w:t>废水对土壤环境的影响</w:t>
            </w:r>
          </w:p>
        </w:tc>
        <w:tc>
          <w:tcPr>
            <w:tcW w:w="2450" w:type="dxa"/>
            <w:vAlign w:val="center"/>
          </w:tcPr>
          <w:p>
            <w:pPr>
              <w:jc w:val="center"/>
              <w:rPr>
                <w:color w:val="auto"/>
                <w:sz w:val="21"/>
                <w:szCs w:val="21"/>
              </w:rPr>
            </w:pPr>
            <w:r>
              <w:rPr>
                <w:rFonts w:hint="eastAsia"/>
                <w:color w:val="auto"/>
                <w:sz w:val="21"/>
                <w:szCs w:val="21"/>
              </w:rPr>
              <w:t>重金属类、挥发性有机物类、半挥发性有机物类、理化特性</w:t>
            </w:r>
          </w:p>
        </w:tc>
        <w:tc>
          <w:tcPr>
            <w:tcW w:w="1703" w:type="dxa"/>
            <w:vAlign w:val="center"/>
          </w:tcPr>
          <w:p>
            <w:pPr>
              <w:jc w:val="center"/>
              <w:rPr>
                <w:color w:val="auto"/>
                <w:sz w:val="21"/>
                <w:szCs w:val="21"/>
              </w:rPr>
            </w:pPr>
            <w:r>
              <w:rPr>
                <w:rFonts w:hint="eastAsia"/>
                <w:color w:val="auto"/>
                <w:sz w:val="21"/>
                <w:szCs w:val="21"/>
              </w:rPr>
              <w:t>定性分析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声环境</w:t>
            </w:r>
          </w:p>
        </w:tc>
        <w:tc>
          <w:tcPr>
            <w:tcW w:w="2120" w:type="dxa"/>
            <w:vAlign w:val="center"/>
          </w:tcPr>
          <w:p>
            <w:pPr>
              <w:jc w:val="center"/>
              <w:rPr>
                <w:color w:val="auto"/>
                <w:sz w:val="21"/>
                <w:szCs w:val="21"/>
              </w:rPr>
            </w:pPr>
            <w:r>
              <w:rPr>
                <w:rFonts w:hint="eastAsia"/>
                <w:color w:val="auto"/>
                <w:sz w:val="21"/>
                <w:szCs w:val="21"/>
              </w:rPr>
              <w:t>设备运行对声环境影响分析</w:t>
            </w:r>
          </w:p>
        </w:tc>
        <w:tc>
          <w:tcPr>
            <w:tcW w:w="2450" w:type="dxa"/>
            <w:vAlign w:val="center"/>
          </w:tcPr>
          <w:p>
            <w:pPr>
              <w:jc w:val="center"/>
              <w:rPr>
                <w:color w:val="auto"/>
                <w:sz w:val="21"/>
                <w:szCs w:val="21"/>
              </w:rPr>
            </w:pPr>
            <w:r>
              <w:rPr>
                <w:color w:val="auto"/>
                <w:sz w:val="21"/>
                <w:szCs w:val="21"/>
              </w:rPr>
              <w:t>L</w:t>
            </w:r>
            <w:r>
              <w:rPr>
                <w:rFonts w:hint="eastAsia"/>
                <w:color w:val="auto"/>
                <w:sz w:val="21"/>
                <w:szCs w:val="21"/>
                <w:vertAlign w:val="subscript"/>
              </w:rPr>
              <w:t>A</w:t>
            </w:r>
            <w:r>
              <w:rPr>
                <w:color w:val="auto"/>
                <w:sz w:val="21"/>
                <w:szCs w:val="21"/>
                <w:vertAlign w:val="subscript"/>
              </w:rPr>
              <w:t>eq</w:t>
            </w:r>
          </w:p>
        </w:tc>
        <w:tc>
          <w:tcPr>
            <w:tcW w:w="1703" w:type="dxa"/>
            <w:vAlign w:val="center"/>
          </w:tcPr>
          <w:p>
            <w:pPr>
              <w:jc w:val="center"/>
              <w:rPr>
                <w:color w:val="auto"/>
                <w:sz w:val="21"/>
                <w:szCs w:val="21"/>
              </w:rPr>
            </w:pPr>
            <w:r>
              <w:rPr>
                <w:color w:val="auto"/>
                <w:sz w:val="21"/>
                <w:szCs w:val="21"/>
              </w:rPr>
              <w:t>L</w:t>
            </w:r>
            <w:r>
              <w:rPr>
                <w:color w:val="auto"/>
                <w:sz w:val="21"/>
                <w:szCs w:val="21"/>
                <w:vertAlign w:val="subscript"/>
              </w:rPr>
              <w:t>Aeq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固体废弃物</w:t>
            </w:r>
          </w:p>
        </w:tc>
        <w:tc>
          <w:tcPr>
            <w:tcW w:w="2120" w:type="dxa"/>
            <w:vAlign w:val="center"/>
          </w:tcPr>
          <w:p>
            <w:pPr>
              <w:jc w:val="center"/>
              <w:rPr>
                <w:color w:val="auto"/>
                <w:sz w:val="21"/>
                <w:szCs w:val="21"/>
              </w:rPr>
            </w:pPr>
            <w:r>
              <w:rPr>
                <w:rFonts w:hint="eastAsia"/>
                <w:color w:val="auto"/>
                <w:sz w:val="21"/>
                <w:szCs w:val="21"/>
              </w:rPr>
              <w:t>生活垃圾、污泥</w:t>
            </w:r>
          </w:p>
        </w:tc>
        <w:tc>
          <w:tcPr>
            <w:tcW w:w="2450" w:type="dxa"/>
            <w:vAlign w:val="center"/>
          </w:tcPr>
          <w:p>
            <w:pPr>
              <w:jc w:val="center"/>
              <w:rPr>
                <w:color w:val="auto"/>
                <w:sz w:val="21"/>
                <w:szCs w:val="21"/>
              </w:rPr>
            </w:pPr>
            <w:r>
              <w:rPr>
                <w:rFonts w:hint="eastAsia"/>
                <w:color w:val="auto"/>
                <w:sz w:val="21"/>
                <w:szCs w:val="21"/>
              </w:rPr>
              <w:t>/</w:t>
            </w:r>
          </w:p>
        </w:tc>
        <w:tc>
          <w:tcPr>
            <w:tcW w:w="1703" w:type="dxa"/>
            <w:vAlign w:val="center"/>
          </w:tcPr>
          <w:p>
            <w:pPr>
              <w:jc w:val="center"/>
              <w:rPr>
                <w:color w:val="auto"/>
                <w:sz w:val="21"/>
                <w:szCs w:val="21"/>
              </w:rPr>
            </w:pPr>
            <w:r>
              <w:rPr>
                <w:rFonts w:hint="eastAsia"/>
                <w:color w:val="auto"/>
                <w:sz w:val="21"/>
                <w:szCs w:val="21"/>
              </w:rPr>
              <w:t>生活垃圾、污泥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vAlign w:val="center"/>
          </w:tcPr>
          <w:p>
            <w:pPr>
              <w:jc w:val="center"/>
              <w:rPr>
                <w:color w:val="auto"/>
                <w:sz w:val="21"/>
                <w:szCs w:val="21"/>
              </w:rPr>
            </w:pPr>
          </w:p>
        </w:tc>
        <w:tc>
          <w:tcPr>
            <w:tcW w:w="1555" w:type="dxa"/>
            <w:vAlign w:val="center"/>
          </w:tcPr>
          <w:p>
            <w:pPr>
              <w:jc w:val="center"/>
              <w:rPr>
                <w:color w:val="auto"/>
                <w:sz w:val="21"/>
                <w:szCs w:val="21"/>
              </w:rPr>
            </w:pPr>
            <w:r>
              <w:rPr>
                <w:rFonts w:hint="eastAsia"/>
                <w:color w:val="auto"/>
                <w:sz w:val="21"/>
                <w:szCs w:val="21"/>
              </w:rPr>
              <w:t>社会经济环境</w:t>
            </w:r>
          </w:p>
        </w:tc>
        <w:tc>
          <w:tcPr>
            <w:tcW w:w="2120" w:type="dxa"/>
            <w:vAlign w:val="center"/>
          </w:tcPr>
          <w:p>
            <w:pPr>
              <w:jc w:val="center"/>
              <w:rPr>
                <w:color w:val="auto"/>
                <w:sz w:val="21"/>
                <w:szCs w:val="21"/>
              </w:rPr>
            </w:pPr>
            <w:r>
              <w:rPr>
                <w:rFonts w:hint="eastAsia"/>
                <w:color w:val="auto"/>
                <w:sz w:val="21"/>
                <w:szCs w:val="21"/>
              </w:rPr>
              <w:t>运行期对人群健康及经济环境影响分析</w:t>
            </w:r>
          </w:p>
        </w:tc>
        <w:tc>
          <w:tcPr>
            <w:tcW w:w="2450" w:type="dxa"/>
            <w:vAlign w:val="center"/>
          </w:tcPr>
          <w:p>
            <w:pPr>
              <w:jc w:val="center"/>
              <w:rPr>
                <w:color w:val="auto"/>
                <w:sz w:val="21"/>
                <w:szCs w:val="21"/>
              </w:rPr>
            </w:pPr>
            <w:r>
              <w:rPr>
                <w:rFonts w:hint="eastAsia"/>
                <w:color w:val="auto"/>
                <w:sz w:val="21"/>
                <w:szCs w:val="21"/>
              </w:rPr>
              <w:t>/</w:t>
            </w:r>
          </w:p>
        </w:tc>
        <w:tc>
          <w:tcPr>
            <w:tcW w:w="1703" w:type="dxa"/>
            <w:vAlign w:val="center"/>
          </w:tcPr>
          <w:p>
            <w:pPr>
              <w:jc w:val="center"/>
              <w:rPr>
                <w:color w:val="auto"/>
                <w:sz w:val="21"/>
                <w:szCs w:val="21"/>
              </w:rPr>
            </w:pPr>
            <w:r>
              <w:rPr>
                <w:rFonts w:hint="eastAsia"/>
                <w:color w:val="auto"/>
                <w:sz w:val="21"/>
                <w:szCs w:val="21"/>
              </w:rPr>
              <w:t>人群健康、经济</w:t>
            </w:r>
          </w:p>
        </w:tc>
      </w:tr>
    </w:tbl>
    <w:p>
      <w:pPr>
        <w:spacing w:line="360" w:lineRule="auto"/>
        <w:ind w:firstLine="480" w:firstLineChars="200"/>
        <w:jc w:val="left"/>
        <w:rPr>
          <w:color w:val="auto"/>
          <w:sz w:val="24"/>
          <w:szCs w:val="24"/>
        </w:rPr>
      </w:pPr>
      <w:r>
        <w:rPr>
          <w:rFonts w:hint="eastAsia"/>
          <w:color w:val="auto"/>
          <w:sz w:val="24"/>
          <w:szCs w:val="24"/>
        </w:rPr>
        <w:t>注：“／”表示无。</w:t>
      </w:r>
    </w:p>
    <w:p>
      <w:pPr>
        <w:pStyle w:val="3"/>
        <w:rPr>
          <w:color w:val="auto"/>
        </w:rPr>
      </w:pPr>
      <w:bookmarkStart w:id="35" w:name="_Toc32205"/>
      <w:bookmarkStart w:id="36" w:name="_Toc26276776"/>
      <w:r>
        <w:rPr>
          <w:rFonts w:hint="eastAsia"/>
          <w:color w:val="auto"/>
        </w:rPr>
        <w:t>2.5环境功能区划</w:t>
      </w:r>
      <w:bookmarkEnd w:id="35"/>
      <w:bookmarkEnd w:id="36"/>
    </w:p>
    <w:p>
      <w:pPr>
        <w:pStyle w:val="4"/>
        <w:rPr>
          <w:color w:val="auto"/>
        </w:rPr>
      </w:pPr>
      <w:bookmarkStart w:id="37" w:name="_Toc26276777"/>
      <w:r>
        <w:rPr>
          <w:rFonts w:hint="eastAsia"/>
          <w:color w:val="auto"/>
        </w:rPr>
        <w:t>2.5.1环境空气环境功能区划</w:t>
      </w:r>
      <w:bookmarkEnd w:id="37"/>
    </w:p>
    <w:p>
      <w:pPr>
        <w:spacing w:line="360" w:lineRule="auto"/>
        <w:ind w:firstLine="480" w:firstLineChars="200"/>
        <w:rPr>
          <w:color w:val="auto"/>
          <w:sz w:val="24"/>
          <w:szCs w:val="24"/>
        </w:rPr>
      </w:pPr>
      <w:r>
        <w:rPr>
          <w:rFonts w:hint="eastAsia"/>
          <w:color w:val="auto"/>
          <w:sz w:val="24"/>
          <w:szCs w:val="24"/>
        </w:rPr>
        <w:t>本项目位于梅州市五华县河东镇，选址于畲华高速的东侧、油新公园的西南侧，根据《梅州市环境保护“十三五”规划》，项目区域大气环境质量功能区划属二类区，执行《环境空气质量标准》（ GB3095—2012）及 其2018年修改单二级标准。环境空气功能区划见图2-5-1。</w:t>
      </w:r>
    </w:p>
    <w:p>
      <w:pPr>
        <w:pStyle w:val="4"/>
        <w:rPr>
          <w:color w:val="auto"/>
        </w:rPr>
      </w:pPr>
      <w:bookmarkStart w:id="38" w:name="_Toc26276778"/>
      <w:r>
        <w:rPr>
          <w:rFonts w:hint="eastAsia"/>
          <w:color w:val="auto"/>
        </w:rPr>
        <w:t>2.5.2地表水环境功能区划</w:t>
      </w:r>
      <w:bookmarkEnd w:id="38"/>
    </w:p>
    <w:p>
      <w:pPr>
        <w:spacing w:line="360" w:lineRule="auto"/>
        <w:ind w:firstLine="480" w:firstLineChars="200"/>
        <w:rPr>
          <w:color w:val="auto"/>
          <w:sz w:val="24"/>
          <w:szCs w:val="24"/>
        </w:rPr>
      </w:pPr>
      <w:r>
        <w:rPr>
          <w:rFonts w:hint="eastAsia"/>
          <w:color w:val="auto"/>
          <w:sz w:val="24"/>
          <w:szCs w:val="24"/>
        </w:rPr>
        <w:t>项目尾水排放至大嵩河，最后汇入梅江干流。</w:t>
      </w:r>
    </w:p>
    <w:p>
      <w:pPr>
        <w:spacing w:line="360" w:lineRule="auto"/>
        <w:ind w:firstLine="480" w:firstLineChars="200"/>
        <w:rPr>
          <w:color w:val="auto"/>
          <w:sz w:val="24"/>
          <w:szCs w:val="24"/>
        </w:rPr>
      </w:pPr>
      <w:r>
        <w:rPr>
          <w:rFonts w:hint="eastAsia"/>
          <w:color w:val="auto"/>
          <w:sz w:val="24"/>
          <w:szCs w:val="24"/>
        </w:rPr>
        <w:t>根据《广东省地表水环境功能区划》（粤环〔2011〕14号），梅江五华县竹山尾~五华兴宁边界段水质目标为II类，执行《地表水环境质量标准》（GB3838-2002）II类水质标准，但未划定大嵩河的水环境功能及目标。</w:t>
      </w:r>
    </w:p>
    <w:p>
      <w:pPr>
        <w:spacing w:line="360" w:lineRule="auto"/>
        <w:ind w:firstLine="480" w:firstLineChars="200"/>
        <w:rPr>
          <w:color w:val="auto"/>
          <w:sz w:val="24"/>
          <w:szCs w:val="24"/>
        </w:rPr>
      </w:pPr>
      <w:r>
        <w:rPr>
          <w:rFonts w:hint="eastAsia"/>
          <w:color w:val="auto"/>
          <w:sz w:val="24"/>
          <w:szCs w:val="24"/>
        </w:rPr>
        <w:t>根据《梅州市环境保护规划纲要（2007-2020年）》和地方对部分水体功能的划定，梅江干流大坝镇至水车镇河段支流（包括大嵩河、水口河、宋声河、松陂河、松林水、莲江溪、小桑水、安和水）、丰顺的龙车溪的水质保护目标为Ⅲ类。</w:t>
      </w:r>
    </w:p>
    <w:p>
      <w:pPr>
        <w:spacing w:line="360" w:lineRule="auto"/>
        <w:ind w:firstLine="480" w:firstLineChars="200"/>
        <w:rPr>
          <w:color w:val="auto"/>
          <w:sz w:val="24"/>
          <w:szCs w:val="24"/>
        </w:rPr>
      </w:pPr>
      <w:r>
        <w:rPr>
          <w:rFonts w:hint="eastAsia"/>
          <w:color w:val="auto"/>
          <w:sz w:val="24"/>
          <w:szCs w:val="24"/>
        </w:rPr>
        <w:t>项目所在区域地表水水环境功能区划情况见表2-5-1及图2-5-2。</w:t>
      </w:r>
    </w:p>
    <w:p>
      <w:pPr>
        <w:spacing w:line="360" w:lineRule="auto"/>
        <w:jc w:val="center"/>
        <w:rPr>
          <w:b/>
          <w:color w:val="auto"/>
          <w:sz w:val="24"/>
          <w:szCs w:val="24"/>
        </w:rPr>
      </w:pPr>
      <w:r>
        <w:rPr>
          <w:rFonts w:hint="eastAsia"/>
          <w:b/>
          <w:color w:val="auto"/>
          <w:sz w:val="24"/>
          <w:szCs w:val="24"/>
        </w:rPr>
        <w:t xml:space="preserve">表2-5-1   </w:t>
      </w:r>
      <w:r>
        <w:rPr>
          <w:b/>
          <w:color w:val="auto"/>
          <w:sz w:val="24"/>
          <w:szCs w:val="24"/>
        </w:rPr>
        <w:t>区域相关地表水环境功能区划情况一览表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4155"/>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pStyle w:val="45"/>
              <w:rPr>
                <w:rFonts w:cs="Times New Roman"/>
                <w:b/>
                <w:color w:val="auto"/>
                <w:sz w:val="21"/>
                <w:szCs w:val="21"/>
              </w:rPr>
            </w:pPr>
            <w:r>
              <w:rPr>
                <w:rFonts w:cs="Times New Roman"/>
                <w:b/>
                <w:color w:val="auto"/>
                <w:sz w:val="21"/>
                <w:szCs w:val="21"/>
              </w:rPr>
              <w:t>水系名称</w:t>
            </w:r>
          </w:p>
        </w:tc>
        <w:tc>
          <w:tcPr>
            <w:tcW w:w="4155" w:type="dxa"/>
            <w:vAlign w:val="center"/>
          </w:tcPr>
          <w:p>
            <w:pPr>
              <w:pStyle w:val="45"/>
              <w:rPr>
                <w:rFonts w:cs="Times New Roman"/>
                <w:b/>
                <w:color w:val="auto"/>
                <w:sz w:val="21"/>
                <w:szCs w:val="21"/>
              </w:rPr>
            </w:pPr>
            <w:r>
              <w:rPr>
                <w:rFonts w:cs="Times New Roman"/>
                <w:b/>
                <w:color w:val="auto"/>
                <w:sz w:val="21"/>
                <w:szCs w:val="21"/>
              </w:rPr>
              <w:t>河流名称</w:t>
            </w:r>
          </w:p>
        </w:tc>
        <w:tc>
          <w:tcPr>
            <w:tcW w:w="2841" w:type="dxa"/>
            <w:vAlign w:val="center"/>
          </w:tcPr>
          <w:p>
            <w:pPr>
              <w:pStyle w:val="45"/>
              <w:rPr>
                <w:rFonts w:cs="Times New Roman"/>
                <w:b/>
                <w:color w:val="auto"/>
                <w:sz w:val="21"/>
                <w:szCs w:val="21"/>
              </w:rPr>
            </w:pPr>
            <w:r>
              <w:rPr>
                <w:rFonts w:cs="Times New Roman"/>
                <w:b/>
                <w:color w:val="auto"/>
                <w:sz w:val="21"/>
                <w:szCs w:val="21"/>
              </w:rPr>
              <w:t>水质目标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jc w:val="center"/>
              <w:rPr>
                <w:b/>
                <w:color w:val="auto"/>
                <w:sz w:val="21"/>
                <w:szCs w:val="21"/>
              </w:rPr>
            </w:pPr>
            <w:r>
              <w:rPr>
                <w:color w:val="auto"/>
                <w:sz w:val="21"/>
                <w:szCs w:val="21"/>
              </w:rPr>
              <w:t>韩江</w:t>
            </w:r>
          </w:p>
        </w:tc>
        <w:tc>
          <w:tcPr>
            <w:tcW w:w="4155" w:type="dxa"/>
            <w:vAlign w:val="center"/>
          </w:tcPr>
          <w:p>
            <w:pPr>
              <w:jc w:val="center"/>
              <w:rPr>
                <w:b/>
                <w:color w:val="auto"/>
                <w:sz w:val="21"/>
                <w:szCs w:val="21"/>
              </w:rPr>
            </w:pPr>
            <w:r>
              <w:rPr>
                <w:color w:val="auto"/>
                <w:sz w:val="21"/>
                <w:szCs w:val="21"/>
              </w:rPr>
              <w:t>梅江干流（五华县竹山尾~五华兴宁边界）</w:t>
            </w:r>
          </w:p>
        </w:tc>
        <w:tc>
          <w:tcPr>
            <w:tcW w:w="2841" w:type="dxa"/>
            <w:vAlign w:val="center"/>
          </w:tcPr>
          <w:p>
            <w:pPr>
              <w:jc w:val="center"/>
              <w:rPr>
                <w:b/>
                <w:color w:val="auto"/>
                <w:sz w:val="21"/>
                <w:szCs w:val="21"/>
              </w:rPr>
            </w:pPr>
            <w:r>
              <w:rPr>
                <w:color w:val="auto"/>
                <w:sz w:val="21"/>
                <w:szCs w:val="21"/>
              </w:rPr>
              <w:fldChar w:fldCharType="begin"/>
            </w:r>
            <w:r>
              <w:rPr>
                <w:color w:val="auto"/>
                <w:sz w:val="21"/>
                <w:szCs w:val="21"/>
              </w:rPr>
              <w:instrText xml:space="preserve"> = 2 \* ROMAN </w:instrText>
            </w:r>
            <w:r>
              <w:rPr>
                <w:color w:val="auto"/>
                <w:sz w:val="21"/>
                <w:szCs w:val="21"/>
              </w:rPr>
              <w:fldChar w:fldCharType="separate"/>
            </w:r>
            <w:r>
              <w:rPr>
                <w:color w:val="auto"/>
                <w:sz w:val="21"/>
                <w:szCs w:val="21"/>
              </w:rPr>
              <w:t>II</w:t>
            </w:r>
            <w:r>
              <w:rPr>
                <w:color w:val="auto"/>
                <w:sz w:val="21"/>
                <w:szCs w:val="21"/>
              </w:rPr>
              <w:fldChar w:fldCharType="end"/>
            </w:r>
            <w:r>
              <w:rPr>
                <w:color w:val="auto"/>
                <w:sz w:val="21"/>
                <w:szCs w:val="21"/>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jc w:val="center"/>
              <w:rPr>
                <w:b/>
                <w:color w:val="auto"/>
                <w:sz w:val="21"/>
                <w:szCs w:val="21"/>
              </w:rPr>
            </w:pPr>
          </w:p>
        </w:tc>
        <w:tc>
          <w:tcPr>
            <w:tcW w:w="4155" w:type="dxa"/>
            <w:vAlign w:val="center"/>
          </w:tcPr>
          <w:p>
            <w:pPr>
              <w:jc w:val="center"/>
              <w:rPr>
                <w:b/>
                <w:color w:val="auto"/>
                <w:sz w:val="21"/>
                <w:szCs w:val="21"/>
              </w:rPr>
            </w:pPr>
            <w:r>
              <w:rPr>
                <w:color w:val="auto"/>
                <w:sz w:val="21"/>
                <w:szCs w:val="21"/>
              </w:rPr>
              <w:t>大嵩河</w:t>
            </w:r>
          </w:p>
        </w:tc>
        <w:tc>
          <w:tcPr>
            <w:tcW w:w="2841" w:type="dxa"/>
            <w:vAlign w:val="center"/>
          </w:tcPr>
          <w:p>
            <w:pPr>
              <w:jc w:val="center"/>
              <w:rPr>
                <w:b/>
                <w:color w:val="auto"/>
                <w:sz w:val="21"/>
                <w:szCs w:val="21"/>
              </w:rPr>
            </w:pPr>
            <w:r>
              <w:rPr>
                <w:color w:val="auto"/>
                <w:sz w:val="21"/>
                <w:szCs w:val="21"/>
              </w:rPr>
              <w:t>Ⅲ类</w:t>
            </w:r>
          </w:p>
        </w:tc>
      </w:tr>
    </w:tbl>
    <w:p>
      <w:pPr>
        <w:spacing w:line="360" w:lineRule="auto"/>
        <w:ind w:firstLine="480" w:firstLineChars="200"/>
        <w:jc w:val="left"/>
        <w:rPr>
          <w:color w:val="auto"/>
          <w:sz w:val="24"/>
          <w:szCs w:val="24"/>
        </w:rPr>
      </w:pPr>
      <w:r>
        <w:rPr>
          <w:rFonts w:hint="eastAsia"/>
          <w:color w:val="auto"/>
          <w:sz w:val="24"/>
          <w:szCs w:val="24"/>
        </w:rPr>
        <w:t>根据《梅州市饮用水水源地环境保护专项规划》(2007-2020年)、《广东省人民政府关于调整梅州市部分饮用水水源保护区的批复》（粤府函〔2018〕428号）、《五华县镇村级集中式饮用水水源保护区划分调整方案》（梅州市生态环境局五华分局，2020年06月04日发布）和《梅州市人民政府关于印发梅州市“千吨万人”乡镇及以下饮用水水源保护区调整划定方案的通知》（梅市府函〔2020〕254 号），项目所在区域不属于梅州市饮用水水源保护区范围内。本项目所在区域饮用水源保护区划分见图2-5-3。</w:t>
      </w:r>
    </w:p>
    <w:p>
      <w:pPr>
        <w:pStyle w:val="4"/>
        <w:rPr>
          <w:color w:val="auto"/>
        </w:rPr>
      </w:pPr>
      <w:bookmarkStart w:id="39" w:name="_Toc26276779"/>
      <w:r>
        <w:rPr>
          <w:rFonts w:hint="eastAsia"/>
          <w:color w:val="auto"/>
        </w:rPr>
        <w:t>2.5.3声环境功能区划</w:t>
      </w:r>
      <w:bookmarkEnd w:id="39"/>
    </w:p>
    <w:p>
      <w:pPr>
        <w:spacing w:line="360" w:lineRule="auto"/>
        <w:ind w:firstLine="480" w:firstLineChars="200"/>
        <w:rPr>
          <w:color w:val="auto"/>
        </w:rPr>
      </w:pPr>
      <w:r>
        <w:rPr>
          <w:rFonts w:hint="eastAsia"/>
          <w:color w:val="auto"/>
          <w:sz w:val="24"/>
          <w:szCs w:val="24"/>
        </w:rPr>
        <w:t>本项目选址于畲华高速的东侧、油新公园的西南侧，根据《梅州市环境保护“十三五”规划》，五华县中属于3类声环境功能区的工业用地及工业区为广州番禺(五华)产业转移工业园、城西工业区和城北工业区，本项目选址区域不属于3类声环境功能区；梅州市4类声环境功能区为“根据各县区城区总体规划，由主次干道构成城市道路的骨架网络”，本项目选址区域同样不属于4类声环境功能区。由《梅州市环境保护“十三五”规划》中“结合各县（市、区）中心城区的用地功能，对各县（市、区）城区2类声环境功能区的范围划定为：城区声环境功能区划定范围内除3类、4类功能区以外的地区。”可知，本项目选址区域属于2类声环境功能区，执行《声环境质量标准》（ GB3096—2008 ）中 2 类区标准（昼间：60dB ，夜间：50dB ）。</w:t>
      </w:r>
    </w:p>
    <w:p>
      <w:pPr>
        <w:pStyle w:val="4"/>
        <w:rPr>
          <w:color w:val="auto"/>
        </w:rPr>
      </w:pPr>
      <w:bookmarkStart w:id="40" w:name="_Toc26276780"/>
      <w:r>
        <w:rPr>
          <w:rFonts w:hint="eastAsia"/>
          <w:color w:val="auto"/>
        </w:rPr>
        <w:t>2.5.4地下水环境功能区划</w:t>
      </w:r>
      <w:bookmarkEnd w:id="40"/>
    </w:p>
    <w:p>
      <w:pPr>
        <w:spacing w:line="360" w:lineRule="auto"/>
        <w:ind w:firstLine="480" w:firstLineChars="200"/>
        <w:rPr>
          <w:color w:val="auto"/>
          <w:sz w:val="24"/>
          <w:szCs w:val="24"/>
        </w:rPr>
      </w:pPr>
      <w:r>
        <w:rPr>
          <w:rFonts w:hint="eastAsia"/>
          <w:color w:val="auto"/>
          <w:sz w:val="24"/>
          <w:szCs w:val="24"/>
        </w:rPr>
        <w:t>根据《广东省地下水功能区划》，项目所在区域地下水属于“韩江及粤东诸河梅州五华地下水水源涵养区（</w:t>
      </w:r>
      <w:r>
        <w:rPr>
          <w:color w:val="auto"/>
          <w:sz w:val="24"/>
          <w:szCs w:val="24"/>
        </w:rPr>
        <w:t>H084414002T05</w:t>
      </w:r>
      <w:r>
        <w:rPr>
          <w:rFonts w:hint="eastAsia"/>
          <w:color w:val="auto"/>
          <w:sz w:val="24"/>
          <w:szCs w:val="24"/>
        </w:rPr>
        <w:t>）”，地下水类型为裂隙水，现状水质类别为Ⅰ—Ⅳ类，水质保护目标为Ⅲ类，执行《地下水质量标准》（GB/T14848—2017）Ⅲ类水质标准。项目所在区域地下水环境功能区划见图2-5-4。</w:t>
      </w:r>
    </w:p>
    <w:p>
      <w:pPr>
        <w:pStyle w:val="4"/>
        <w:rPr>
          <w:color w:val="auto"/>
        </w:rPr>
      </w:pPr>
      <w:bookmarkStart w:id="41" w:name="_Toc26276781"/>
      <w:r>
        <w:rPr>
          <w:rFonts w:hint="eastAsia"/>
          <w:color w:val="auto"/>
        </w:rPr>
        <w:t>2.5.5生态环境功能区划</w:t>
      </w:r>
      <w:bookmarkEnd w:id="41"/>
    </w:p>
    <w:p>
      <w:pPr>
        <w:spacing w:line="360" w:lineRule="auto"/>
        <w:ind w:firstLine="480" w:firstLineChars="200"/>
        <w:rPr>
          <w:color w:val="auto"/>
          <w:sz w:val="24"/>
          <w:szCs w:val="24"/>
        </w:rPr>
      </w:pPr>
      <w:r>
        <w:rPr>
          <w:rFonts w:hint="eastAsia"/>
          <w:color w:val="auto"/>
          <w:sz w:val="24"/>
          <w:szCs w:val="24"/>
        </w:rPr>
        <w:t>根据《印发广东省环境保护规划纲要(2006-2020）的通知》（粤府〔2006〕35号）中的广东省生态功能区划，项目所在地属于集约利用区，本项目与广东省陆域生态功能控制区划关系详见图2-5-5。</w:t>
      </w:r>
    </w:p>
    <w:p>
      <w:pPr>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p>
    <w:p>
      <w:pPr>
        <w:jc w:val="center"/>
        <w:rPr>
          <w:color w:val="auto"/>
        </w:rPr>
      </w:pPr>
      <w:r>
        <w:rPr>
          <w:color w:val="auto"/>
        </w:rPr>
        <w:drawing>
          <wp:inline distT="0" distB="0" distL="0" distR="0">
            <wp:extent cx="6263640" cy="4930775"/>
            <wp:effectExtent l="19050" t="0" r="3450" b="0"/>
            <wp:docPr id="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
                    <pic:cNvPicPr>
                      <a:picLocks noChangeAspect="1" noChangeArrowheads="1"/>
                    </pic:cNvPicPr>
                  </pic:nvPicPr>
                  <pic:blipFill>
                    <a:blip r:embed="rId11" cstate="print"/>
                    <a:srcRect/>
                    <a:stretch>
                      <a:fillRect/>
                    </a:stretch>
                  </pic:blipFill>
                  <pic:spPr>
                    <a:xfrm>
                      <a:off x="0" y="0"/>
                      <a:ext cx="6264000" cy="4931217"/>
                    </a:xfrm>
                    <a:prstGeom prst="rect">
                      <a:avLst/>
                    </a:prstGeom>
                    <a:noFill/>
                    <a:ln w="9525">
                      <a:noFill/>
                      <a:miter lim="800000"/>
                      <a:headEnd/>
                      <a:tailEnd/>
                    </a:ln>
                  </pic:spPr>
                </pic:pic>
              </a:graphicData>
            </a:graphic>
          </wp:inline>
        </w:drawing>
      </w:r>
      <w:r>
        <w:rPr>
          <w:color w:val="auto"/>
        </w:rPr>
        <w:t xml:space="preserve"> </w:t>
      </w:r>
    </w:p>
    <w:p>
      <w:pPr>
        <w:jc w:val="center"/>
        <w:rPr>
          <w:b/>
          <w:color w:val="auto"/>
          <w:sz w:val="24"/>
          <w:szCs w:val="24"/>
        </w:rPr>
      </w:pPr>
      <w:r>
        <w:rPr>
          <w:rFonts w:hint="eastAsia"/>
          <w:b/>
          <w:color w:val="auto"/>
          <w:sz w:val="24"/>
          <w:szCs w:val="24"/>
        </w:rPr>
        <w:t>图2-5-1   环境空气环境功能区划</w:t>
      </w:r>
    </w:p>
    <w:p>
      <w:pPr>
        <w:jc w:val="center"/>
        <w:rPr>
          <w:b/>
          <w:color w:val="auto"/>
          <w:sz w:val="24"/>
          <w:szCs w:val="24"/>
        </w:rPr>
      </w:pPr>
      <w:r>
        <w:rPr>
          <w:rFonts w:hint="eastAsia"/>
          <w:b/>
          <w:color w:val="auto"/>
          <w:sz w:val="24"/>
          <w:szCs w:val="24"/>
        </w:rPr>
        <w:drawing>
          <wp:inline distT="0" distB="0" distL="0" distR="0">
            <wp:extent cx="6302375" cy="4931410"/>
            <wp:effectExtent l="19050" t="0" r="3162" b="0"/>
            <wp:docPr id="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
                    <pic:cNvPicPr>
                      <a:picLocks noChangeAspect="1" noChangeArrowheads="1"/>
                    </pic:cNvPicPr>
                  </pic:nvPicPr>
                  <pic:blipFill>
                    <a:blip r:embed="rId12" cstate="print"/>
                    <a:srcRect/>
                    <a:stretch>
                      <a:fillRect/>
                    </a:stretch>
                  </pic:blipFill>
                  <pic:spPr>
                    <a:xfrm>
                      <a:off x="0" y="0"/>
                      <a:ext cx="6302388" cy="4932000"/>
                    </a:xfrm>
                    <a:prstGeom prst="rect">
                      <a:avLst/>
                    </a:prstGeom>
                    <a:noFill/>
                    <a:ln w="9525">
                      <a:noFill/>
                      <a:miter lim="800000"/>
                      <a:headEnd/>
                      <a:tailEnd/>
                    </a:ln>
                  </pic:spPr>
                </pic:pic>
              </a:graphicData>
            </a:graphic>
          </wp:inline>
        </w:drawing>
      </w:r>
      <w:r>
        <w:rPr>
          <w:rFonts w:hint="eastAsia"/>
          <w:b/>
          <w:color w:val="auto"/>
          <w:sz w:val="24"/>
          <w:szCs w:val="24"/>
        </w:rPr>
        <w:t xml:space="preserve"> </w:t>
      </w:r>
    </w:p>
    <w:p>
      <w:pPr>
        <w:jc w:val="center"/>
        <w:rPr>
          <w:b/>
          <w:color w:val="auto"/>
          <w:sz w:val="24"/>
          <w:szCs w:val="24"/>
        </w:rPr>
        <w:sectPr>
          <w:pgSz w:w="16838" w:h="11906" w:orient="landscape"/>
          <w:pgMar w:top="1797" w:right="1440" w:bottom="1797" w:left="1440" w:header="851" w:footer="992" w:gutter="0"/>
          <w:cols w:space="425" w:num="1"/>
          <w:docGrid w:type="lines" w:linePitch="312" w:charSpace="0"/>
        </w:sectPr>
      </w:pPr>
      <w:r>
        <w:rPr>
          <w:rFonts w:hint="eastAsia"/>
          <w:b/>
          <w:color w:val="auto"/>
          <w:sz w:val="24"/>
          <w:szCs w:val="24"/>
        </w:rPr>
        <w:t>图2-5-2   地表水环境功能区划</w:t>
      </w:r>
    </w:p>
    <w:p>
      <w:pPr>
        <w:jc w:val="center"/>
        <w:rPr>
          <w:b/>
          <w:color w:val="auto"/>
          <w:sz w:val="24"/>
          <w:szCs w:val="24"/>
        </w:rPr>
      </w:pPr>
      <w:r>
        <w:rPr>
          <w:b/>
          <w:color w:val="auto"/>
          <w:sz w:val="24"/>
          <w:szCs w:val="24"/>
        </w:rPr>
        <w:drawing>
          <wp:inline distT="0" distB="0" distL="0" distR="0">
            <wp:extent cx="5278120" cy="7452995"/>
            <wp:effectExtent l="19050" t="0" r="0" b="0"/>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pic:cNvPicPr>
                      <a:picLocks noChangeAspect="1" noChangeArrowheads="1"/>
                    </pic:cNvPicPr>
                  </pic:nvPicPr>
                  <pic:blipFill>
                    <a:blip r:embed="rId13" cstate="print"/>
                    <a:srcRect/>
                    <a:stretch>
                      <a:fillRect/>
                    </a:stretch>
                  </pic:blipFill>
                  <pic:spPr>
                    <a:xfrm>
                      <a:off x="0" y="0"/>
                      <a:ext cx="5278120" cy="7453032"/>
                    </a:xfrm>
                    <a:prstGeom prst="rect">
                      <a:avLst/>
                    </a:prstGeom>
                    <a:noFill/>
                    <a:ln w="9525">
                      <a:noFill/>
                      <a:miter lim="800000"/>
                      <a:headEnd/>
                      <a:tailEnd/>
                    </a:ln>
                  </pic:spPr>
                </pic:pic>
              </a:graphicData>
            </a:graphic>
          </wp:inline>
        </w:drawing>
      </w:r>
    </w:p>
    <w:p>
      <w:pPr>
        <w:jc w:val="center"/>
        <w:rPr>
          <w:b/>
          <w:color w:val="auto"/>
          <w:sz w:val="24"/>
          <w:szCs w:val="24"/>
        </w:rPr>
        <w:sectPr>
          <w:pgSz w:w="11906" w:h="16838"/>
          <w:pgMar w:top="1440" w:right="1797" w:bottom="1440" w:left="1797" w:header="851" w:footer="992" w:gutter="0"/>
          <w:cols w:space="425" w:num="1"/>
          <w:docGrid w:type="lines" w:linePitch="312" w:charSpace="0"/>
        </w:sectPr>
      </w:pPr>
      <w:r>
        <w:rPr>
          <w:rFonts w:hint="eastAsia"/>
          <w:b/>
          <w:color w:val="auto"/>
          <w:sz w:val="24"/>
          <w:szCs w:val="24"/>
        </w:rPr>
        <w:t>图2-5-3   饮用水源保护区划</w:t>
      </w:r>
    </w:p>
    <w:p>
      <w:pPr>
        <w:jc w:val="center"/>
        <w:rPr>
          <w:b/>
          <w:color w:val="auto"/>
          <w:sz w:val="24"/>
          <w:szCs w:val="24"/>
        </w:rPr>
      </w:pPr>
      <w:r>
        <w:rPr>
          <w:rFonts w:hint="eastAsia"/>
          <w:b/>
          <w:color w:val="auto"/>
          <w:sz w:val="24"/>
          <w:szCs w:val="24"/>
        </w:rPr>
        <w:drawing>
          <wp:inline distT="0" distB="0" distL="0" distR="0">
            <wp:extent cx="4839335" cy="4931410"/>
            <wp:effectExtent l="19050" t="0" r="0" b="0"/>
            <wp:docPr id="6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2"/>
                    <pic:cNvPicPr>
                      <a:picLocks noChangeAspect="1" noChangeArrowheads="1"/>
                    </pic:cNvPicPr>
                  </pic:nvPicPr>
                  <pic:blipFill>
                    <a:blip r:embed="rId14" cstate="print"/>
                    <a:srcRect/>
                    <a:stretch>
                      <a:fillRect/>
                    </a:stretch>
                  </pic:blipFill>
                  <pic:spPr>
                    <a:xfrm>
                      <a:off x="0" y="0"/>
                      <a:ext cx="4839387" cy="4932000"/>
                    </a:xfrm>
                    <a:prstGeom prst="rect">
                      <a:avLst/>
                    </a:prstGeom>
                    <a:noFill/>
                    <a:ln w="9525">
                      <a:noFill/>
                      <a:miter lim="800000"/>
                      <a:headEnd/>
                      <a:tailEnd/>
                    </a:ln>
                  </pic:spPr>
                </pic:pic>
              </a:graphicData>
            </a:graphic>
          </wp:inline>
        </w:drawing>
      </w:r>
      <w:r>
        <w:rPr>
          <w:rFonts w:hint="eastAsia"/>
          <w:b/>
          <w:color w:val="auto"/>
          <w:sz w:val="24"/>
          <w:szCs w:val="24"/>
        </w:rPr>
        <w:t xml:space="preserve"> </w:t>
      </w:r>
    </w:p>
    <w:p>
      <w:pPr>
        <w:jc w:val="center"/>
        <w:rPr>
          <w:b/>
          <w:color w:val="auto"/>
          <w:sz w:val="24"/>
          <w:szCs w:val="24"/>
        </w:rPr>
      </w:pPr>
      <w:r>
        <w:rPr>
          <w:rFonts w:hint="eastAsia"/>
          <w:b/>
          <w:color w:val="auto"/>
          <w:sz w:val="24"/>
          <w:szCs w:val="24"/>
        </w:rPr>
        <w:t>图2-5-4   地下水环境功能区划</w:t>
      </w:r>
    </w:p>
    <w:p>
      <w:pPr>
        <w:jc w:val="center"/>
        <w:rPr>
          <w:b/>
          <w:color w:val="auto"/>
          <w:sz w:val="24"/>
          <w:szCs w:val="24"/>
        </w:rPr>
      </w:pPr>
      <w:r>
        <w:rPr>
          <w:rFonts w:hint="eastAsia"/>
          <w:b/>
          <w:color w:val="auto"/>
          <w:sz w:val="24"/>
          <w:szCs w:val="24"/>
        </w:rPr>
        <w:drawing>
          <wp:inline distT="0" distB="0" distL="0" distR="0">
            <wp:extent cx="6614795" cy="4931410"/>
            <wp:effectExtent l="19050" t="0" r="0" b="0"/>
            <wp:docPr id="6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5"/>
                    <pic:cNvPicPr>
                      <a:picLocks noChangeAspect="1" noChangeArrowheads="1"/>
                    </pic:cNvPicPr>
                  </pic:nvPicPr>
                  <pic:blipFill>
                    <a:blip r:embed="rId15" cstate="print"/>
                    <a:srcRect/>
                    <a:stretch>
                      <a:fillRect/>
                    </a:stretch>
                  </pic:blipFill>
                  <pic:spPr>
                    <a:xfrm>
                      <a:off x="0" y="0"/>
                      <a:ext cx="6614974" cy="4932000"/>
                    </a:xfrm>
                    <a:prstGeom prst="rect">
                      <a:avLst/>
                    </a:prstGeom>
                    <a:noFill/>
                    <a:ln w="9525">
                      <a:noFill/>
                      <a:miter lim="800000"/>
                      <a:headEnd/>
                      <a:tailEnd/>
                    </a:ln>
                  </pic:spPr>
                </pic:pic>
              </a:graphicData>
            </a:graphic>
          </wp:inline>
        </w:drawing>
      </w:r>
      <w:r>
        <w:rPr>
          <w:rFonts w:hint="eastAsia"/>
          <w:b/>
          <w:color w:val="auto"/>
          <w:sz w:val="24"/>
          <w:szCs w:val="24"/>
        </w:rPr>
        <w:t xml:space="preserve"> </w:t>
      </w:r>
    </w:p>
    <w:p>
      <w:pPr>
        <w:jc w:val="center"/>
        <w:rPr>
          <w:b/>
          <w:color w:val="auto"/>
          <w:sz w:val="24"/>
          <w:szCs w:val="24"/>
        </w:rPr>
      </w:pPr>
      <w:r>
        <w:rPr>
          <w:rFonts w:hint="eastAsia"/>
          <w:b/>
          <w:color w:val="auto"/>
          <w:sz w:val="24"/>
          <w:szCs w:val="24"/>
        </w:rPr>
        <w:t>图2-5-5   生态环境功能区划</w:t>
      </w:r>
    </w:p>
    <w:p>
      <w:pPr>
        <w:rPr>
          <w:color w:val="auto"/>
          <w:sz w:val="21"/>
          <w:szCs w:val="21"/>
        </w:rPr>
        <w:sectPr>
          <w:pgSz w:w="16838" w:h="11906" w:orient="landscape"/>
          <w:pgMar w:top="1797" w:right="1440" w:bottom="1797" w:left="1440" w:header="851" w:footer="992" w:gutter="0"/>
          <w:cols w:space="425" w:num="1"/>
          <w:docGrid w:type="lines" w:linePitch="312" w:charSpace="0"/>
        </w:sectPr>
      </w:pPr>
    </w:p>
    <w:p>
      <w:pPr>
        <w:pStyle w:val="3"/>
        <w:rPr>
          <w:color w:val="auto"/>
        </w:rPr>
      </w:pPr>
      <w:bookmarkStart w:id="42" w:name="_Toc4239"/>
      <w:bookmarkStart w:id="43" w:name="_Toc26276782"/>
      <w:r>
        <w:rPr>
          <w:rFonts w:hint="eastAsia"/>
          <w:color w:val="auto"/>
        </w:rPr>
        <w:t>2.6评价标准</w:t>
      </w:r>
      <w:bookmarkEnd w:id="42"/>
      <w:bookmarkEnd w:id="43"/>
    </w:p>
    <w:p>
      <w:pPr>
        <w:pStyle w:val="4"/>
        <w:rPr>
          <w:color w:val="auto"/>
        </w:rPr>
      </w:pPr>
      <w:bookmarkStart w:id="44" w:name="_Toc26276783"/>
      <w:r>
        <w:rPr>
          <w:rFonts w:hint="eastAsia"/>
          <w:color w:val="auto"/>
        </w:rPr>
        <w:t>2.6.1环境质量标准</w:t>
      </w:r>
      <w:bookmarkEnd w:id="44"/>
    </w:p>
    <w:p>
      <w:pPr>
        <w:spacing w:line="360" w:lineRule="auto"/>
        <w:ind w:firstLine="482" w:firstLineChars="200"/>
        <w:rPr>
          <w:b/>
          <w:color w:val="auto"/>
          <w:sz w:val="24"/>
          <w:szCs w:val="24"/>
        </w:rPr>
      </w:pPr>
      <w:r>
        <w:rPr>
          <w:rFonts w:hint="eastAsia"/>
          <w:b/>
          <w:color w:val="auto"/>
          <w:sz w:val="24"/>
          <w:szCs w:val="24"/>
        </w:rPr>
        <w:t>1、地表水环境质量标准</w:t>
      </w:r>
    </w:p>
    <w:p>
      <w:pPr>
        <w:spacing w:line="360" w:lineRule="auto"/>
        <w:ind w:firstLine="480" w:firstLineChars="200"/>
        <w:rPr>
          <w:color w:val="auto"/>
          <w:sz w:val="24"/>
          <w:szCs w:val="24"/>
        </w:rPr>
      </w:pPr>
      <w:r>
        <w:rPr>
          <w:rFonts w:hint="eastAsia"/>
          <w:color w:val="auto"/>
          <w:sz w:val="24"/>
          <w:szCs w:val="24"/>
        </w:rPr>
        <w:t>梅江干流（五华县竹山尾~五华兴宁边界）执行《地表水环境质量标准》（GB3838-2002）II类水质标准，大嵩河执行《地表水环境质量标准》(GB3838-2002)中的Ⅲ类水质标准。详见下表。</w:t>
      </w:r>
    </w:p>
    <w:p>
      <w:pPr>
        <w:ind w:firstLine="482"/>
        <w:jc w:val="center"/>
        <w:rPr>
          <w:b/>
          <w:color w:val="auto"/>
          <w:sz w:val="24"/>
          <w:szCs w:val="24"/>
        </w:rPr>
      </w:pPr>
      <w:r>
        <w:rPr>
          <w:rFonts w:hint="eastAsia"/>
          <w:b/>
          <w:color w:val="auto"/>
          <w:sz w:val="24"/>
          <w:szCs w:val="24"/>
        </w:rPr>
        <w:t xml:space="preserve">表2-6-1   </w:t>
      </w:r>
      <w:r>
        <w:rPr>
          <w:b/>
          <w:color w:val="auto"/>
          <w:sz w:val="24"/>
          <w:szCs w:val="24"/>
        </w:rPr>
        <w:t>地表水环境质量标准</w:t>
      </w:r>
      <w:r>
        <w:rPr>
          <w:rFonts w:hint="eastAsia"/>
          <w:b/>
          <w:color w:val="auto"/>
          <w:sz w:val="24"/>
          <w:szCs w:val="24"/>
        </w:rPr>
        <w:t xml:space="preserve">（摘录）  </w:t>
      </w:r>
      <w:r>
        <w:rPr>
          <w:b/>
          <w:color w:val="auto"/>
          <w:sz w:val="24"/>
          <w:szCs w:val="24"/>
        </w:rPr>
        <w:t xml:space="preserve">  </w:t>
      </w:r>
      <w:r>
        <w:rPr>
          <w:rFonts w:hint="eastAsia"/>
          <w:b/>
          <w:color w:val="auto"/>
          <w:sz w:val="24"/>
          <w:szCs w:val="24"/>
        </w:rPr>
        <w:t xml:space="preserve"> </w:t>
      </w:r>
      <w:r>
        <w:rPr>
          <w:b/>
          <w:color w:val="auto"/>
          <w:sz w:val="24"/>
          <w:szCs w:val="24"/>
        </w:rPr>
        <w:t>单位：mg/L</w:t>
      </w:r>
      <w:r>
        <w:rPr>
          <w:rFonts w:hint="eastAsia"/>
          <w:b/>
          <w:color w:val="auto"/>
          <w:sz w:val="24"/>
          <w:szCs w:val="24"/>
        </w:rPr>
        <w:t>（有注明除外）</w:t>
      </w:r>
    </w:p>
    <w:tbl>
      <w:tblPr>
        <w:tblStyle w:val="28"/>
        <w:tblW w:w="82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1287"/>
        <w:gridCol w:w="2184"/>
        <w:gridCol w:w="2483"/>
        <w:gridCol w:w="2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47" w:hRule="atLeast"/>
          <w:jc w:val="center"/>
        </w:trPr>
        <w:tc>
          <w:tcPr>
            <w:tcW w:w="1287" w:type="dxa"/>
            <w:vAlign w:val="center"/>
          </w:tcPr>
          <w:p>
            <w:pPr>
              <w:jc w:val="center"/>
              <w:rPr>
                <w:b/>
                <w:iCs/>
                <w:color w:val="auto"/>
                <w:sz w:val="21"/>
                <w:szCs w:val="22"/>
              </w:rPr>
            </w:pPr>
            <w:r>
              <w:rPr>
                <w:rFonts w:hint="eastAsia"/>
                <w:b/>
                <w:iCs/>
                <w:color w:val="auto"/>
                <w:sz w:val="21"/>
                <w:szCs w:val="22"/>
              </w:rPr>
              <w:t>序号</w:t>
            </w:r>
          </w:p>
        </w:tc>
        <w:tc>
          <w:tcPr>
            <w:tcW w:w="2184" w:type="dxa"/>
            <w:vAlign w:val="center"/>
          </w:tcPr>
          <w:p>
            <w:pPr>
              <w:jc w:val="center"/>
              <w:rPr>
                <w:b/>
                <w:iCs/>
                <w:color w:val="auto"/>
                <w:sz w:val="21"/>
                <w:szCs w:val="22"/>
              </w:rPr>
            </w:pPr>
            <w:r>
              <w:rPr>
                <w:b/>
                <w:iCs/>
                <w:color w:val="auto"/>
                <w:sz w:val="21"/>
                <w:szCs w:val="22"/>
              </w:rPr>
              <w:t>项目</w:t>
            </w:r>
          </w:p>
        </w:tc>
        <w:tc>
          <w:tcPr>
            <w:tcW w:w="2483" w:type="dxa"/>
            <w:vAlign w:val="center"/>
          </w:tcPr>
          <w:p>
            <w:pPr>
              <w:jc w:val="center"/>
              <w:rPr>
                <w:b/>
                <w:iCs/>
                <w:color w:val="auto"/>
                <w:sz w:val="21"/>
                <w:szCs w:val="22"/>
              </w:rPr>
            </w:pPr>
            <w:r>
              <w:rPr>
                <w:b/>
                <w:iCs/>
                <w:color w:val="auto"/>
                <w:sz w:val="21"/>
                <w:szCs w:val="22"/>
              </w:rPr>
              <w:fldChar w:fldCharType="begin"/>
            </w:r>
            <w:r>
              <w:rPr>
                <w:b/>
                <w:iCs/>
                <w:color w:val="auto"/>
                <w:sz w:val="21"/>
                <w:szCs w:val="22"/>
              </w:rPr>
              <w:instrText xml:space="preserve"> </w:instrText>
            </w:r>
            <w:r>
              <w:rPr>
                <w:rFonts w:hint="eastAsia"/>
                <w:b/>
                <w:iCs/>
                <w:color w:val="auto"/>
                <w:sz w:val="21"/>
                <w:szCs w:val="22"/>
              </w:rPr>
              <w:instrText xml:space="preserve">= 2 \* ROMAN</w:instrText>
            </w:r>
            <w:r>
              <w:rPr>
                <w:b/>
                <w:iCs/>
                <w:color w:val="auto"/>
                <w:sz w:val="21"/>
                <w:szCs w:val="22"/>
              </w:rPr>
              <w:instrText xml:space="preserve"> </w:instrText>
            </w:r>
            <w:r>
              <w:rPr>
                <w:b/>
                <w:iCs/>
                <w:color w:val="auto"/>
                <w:sz w:val="21"/>
                <w:szCs w:val="22"/>
              </w:rPr>
              <w:fldChar w:fldCharType="separate"/>
            </w:r>
            <w:r>
              <w:rPr>
                <w:b/>
                <w:iCs/>
                <w:color w:val="auto"/>
                <w:sz w:val="21"/>
                <w:szCs w:val="22"/>
              </w:rPr>
              <w:t>II</w:t>
            </w:r>
            <w:r>
              <w:rPr>
                <w:b/>
                <w:iCs/>
                <w:color w:val="auto"/>
                <w:sz w:val="21"/>
                <w:szCs w:val="22"/>
              </w:rPr>
              <w:fldChar w:fldCharType="end"/>
            </w:r>
            <w:r>
              <w:rPr>
                <w:rFonts w:hint="eastAsia"/>
                <w:b/>
                <w:iCs/>
                <w:color w:val="auto"/>
                <w:sz w:val="21"/>
                <w:szCs w:val="22"/>
              </w:rPr>
              <w:t>类</w:t>
            </w:r>
          </w:p>
        </w:tc>
        <w:tc>
          <w:tcPr>
            <w:tcW w:w="2275" w:type="dxa"/>
            <w:vAlign w:val="center"/>
          </w:tcPr>
          <w:p>
            <w:pPr>
              <w:jc w:val="center"/>
              <w:rPr>
                <w:b/>
                <w:iCs/>
                <w:color w:val="auto"/>
                <w:sz w:val="21"/>
                <w:szCs w:val="22"/>
              </w:rPr>
            </w:pPr>
            <w:r>
              <w:rPr>
                <w:rFonts w:hint="eastAsia"/>
                <w:b/>
                <w:iCs/>
                <w:color w:val="auto"/>
                <w:sz w:val="21"/>
                <w:szCs w:val="22"/>
              </w:rPr>
              <w:t>Ⅲ</w:t>
            </w:r>
            <w:r>
              <w:rPr>
                <w:b/>
                <w:iCs/>
                <w:color w:val="auto"/>
                <w:sz w:val="21"/>
                <w:szCs w:val="22"/>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1</w:t>
            </w:r>
          </w:p>
        </w:tc>
        <w:tc>
          <w:tcPr>
            <w:tcW w:w="2184" w:type="dxa"/>
            <w:vAlign w:val="center"/>
          </w:tcPr>
          <w:p>
            <w:pPr>
              <w:jc w:val="center"/>
              <w:rPr>
                <w:iCs/>
                <w:color w:val="auto"/>
                <w:sz w:val="21"/>
                <w:szCs w:val="22"/>
              </w:rPr>
            </w:pPr>
            <w:r>
              <w:rPr>
                <w:iCs/>
                <w:color w:val="auto"/>
                <w:sz w:val="21"/>
                <w:szCs w:val="22"/>
              </w:rPr>
              <w:t>pH值</w:t>
            </w:r>
          </w:p>
        </w:tc>
        <w:tc>
          <w:tcPr>
            <w:tcW w:w="4758" w:type="dxa"/>
            <w:gridSpan w:val="2"/>
            <w:vAlign w:val="center"/>
          </w:tcPr>
          <w:p>
            <w:pPr>
              <w:widowControl/>
              <w:jc w:val="center"/>
              <w:rPr>
                <w:color w:val="auto"/>
                <w:sz w:val="21"/>
                <w:szCs w:val="22"/>
              </w:rPr>
            </w:pPr>
            <w:r>
              <w:rPr>
                <w:rFonts w:hint="eastAsia"/>
                <w:color w:val="auto"/>
                <w:sz w:val="21"/>
                <w:szCs w:val="22"/>
              </w:rPr>
              <w:t>6~</w:t>
            </w:r>
            <w:r>
              <w:rPr>
                <w:color w:val="auto"/>
                <w:sz w:val="21"/>
                <w:szCs w:val="22"/>
              </w:rPr>
              <w:t>9</w:t>
            </w:r>
            <w:r>
              <w:rPr>
                <w:rFonts w:hint="eastAsia"/>
                <w:iCs/>
                <w:color w:val="auto"/>
                <w:sz w:val="21"/>
                <w:szCs w:val="22"/>
              </w:rPr>
              <w:t>（无量纲）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2</w:t>
            </w:r>
          </w:p>
        </w:tc>
        <w:tc>
          <w:tcPr>
            <w:tcW w:w="2184" w:type="dxa"/>
            <w:vAlign w:val="center"/>
          </w:tcPr>
          <w:p>
            <w:pPr>
              <w:jc w:val="center"/>
              <w:rPr>
                <w:iCs/>
                <w:color w:val="auto"/>
                <w:sz w:val="21"/>
                <w:szCs w:val="22"/>
              </w:rPr>
            </w:pPr>
            <w:r>
              <w:rPr>
                <w:iCs/>
                <w:color w:val="auto"/>
                <w:sz w:val="21"/>
                <w:szCs w:val="22"/>
              </w:rPr>
              <w:t>溶解氧≥</w:t>
            </w:r>
          </w:p>
        </w:tc>
        <w:tc>
          <w:tcPr>
            <w:tcW w:w="2483" w:type="dxa"/>
            <w:vAlign w:val="center"/>
          </w:tcPr>
          <w:p>
            <w:pPr>
              <w:jc w:val="center"/>
              <w:rPr>
                <w:iCs/>
                <w:color w:val="auto"/>
                <w:sz w:val="21"/>
                <w:szCs w:val="22"/>
              </w:rPr>
            </w:pPr>
            <w:r>
              <w:rPr>
                <w:rFonts w:hint="eastAsia"/>
                <w:iCs/>
                <w:color w:val="auto"/>
                <w:sz w:val="21"/>
                <w:szCs w:val="22"/>
              </w:rPr>
              <w:t>6</w:t>
            </w:r>
          </w:p>
        </w:tc>
        <w:tc>
          <w:tcPr>
            <w:tcW w:w="2275" w:type="dxa"/>
            <w:vAlign w:val="center"/>
          </w:tcPr>
          <w:p>
            <w:pPr>
              <w:jc w:val="center"/>
              <w:rPr>
                <w:iCs/>
                <w:color w:val="auto"/>
                <w:sz w:val="21"/>
                <w:szCs w:val="22"/>
              </w:rPr>
            </w:pPr>
            <w:r>
              <w:rPr>
                <w:iCs/>
                <w:color w:val="auto"/>
                <w:sz w:val="21"/>
                <w:szCs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3</w:t>
            </w:r>
          </w:p>
        </w:tc>
        <w:tc>
          <w:tcPr>
            <w:tcW w:w="2184" w:type="dxa"/>
            <w:vAlign w:val="center"/>
          </w:tcPr>
          <w:p>
            <w:pPr>
              <w:jc w:val="center"/>
              <w:rPr>
                <w:iCs/>
                <w:color w:val="auto"/>
                <w:sz w:val="21"/>
                <w:szCs w:val="22"/>
              </w:rPr>
            </w:pPr>
            <w:r>
              <w:rPr>
                <w:rFonts w:hint="eastAsia"/>
                <w:iCs/>
                <w:color w:val="auto"/>
                <w:sz w:val="21"/>
                <w:szCs w:val="22"/>
              </w:rPr>
              <w:t>化学需氧量（</w:t>
            </w:r>
            <w:r>
              <w:rPr>
                <w:iCs/>
                <w:color w:val="auto"/>
                <w:sz w:val="21"/>
                <w:szCs w:val="22"/>
              </w:rPr>
              <w:t>COD</w:t>
            </w:r>
            <w:r>
              <w:rPr>
                <w:rFonts w:hint="eastAsia"/>
                <w:iCs/>
                <w:color w:val="auto"/>
                <w:sz w:val="21"/>
                <w:szCs w:val="22"/>
              </w:rPr>
              <w:t>）</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15</w:t>
            </w:r>
          </w:p>
        </w:tc>
        <w:tc>
          <w:tcPr>
            <w:tcW w:w="2275" w:type="dxa"/>
            <w:vAlign w:val="center"/>
          </w:tcPr>
          <w:p>
            <w:pPr>
              <w:jc w:val="center"/>
              <w:rPr>
                <w:iCs/>
                <w:color w:val="auto"/>
                <w:sz w:val="21"/>
                <w:szCs w:val="22"/>
              </w:rPr>
            </w:pPr>
            <w:r>
              <w:rPr>
                <w:iCs/>
                <w:color w:val="auto"/>
                <w:sz w:val="21"/>
                <w:szCs w:val="2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4</w:t>
            </w:r>
          </w:p>
        </w:tc>
        <w:tc>
          <w:tcPr>
            <w:tcW w:w="2184" w:type="dxa"/>
            <w:vAlign w:val="center"/>
          </w:tcPr>
          <w:p>
            <w:pPr>
              <w:jc w:val="center"/>
              <w:rPr>
                <w:iCs/>
                <w:color w:val="auto"/>
                <w:sz w:val="21"/>
                <w:szCs w:val="22"/>
              </w:rPr>
            </w:pPr>
            <w:r>
              <w:rPr>
                <w:rFonts w:hint="eastAsia"/>
                <w:iCs/>
                <w:color w:val="auto"/>
                <w:sz w:val="21"/>
                <w:szCs w:val="22"/>
              </w:rPr>
              <w:t>五日生化需氧量（</w:t>
            </w:r>
            <w:r>
              <w:rPr>
                <w:iCs/>
                <w:color w:val="auto"/>
                <w:sz w:val="21"/>
                <w:szCs w:val="22"/>
              </w:rPr>
              <w:t>BOD</w:t>
            </w:r>
            <w:r>
              <w:rPr>
                <w:iCs/>
                <w:color w:val="auto"/>
                <w:sz w:val="21"/>
                <w:szCs w:val="22"/>
                <w:vertAlign w:val="subscript"/>
              </w:rPr>
              <w:t>5</w:t>
            </w:r>
            <w:r>
              <w:rPr>
                <w:rFonts w:hint="eastAsia"/>
                <w:iCs/>
                <w:color w:val="auto"/>
                <w:sz w:val="21"/>
                <w:szCs w:val="22"/>
              </w:rPr>
              <w:t>）</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3</w:t>
            </w:r>
          </w:p>
        </w:tc>
        <w:tc>
          <w:tcPr>
            <w:tcW w:w="2275" w:type="dxa"/>
            <w:vAlign w:val="center"/>
          </w:tcPr>
          <w:p>
            <w:pPr>
              <w:jc w:val="center"/>
              <w:rPr>
                <w:iCs/>
                <w:color w:val="auto"/>
                <w:sz w:val="21"/>
                <w:szCs w:val="22"/>
              </w:rPr>
            </w:pPr>
            <w:r>
              <w:rPr>
                <w:iCs/>
                <w:color w:val="auto"/>
                <w:sz w:val="21"/>
                <w:szCs w:val="22"/>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1" w:hRule="atLeast"/>
          <w:jc w:val="center"/>
        </w:trPr>
        <w:tc>
          <w:tcPr>
            <w:tcW w:w="1287" w:type="dxa"/>
            <w:vAlign w:val="center"/>
          </w:tcPr>
          <w:p>
            <w:pPr>
              <w:jc w:val="center"/>
              <w:rPr>
                <w:iCs/>
                <w:color w:val="auto"/>
                <w:sz w:val="21"/>
                <w:szCs w:val="22"/>
              </w:rPr>
            </w:pPr>
            <w:r>
              <w:rPr>
                <w:rFonts w:hint="eastAsia"/>
                <w:iCs/>
                <w:color w:val="auto"/>
                <w:sz w:val="21"/>
                <w:szCs w:val="22"/>
              </w:rPr>
              <w:t>5</w:t>
            </w:r>
          </w:p>
        </w:tc>
        <w:tc>
          <w:tcPr>
            <w:tcW w:w="2184" w:type="dxa"/>
            <w:vAlign w:val="center"/>
          </w:tcPr>
          <w:p>
            <w:pPr>
              <w:jc w:val="center"/>
              <w:rPr>
                <w:iCs/>
                <w:color w:val="auto"/>
                <w:sz w:val="21"/>
                <w:szCs w:val="22"/>
              </w:rPr>
            </w:pPr>
            <w:r>
              <w:rPr>
                <w:iCs/>
                <w:color w:val="auto"/>
                <w:sz w:val="21"/>
                <w:szCs w:val="22"/>
              </w:rPr>
              <w:t>氨氮</w:t>
            </w:r>
            <w:r>
              <w:rPr>
                <w:rFonts w:hint="eastAsia"/>
                <w:iCs/>
                <w:color w:val="auto"/>
                <w:sz w:val="21"/>
                <w:szCs w:val="22"/>
              </w:rPr>
              <w:t>（NH</w:t>
            </w:r>
            <w:r>
              <w:rPr>
                <w:rFonts w:hint="eastAsia"/>
                <w:iCs/>
                <w:color w:val="auto"/>
                <w:sz w:val="21"/>
                <w:szCs w:val="22"/>
                <w:vertAlign w:val="subscript"/>
              </w:rPr>
              <w:t>3</w:t>
            </w:r>
            <w:r>
              <w:rPr>
                <w:rFonts w:hint="eastAsia"/>
                <w:iCs/>
                <w:color w:val="auto"/>
                <w:sz w:val="21"/>
                <w:szCs w:val="22"/>
              </w:rPr>
              <w:t>-N）</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0.5</w:t>
            </w:r>
          </w:p>
        </w:tc>
        <w:tc>
          <w:tcPr>
            <w:tcW w:w="2275" w:type="dxa"/>
            <w:vAlign w:val="center"/>
          </w:tcPr>
          <w:p>
            <w:pPr>
              <w:jc w:val="center"/>
              <w:rPr>
                <w:iCs/>
                <w:color w:val="auto"/>
                <w:sz w:val="21"/>
                <w:szCs w:val="22"/>
              </w:rPr>
            </w:pPr>
            <w:r>
              <w:rPr>
                <w:iCs/>
                <w:color w:val="auto"/>
                <w:sz w:val="21"/>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1" w:hRule="atLeast"/>
          <w:jc w:val="center"/>
        </w:trPr>
        <w:tc>
          <w:tcPr>
            <w:tcW w:w="1287" w:type="dxa"/>
            <w:vAlign w:val="center"/>
          </w:tcPr>
          <w:p>
            <w:pPr>
              <w:jc w:val="center"/>
              <w:rPr>
                <w:iCs/>
                <w:color w:val="auto"/>
                <w:sz w:val="21"/>
                <w:szCs w:val="22"/>
              </w:rPr>
            </w:pPr>
            <w:r>
              <w:rPr>
                <w:rFonts w:hint="eastAsia"/>
                <w:iCs/>
                <w:color w:val="auto"/>
                <w:sz w:val="21"/>
                <w:szCs w:val="22"/>
              </w:rPr>
              <w:t>6</w:t>
            </w:r>
          </w:p>
        </w:tc>
        <w:tc>
          <w:tcPr>
            <w:tcW w:w="2184" w:type="dxa"/>
            <w:vAlign w:val="center"/>
          </w:tcPr>
          <w:p>
            <w:pPr>
              <w:jc w:val="center"/>
              <w:rPr>
                <w:iCs/>
                <w:color w:val="auto"/>
                <w:sz w:val="21"/>
                <w:szCs w:val="22"/>
              </w:rPr>
            </w:pPr>
            <w:r>
              <w:rPr>
                <w:rFonts w:hint="eastAsia"/>
                <w:iCs/>
                <w:color w:val="auto"/>
                <w:sz w:val="21"/>
                <w:szCs w:val="22"/>
              </w:rPr>
              <w:t>总磷（以P计）</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0.1</w:t>
            </w:r>
          </w:p>
          <w:p>
            <w:pPr>
              <w:jc w:val="center"/>
              <w:rPr>
                <w:iCs/>
                <w:color w:val="auto"/>
                <w:sz w:val="21"/>
                <w:szCs w:val="22"/>
              </w:rPr>
            </w:pPr>
            <w:r>
              <w:rPr>
                <w:rFonts w:hint="eastAsia"/>
                <w:iCs/>
                <w:color w:val="auto"/>
                <w:sz w:val="21"/>
                <w:szCs w:val="22"/>
              </w:rPr>
              <w:t>（湖、库0.025）</w:t>
            </w:r>
          </w:p>
        </w:tc>
        <w:tc>
          <w:tcPr>
            <w:tcW w:w="2275" w:type="dxa"/>
            <w:vAlign w:val="center"/>
          </w:tcPr>
          <w:p>
            <w:pPr>
              <w:jc w:val="center"/>
              <w:rPr>
                <w:iCs/>
                <w:color w:val="auto"/>
                <w:sz w:val="21"/>
                <w:szCs w:val="22"/>
              </w:rPr>
            </w:pPr>
            <w:r>
              <w:rPr>
                <w:rFonts w:hint="eastAsia"/>
                <w:iCs/>
                <w:color w:val="auto"/>
                <w:sz w:val="21"/>
                <w:szCs w:val="22"/>
              </w:rPr>
              <w:t>0.2</w:t>
            </w:r>
          </w:p>
          <w:p>
            <w:pPr>
              <w:jc w:val="center"/>
              <w:rPr>
                <w:iCs/>
                <w:color w:val="auto"/>
                <w:sz w:val="21"/>
                <w:szCs w:val="22"/>
              </w:rPr>
            </w:pPr>
            <w:r>
              <w:rPr>
                <w:rFonts w:hint="eastAsia"/>
                <w:iCs/>
                <w:color w:val="auto"/>
                <w:sz w:val="21"/>
                <w:szCs w:val="22"/>
              </w:rPr>
              <w:t>（湖、库0.05）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1" w:hRule="atLeast"/>
          <w:jc w:val="center"/>
        </w:trPr>
        <w:tc>
          <w:tcPr>
            <w:tcW w:w="1287" w:type="dxa"/>
            <w:vAlign w:val="center"/>
          </w:tcPr>
          <w:p>
            <w:pPr>
              <w:jc w:val="center"/>
              <w:rPr>
                <w:iCs/>
                <w:color w:val="auto"/>
                <w:sz w:val="21"/>
                <w:szCs w:val="22"/>
              </w:rPr>
            </w:pPr>
            <w:r>
              <w:rPr>
                <w:rFonts w:hint="eastAsia"/>
                <w:iCs/>
                <w:color w:val="auto"/>
                <w:sz w:val="21"/>
                <w:szCs w:val="22"/>
              </w:rPr>
              <w:t>7</w:t>
            </w:r>
          </w:p>
        </w:tc>
        <w:tc>
          <w:tcPr>
            <w:tcW w:w="2184" w:type="dxa"/>
            <w:vAlign w:val="center"/>
          </w:tcPr>
          <w:p>
            <w:pPr>
              <w:jc w:val="center"/>
              <w:rPr>
                <w:iCs/>
                <w:color w:val="auto"/>
                <w:sz w:val="21"/>
                <w:szCs w:val="22"/>
              </w:rPr>
            </w:pPr>
            <w:r>
              <w:rPr>
                <w:rFonts w:hint="eastAsia"/>
                <w:iCs/>
                <w:color w:val="auto"/>
                <w:sz w:val="21"/>
                <w:szCs w:val="22"/>
              </w:rPr>
              <w:t>总氮（湖、库，以N计）</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0.5</w:t>
            </w:r>
          </w:p>
        </w:tc>
        <w:tc>
          <w:tcPr>
            <w:tcW w:w="2275" w:type="dxa"/>
            <w:vAlign w:val="center"/>
          </w:tcPr>
          <w:p>
            <w:pPr>
              <w:jc w:val="center"/>
              <w:rPr>
                <w:iCs/>
                <w:color w:val="auto"/>
                <w:sz w:val="21"/>
                <w:szCs w:val="22"/>
              </w:rPr>
            </w:pPr>
            <w:r>
              <w:rPr>
                <w:rFonts w:hint="eastAsia"/>
                <w:iCs/>
                <w:color w:val="auto"/>
                <w:sz w:val="21"/>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1" w:hRule="atLeast"/>
          <w:jc w:val="center"/>
        </w:trPr>
        <w:tc>
          <w:tcPr>
            <w:tcW w:w="1287" w:type="dxa"/>
            <w:vAlign w:val="center"/>
          </w:tcPr>
          <w:p>
            <w:pPr>
              <w:jc w:val="center"/>
              <w:rPr>
                <w:iCs/>
                <w:color w:val="auto"/>
                <w:sz w:val="21"/>
                <w:szCs w:val="22"/>
              </w:rPr>
            </w:pPr>
            <w:r>
              <w:rPr>
                <w:rFonts w:hint="eastAsia"/>
                <w:iCs/>
                <w:color w:val="auto"/>
                <w:sz w:val="21"/>
                <w:szCs w:val="22"/>
              </w:rPr>
              <w:t>8</w:t>
            </w:r>
          </w:p>
        </w:tc>
        <w:tc>
          <w:tcPr>
            <w:tcW w:w="2184" w:type="dxa"/>
            <w:vAlign w:val="center"/>
          </w:tcPr>
          <w:p>
            <w:pPr>
              <w:jc w:val="center"/>
              <w:rPr>
                <w:iCs/>
                <w:color w:val="auto"/>
                <w:sz w:val="21"/>
                <w:szCs w:val="22"/>
              </w:rPr>
            </w:pPr>
            <w:r>
              <w:rPr>
                <w:rFonts w:hint="eastAsia"/>
                <w:iCs/>
                <w:color w:val="auto"/>
                <w:sz w:val="21"/>
                <w:szCs w:val="22"/>
              </w:rPr>
              <w:t>铜</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1.0</w:t>
            </w:r>
          </w:p>
        </w:tc>
        <w:tc>
          <w:tcPr>
            <w:tcW w:w="2275" w:type="dxa"/>
            <w:vAlign w:val="center"/>
          </w:tcPr>
          <w:p>
            <w:pPr>
              <w:jc w:val="center"/>
              <w:rPr>
                <w:iCs/>
                <w:color w:val="auto"/>
                <w:sz w:val="21"/>
                <w:szCs w:val="22"/>
              </w:rPr>
            </w:pPr>
            <w:r>
              <w:rPr>
                <w:rFonts w:hint="eastAsia"/>
                <w:iCs/>
                <w:color w:val="auto"/>
                <w:sz w:val="21"/>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1" w:hRule="atLeast"/>
          <w:jc w:val="center"/>
        </w:trPr>
        <w:tc>
          <w:tcPr>
            <w:tcW w:w="1287" w:type="dxa"/>
            <w:vAlign w:val="center"/>
          </w:tcPr>
          <w:p>
            <w:pPr>
              <w:jc w:val="center"/>
              <w:rPr>
                <w:iCs/>
                <w:color w:val="auto"/>
                <w:sz w:val="21"/>
                <w:szCs w:val="22"/>
              </w:rPr>
            </w:pPr>
            <w:r>
              <w:rPr>
                <w:rFonts w:hint="eastAsia"/>
                <w:iCs/>
                <w:color w:val="auto"/>
                <w:sz w:val="21"/>
                <w:szCs w:val="22"/>
              </w:rPr>
              <w:t>9</w:t>
            </w:r>
          </w:p>
        </w:tc>
        <w:tc>
          <w:tcPr>
            <w:tcW w:w="2184" w:type="dxa"/>
            <w:vAlign w:val="center"/>
          </w:tcPr>
          <w:p>
            <w:pPr>
              <w:jc w:val="center"/>
              <w:rPr>
                <w:iCs/>
                <w:color w:val="auto"/>
                <w:sz w:val="21"/>
                <w:szCs w:val="22"/>
              </w:rPr>
            </w:pPr>
            <w:r>
              <w:rPr>
                <w:rFonts w:hint="eastAsia"/>
                <w:iCs/>
                <w:color w:val="auto"/>
                <w:sz w:val="21"/>
                <w:szCs w:val="22"/>
              </w:rPr>
              <w:t>锌</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1.0</w:t>
            </w:r>
          </w:p>
        </w:tc>
        <w:tc>
          <w:tcPr>
            <w:tcW w:w="2275" w:type="dxa"/>
            <w:vAlign w:val="center"/>
          </w:tcPr>
          <w:p>
            <w:pPr>
              <w:jc w:val="center"/>
              <w:rPr>
                <w:iCs/>
                <w:color w:val="auto"/>
                <w:sz w:val="21"/>
                <w:szCs w:val="22"/>
              </w:rPr>
            </w:pPr>
            <w:r>
              <w:rPr>
                <w:rFonts w:hint="eastAsia"/>
                <w:iCs/>
                <w:color w:val="auto"/>
                <w:sz w:val="21"/>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1" w:hRule="atLeast"/>
          <w:jc w:val="center"/>
        </w:trPr>
        <w:tc>
          <w:tcPr>
            <w:tcW w:w="1287" w:type="dxa"/>
            <w:vAlign w:val="center"/>
          </w:tcPr>
          <w:p>
            <w:pPr>
              <w:jc w:val="center"/>
              <w:rPr>
                <w:iCs/>
                <w:color w:val="auto"/>
                <w:sz w:val="21"/>
                <w:szCs w:val="22"/>
              </w:rPr>
            </w:pPr>
            <w:r>
              <w:rPr>
                <w:rFonts w:hint="eastAsia"/>
                <w:iCs/>
                <w:color w:val="auto"/>
                <w:sz w:val="21"/>
                <w:szCs w:val="22"/>
              </w:rPr>
              <w:t>10</w:t>
            </w:r>
          </w:p>
        </w:tc>
        <w:tc>
          <w:tcPr>
            <w:tcW w:w="2184" w:type="dxa"/>
            <w:vAlign w:val="center"/>
          </w:tcPr>
          <w:p>
            <w:pPr>
              <w:jc w:val="center"/>
              <w:rPr>
                <w:iCs/>
                <w:color w:val="auto"/>
                <w:sz w:val="21"/>
                <w:szCs w:val="22"/>
              </w:rPr>
            </w:pPr>
            <w:r>
              <w:rPr>
                <w:rFonts w:hint="eastAsia"/>
                <w:iCs/>
                <w:color w:val="auto"/>
                <w:sz w:val="21"/>
                <w:szCs w:val="22"/>
              </w:rPr>
              <w:t>铬（六价）</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0.05</w:t>
            </w:r>
          </w:p>
        </w:tc>
        <w:tc>
          <w:tcPr>
            <w:tcW w:w="2275" w:type="dxa"/>
            <w:vAlign w:val="center"/>
          </w:tcPr>
          <w:p>
            <w:pPr>
              <w:jc w:val="center"/>
              <w:rPr>
                <w:iCs/>
                <w:color w:val="auto"/>
                <w:sz w:val="21"/>
                <w:szCs w:val="22"/>
              </w:rPr>
            </w:pPr>
            <w:r>
              <w:rPr>
                <w:rFonts w:hint="eastAsia"/>
                <w:iCs/>
                <w:color w:val="auto"/>
                <w:sz w:val="21"/>
                <w:szCs w:val="22"/>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11</w:t>
            </w:r>
          </w:p>
        </w:tc>
        <w:tc>
          <w:tcPr>
            <w:tcW w:w="2184" w:type="dxa"/>
            <w:vAlign w:val="center"/>
          </w:tcPr>
          <w:p>
            <w:pPr>
              <w:jc w:val="center"/>
              <w:rPr>
                <w:iCs/>
                <w:color w:val="auto"/>
                <w:sz w:val="21"/>
                <w:szCs w:val="22"/>
              </w:rPr>
            </w:pPr>
            <w:r>
              <w:rPr>
                <w:rFonts w:hint="eastAsia"/>
                <w:iCs/>
                <w:color w:val="auto"/>
                <w:sz w:val="21"/>
                <w:szCs w:val="22"/>
              </w:rPr>
              <w:t>挥发酚</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0.002</w:t>
            </w:r>
          </w:p>
        </w:tc>
        <w:tc>
          <w:tcPr>
            <w:tcW w:w="2275" w:type="dxa"/>
            <w:vAlign w:val="center"/>
          </w:tcPr>
          <w:p>
            <w:pPr>
              <w:jc w:val="center"/>
              <w:rPr>
                <w:iCs/>
                <w:color w:val="auto"/>
                <w:sz w:val="21"/>
                <w:szCs w:val="22"/>
              </w:rPr>
            </w:pPr>
            <w:r>
              <w:rPr>
                <w:rFonts w:hint="eastAsia"/>
                <w:iCs/>
                <w:color w:val="auto"/>
                <w:sz w:val="21"/>
                <w:szCs w:val="22"/>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12</w:t>
            </w:r>
          </w:p>
        </w:tc>
        <w:tc>
          <w:tcPr>
            <w:tcW w:w="2184" w:type="dxa"/>
            <w:vAlign w:val="center"/>
          </w:tcPr>
          <w:p>
            <w:pPr>
              <w:jc w:val="center"/>
              <w:rPr>
                <w:iCs/>
                <w:color w:val="auto"/>
                <w:sz w:val="21"/>
                <w:szCs w:val="22"/>
              </w:rPr>
            </w:pPr>
            <w:r>
              <w:rPr>
                <w:rFonts w:hint="eastAsia"/>
                <w:iCs/>
                <w:color w:val="auto"/>
                <w:sz w:val="21"/>
                <w:szCs w:val="22"/>
              </w:rPr>
              <w:t>石油类</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0.05</w:t>
            </w:r>
          </w:p>
        </w:tc>
        <w:tc>
          <w:tcPr>
            <w:tcW w:w="2275" w:type="dxa"/>
            <w:vAlign w:val="center"/>
          </w:tcPr>
          <w:p>
            <w:pPr>
              <w:jc w:val="center"/>
              <w:rPr>
                <w:iCs/>
                <w:color w:val="auto"/>
                <w:sz w:val="21"/>
                <w:szCs w:val="22"/>
              </w:rPr>
            </w:pPr>
            <w:r>
              <w:rPr>
                <w:rFonts w:hint="eastAsia"/>
                <w:iCs/>
                <w:color w:val="auto"/>
                <w:sz w:val="21"/>
                <w:szCs w:val="22"/>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13</w:t>
            </w:r>
          </w:p>
        </w:tc>
        <w:tc>
          <w:tcPr>
            <w:tcW w:w="2184" w:type="dxa"/>
            <w:vAlign w:val="center"/>
          </w:tcPr>
          <w:p>
            <w:pPr>
              <w:jc w:val="center"/>
              <w:rPr>
                <w:iCs/>
                <w:color w:val="auto"/>
                <w:sz w:val="21"/>
                <w:szCs w:val="22"/>
              </w:rPr>
            </w:pPr>
            <w:r>
              <w:rPr>
                <w:rFonts w:hint="eastAsia"/>
                <w:iCs/>
                <w:color w:val="auto"/>
                <w:sz w:val="21"/>
                <w:szCs w:val="22"/>
              </w:rPr>
              <w:t>阴离子表面活性剂</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0.2</w:t>
            </w:r>
          </w:p>
        </w:tc>
        <w:tc>
          <w:tcPr>
            <w:tcW w:w="2275" w:type="dxa"/>
            <w:vAlign w:val="center"/>
          </w:tcPr>
          <w:p>
            <w:pPr>
              <w:jc w:val="center"/>
              <w:rPr>
                <w:iCs/>
                <w:color w:val="auto"/>
                <w:sz w:val="21"/>
                <w:szCs w:val="22"/>
              </w:rPr>
            </w:pPr>
            <w:r>
              <w:rPr>
                <w:rFonts w:hint="eastAsia"/>
                <w:iCs/>
                <w:color w:val="auto"/>
                <w:sz w:val="21"/>
                <w:szCs w:val="22"/>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14</w:t>
            </w:r>
          </w:p>
        </w:tc>
        <w:tc>
          <w:tcPr>
            <w:tcW w:w="2184" w:type="dxa"/>
            <w:vAlign w:val="center"/>
          </w:tcPr>
          <w:p>
            <w:pPr>
              <w:jc w:val="center"/>
              <w:rPr>
                <w:iCs/>
                <w:color w:val="auto"/>
                <w:sz w:val="21"/>
                <w:szCs w:val="22"/>
              </w:rPr>
            </w:pPr>
            <w:r>
              <w:rPr>
                <w:rFonts w:hint="eastAsia"/>
                <w:iCs/>
                <w:color w:val="auto"/>
                <w:sz w:val="21"/>
                <w:szCs w:val="22"/>
              </w:rPr>
              <w:t>硫化物</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0.1</w:t>
            </w:r>
          </w:p>
        </w:tc>
        <w:tc>
          <w:tcPr>
            <w:tcW w:w="2275" w:type="dxa"/>
            <w:vAlign w:val="center"/>
          </w:tcPr>
          <w:p>
            <w:pPr>
              <w:jc w:val="center"/>
              <w:rPr>
                <w:iCs/>
                <w:color w:val="auto"/>
                <w:sz w:val="21"/>
                <w:szCs w:val="22"/>
              </w:rPr>
            </w:pPr>
            <w:r>
              <w:rPr>
                <w:rFonts w:hint="eastAsia"/>
                <w:iCs/>
                <w:color w:val="auto"/>
                <w:sz w:val="21"/>
                <w:szCs w:val="22"/>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6" w:hRule="atLeast"/>
          <w:jc w:val="center"/>
        </w:trPr>
        <w:tc>
          <w:tcPr>
            <w:tcW w:w="1287" w:type="dxa"/>
            <w:vAlign w:val="center"/>
          </w:tcPr>
          <w:p>
            <w:pPr>
              <w:jc w:val="center"/>
              <w:rPr>
                <w:iCs/>
                <w:color w:val="auto"/>
                <w:sz w:val="21"/>
                <w:szCs w:val="22"/>
              </w:rPr>
            </w:pPr>
            <w:r>
              <w:rPr>
                <w:rFonts w:hint="eastAsia"/>
                <w:iCs/>
                <w:color w:val="auto"/>
                <w:sz w:val="21"/>
                <w:szCs w:val="22"/>
              </w:rPr>
              <w:t>15</w:t>
            </w:r>
          </w:p>
        </w:tc>
        <w:tc>
          <w:tcPr>
            <w:tcW w:w="2184" w:type="dxa"/>
            <w:vAlign w:val="center"/>
          </w:tcPr>
          <w:p>
            <w:pPr>
              <w:jc w:val="center"/>
              <w:rPr>
                <w:iCs/>
                <w:color w:val="auto"/>
                <w:sz w:val="21"/>
                <w:szCs w:val="22"/>
              </w:rPr>
            </w:pPr>
            <w:r>
              <w:rPr>
                <w:rFonts w:hint="eastAsia"/>
                <w:iCs/>
                <w:color w:val="auto"/>
                <w:sz w:val="21"/>
                <w:szCs w:val="22"/>
              </w:rPr>
              <w:t>粪大肠菌群</w:t>
            </w:r>
            <w:r>
              <w:rPr>
                <w:iCs/>
                <w:color w:val="auto"/>
                <w:sz w:val="21"/>
                <w:szCs w:val="22"/>
              </w:rPr>
              <w:t>≤</w:t>
            </w:r>
          </w:p>
        </w:tc>
        <w:tc>
          <w:tcPr>
            <w:tcW w:w="2483" w:type="dxa"/>
            <w:vAlign w:val="center"/>
          </w:tcPr>
          <w:p>
            <w:pPr>
              <w:jc w:val="center"/>
              <w:rPr>
                <w:iCs/>
                <w:color w:val="auto"/>
                <w:sz w:val="21"/>
                <w:szCs w:val="22"/>
              </w:rPr>
            </w:pPr>
            <w:r>
              <w:rPr>
                <w:rFonts w:hint="eastAsia"/>
                <w:iCs/>
                <w:color w:val="auto"/>
                <w:sz w:val="21"/>
                <w:szCs w:val="22"/>
              </w:rPr>
              <w:t>2000个/L</w:t>
            </w:r>
          </w:p>
        </w:tc>
        <w:tc>
          <w:tcPr>
            <w:tcW w:w="2275" w:type="dxa"/>
            <w:vAlign w:val="center"/>
          </w:tcPr>
          <w:p>
            <w:pPr>
              <w:jc w:val="center"/>
              <w:rPr>
                <w:iCs/>
                <w:color w:val="auto"/>
                <w:sz w:val="21"/>
                <w:szCs w:val="22"/>
              </w:rPr>
            </w:pPr>
            <w:r>
              <w:rPr>
                <w:iCs/>
                <w:color w:val="auto"/>
                <w:sz w:val="21"/>
                <w:szCs w:val="22"/>
              </w:rPr>
              <w:t>10000</w:t>
            </w:r>
            <w:r>
              <w:rPr>
                <w:rFonts w:hint="eastAsia"/>
                <w:iCs/>
                <w:color w:val="auto"/>
                <w:sz w:val="21"/>
                <w:szCs w:val="22"/>
              </w:rPr>
              <w:t>个/L</w:t>
            </w:r>
          </w:p>
        </w:tc>
      </w:tr>
    </w:tbl>
    <w:p>
      <w:pPr>
        <w:spacing w:line="360" w:lineRule="auto"/>
        <w:ind w:firstLine="482" w:firstLineChars="200"/>
        <w:jc w:val="left"/>
        <w:rPr>
          <w:b/>
          <w:color w:val="auto"/>
          <w:sz w:val="24"/>
          <w:szCs w:val="24"/>
        </w:rPr>
      </w:pPr>
      <w:r>
        <w:rPr>
          <w:rFonts w:hint="eastAsia"/>
          <w:b/>
          <w:color w:val="auto"/>
          <w:sz w:val="24"/>
          <w:szCs w:val="24"/>
        </w:rPr>
        <w:t>2、</w:t>
      </w:r>
      <w:r>
        <w:rPr>
          <w:b/>
          <w:color w:val="auto"/>
          <w:sz w:val="24"/>
          <w:szCs w:val="24"/>
        </w:rPr>
        <w:t>环境空气质量标准</w:t>
      </w:r>
    </w:p>
    <w:p>
      <w:pPr>
        <w:spacing w:line="360" w:lineRule="auto"/>
        <w:ind w:firstLine="480" w:firstLineChars="200"/>
        <w:rPr>
          <w:color w:val="auto"/>
          <w:sz w:val="24"/>
          <w:szCs w:val="24"/>
        </w:rPr>
      </w:pPr>
      <w:r>
        <w:rPr>
          <w:color w:val="auto"/>
          <w:sz w:val="24"/>
          <w:szCs w:val="24"/>
        </w:rPr>
        <w:t>SO</w:t>
      </w:r>
      <w:r>
        <w:rPr>
          <w:color w:val="auto"/>
          <w:sz w:val="24"/>
          <w:szCs w:val="24"/>
          <w:vertAlign w:val="subscript"/>
        </w:rPr>
        <w:t>2</w:t>
      </w:r>
      <w:r>
        <w:rPr>
          <w:color w:val="auto"/>
          <w:sz w:val="24"/>
          <w:szCs w:val="24"/>
        </w:rPr>
        <w:t>、NO</w:t>
      </w:r>
      <w:r>
        <w:rPr>
          <w:color w:val="auto"/>
          <w:sz w:val="24"/>
          <w:szCs w:val="24"/>
          <w:vertAlign w:val="subscript"/>
        </w:rPr>
        <w:t>2</w:t>
      </w:r>
      <w:r>
        <w:rPr>
          <w:color w:val="auto"/>
          <w:sz w:val="24"/>
          <w:szCs w:val="24"/>
        </w:rPr>
        <w:t>、PM</w:t>
      </w:r>
      <w:r>
        <w:rPr>
          <w:color w:val="auto"/>
          <w:sz w:val="24"/>
          <w:szCs w:val="24"/>
          <w:vertAlign w:val="subscript"/>
        </w:rPr>
        <w:t>10</w:t>
      </w:r>
      <w:r>
        <w:rPr>
          <w:color w:val="auto"/>
          <w:sz w:val="24"/>
          <w:szCs w:val="24"/>
        </w:rPr>
        <w:t>、PM</w:t>
      </w:r>
      <w:r>
        <w:rPr>
          <w:color w:val="auto"/>
          <w:sz w:val="24"/>
          <w:szCs w:val="24"/>
          <w:vertAlign w:val="subscript"/>
        </w:rPr>
        <w:t>2.5</w:t>
      </w:r>
      <w:r>
        <w:rPr>
          <w:color w:val="auto"/>
          <w:sz w:val="24"/>
          <w:szCs w:val="24"/>
        </w:rPr>
        <w:t>、CO、O</w:t>
      </w:r>
      <w:r>
        <w:rPr>
          <w:color w:val="auto"/>
          <w:sz w:val="24"/>
          <w:szCs w:val="24"/>
          <w:vertAlign w:val="subscript"/>
        </w:rPr>
        <w:t>3</w:t>
      </w:r>
      <w:r>
        <w:rPr>
          <w:color w:val="auto"/>
          <w:sz w:val="24"/>
          <w:szCs w:val="24"/>
        </w:rPr>
        <w:t>执行</w:t>
      </w:r>
      <w:r>
        <w:rPr>
          <w:rFonts w:hint="eastAsia"/>
          <w:color w:val="auto"/>
          <w:sz w:val="24"/>
          <w:szCs w:val="24"/>
        </w:rPr>
        <w:t>《环境空气质量标准》（GB3095-2012）及2018年修改单中</w:t>
      </w:r>
      <w:r>
        <w:rPr>
          <w:color w:val="auto"/>
          <w:sz w:val="24"/>
          <w:szCs w:val="24"/>
        </w:rPr>
        <w:t>的二级标准</w:t>
      </w:r>
      <w:r>
        <w:rPr>
          <w:rFonts w:hint="eastAsia"/>
          <w:color w:val="auto"/>
          <w:sz w:val="24"/>
          <w:szCs w:val="24"/>
        </w:rPr>
        <w:t>。</w:t>
      </w:r>
      <w:r>
        <w:rPr>
          <w:color w:val="auto"/>
          <w:sz w:val="24"/>
          <w:szCs w:val="24"/>
        </w:rPr>
        <w:t>氨和硫化氢参照《环境影响评价技术导则 大气环境（HJ2.2－2018）》的附录D执行</w:t>
      </w:r>
      <w:r>
        <w:rPr>
          <w:rFonts w:hint="eastAsia"/>
          <w:color w:val="auto"/>
          <w:sz w:val="24"/>
          <w:szCs w:val="24"/>
        </w:rPr>
        <w:t>。臭气浓度参照执行《恶臭污染物排放标准》（GB 14554-93）中表1二级新改扩建项目排放标准限值</w:t>
      </w:r>
      <w:r>
        <w:rPr>
          <w:color w:val="auto"/>
          <w:sz w:val="24"/>
          <w:szCs w:val="24"/>
        </w:rPr>
        <w:t>。具体见</w:t>
      </w:r>
      <w:r>
        <w:rPr>
          <w:rFonts w:hint="eastAsia"/>
          <w:color w:val="auto"/>
          <w:sz w:val="24"/>
          <w:szCs w:val="24"/>
        </w:rPr>
        <w:t>下表。</w:t>
      </w:r>
    </w:p>
    <w:p>
      <w:pPr>
        <w:spacing w:line="360" w:lineRule="auto"/>
        <w:jc w:val="center"/>
        <w:rPr>
          <w:b/>
          <w:color w:val="auto"/>
          <w:sz w:val="24"/>
          <w:szCs w:val="24"/>
        </w:rPr>
      </w:pPr>
      <w:r>
        <w:rPr>
          <w:rFonts w:hint="eastAsia"/>
          <w:b/>
          <w:color w:val="auto"/>
          <w:sz w:val="24"/>
          <w:szCs w:val="24"/>
        </w:rPr>
        <w:t xml:space="preserve">表2-6-2   </w:t>
      </w:r>
      <w:r>
        <w:rPr>
          <w:b/>
          <w:color w:val="auto"/>
          <w:sz w:val="24"/>
          <w:szCs w:val="24"/>
        </w:rPr>
        <w:t>环境空气质量标准</w:t>
      </w:r>
    </w:p>
    <w:tbl>
      <w:tblPr>
        <w:tblStyle w:val="28"/>
        <w:tblW w:w="9286"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057"/>
        <w:gridCol w:w="1276"/>
        <w:gridCol w:w="2126"/>
        <w:gridCol w:w="993"/>
        <w:gridCol w:w="3834"/>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34" w:hRule="atLeast"/>
          <w:jc w:val="center"/>
        </w:trPr>
        <w:tc>
          <w:tcPr>
            <w:tcW w:w="1057" w:type="dxa"/>
            <w:vMerge w:val="restart"/>
            <w:vAlign w:val="center"/>
          </w:tcPr>
          <w:p>
            <w:pPr>
              <w:jc w:val="center"/>
              <w:rPr>
                <w:b/>
                <w:color w:val="auto"/>
                <w:sz w:val="21"/>
                <w:szCs w:val="21"/>
              </w:rPr>
            </w:pPr>
            <w:r>
              <w:rPr>
                <w:b/>
                <w:color w:val="auto"/>
                <w:sz w:val="21"/>
                <w:szCs w:val="21"/>
              </w:rPr>
              <w:t>污染物</w:t>
            </w:r>
          </w:p>
        </w:tc>
        <w:tc>
          <w:tcPr>
            <w:tcW w:w="4395" w:type="dxa"/>
            <w:gridSpan w:val="3"/>
            <w:vAlign w:val="center"/>
          </w:tcPr>
          <w:p>
            <w:pPr>
              <w:jc w:val="center"/>
              <w:rPr>
                <w:b/>
                <w:color w:val="auto"/>
                <w:sz w:val="21"/>
                <w:szCs w:val="21"/>
              </w:rPr>
            </w:pPr>
            <w:r>
              <w:rPr>
                <w:b/>
                <w:color w:val="auto"/>
                <w:sz w:val="21"/>
                <w:szCs w:val="21"/>
              </w:rPr>
              <w:t>各项污染物的浓度限值</w:t>
            </w:r>
          </w:p>
        </w:tc>
        <w:tc>
          <w:tcPr>
            <w:tcW w:w="3834" w:type="dxa"/>
            <w:vMerge w:val="restart"/>
            <w:vAlign w:val="center"/>
          </w:tcPr>
          <w:p>
            <w:pPr>
              <w:jc w:val="center"/>
              <w:rPr>
                <w:b/>
                <w:color w:val="auto"/>
                <w:sz w:val="21"/>
                <w:szCs w:val="21"/>
              </w:rPr>
            </w:pPr>
            <w:r>
              <w:rPr>
                <w:rFonts w:hint="eastAsia"/>
                <w:b/>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178" w:hRule="atLeast"/>
          <w:jc w:val="center"/>
        </w:trPr>
        <w:tc>
          <w:tcPr>
            <w:tcW w:w="1057" w:type="dxa"/>
            <w:vMerge w:val="continue"/>
            <w:vAlign w:val="center"/>
          </w:tcPr>
          <w:p>
            <w:pPr>
              <w:widowControl/>
              <w:jc w:val="center"/>
              <w:rPr>
                <w:b/>
                <w:color w:val="auto"/>
                <w:sz w:val="21"/>
                <w:szCs w:val="21"/>
              </w:rPr>
            </w:pPr>
          </w:p>
        </w:tc>
        <w:tc>
          <w:tcPr>
            <w:tcW w:w="1276" w:type="dxa"/>
            <w:vAlign w:val="center"/>
          </w:tcPr>
          <w:p>
            <w:pPr>
              <w:jc w:val="center"/>
              <w:rPr>
                <w:b/>
                <w:color w:val="auto"/>
                <w:sz w:val="21"/>
                <w:szCs w:val="21"/>
              </w:rPr>
            </w:pPr>
            <w:r>
              <w:rPr>
                <w:b/>
                <w:color w:val="auto"/>
                <w:sz w:val="21"/>
                <w:szCs w:val="21"/>
              </w:rPr>
              <w:t>1小时平均</w:t>
            </w:r>
          </w:p>
        </w:tc>
        <w:tc>
          <w:tcPr>
            <w:tcW w:w="2126" w:type="dxa"/>
            <w:vAlign w:val="center"/>
          </w:tcPr>
          <w:p>
            <w:pPr>
              <w:jc w:val="center"/>
              <w:rPr>
                <w:b/>
                <w:color w:val="auto"/>
                <w:sz w:val="21"/>
                <w:szCs w:val="21"/>
              </w:rPr>
            </w:pPr>
            <w:r>
              <w:rPr>
                <w:b/>
                <w:color w:val="auto"/>
                <w:sz w:val="21"/>
                <w:szCs w:val="21"/>
              </w:rPr>
              <w:t>日平均</w:t>
            </w:r>
          </w:p>
        </w:tc>
        <w:tc>
          <w:tcPr>
            <w:tcW w:w="993" w:type="dxa"/>
            <w:vAlign w:val="center"/>
          </w:tcPr>
          <w:p>
            <w:pPr>
              <w:jc w:val="center"/>
              <w:rPr>
                <w:b/>
                <w:color w:val="auto"/>
                <w:sz w:val="21"/>
                <w:szCs w:val="21"/>
              </w:rPr>
            </w:pPr>
            <w:r>
              <w:rPr>
                <w:b/>
                <w:color w:val="auto"/>
                <w:sz w:val="21"/>
                <w:szCs w:val="21"/>
              </w:rPr>
              <w:t>年平均</w:t>
            </w:r>
          </w:p>
        </w:tc>
        <w:tc>
          <w:tcPr>
            <w:tcW w:w="3834"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54" w:hRule="atLeast"/>
          <w:jc w:val="center"/>
        </w:trPr>
        <w:tc>
          <w:tcPr>
            <w:tcW w:w="1057" w:type="dxa"/>
            <w:vAlign w:val="center"/>
          </w:tcPr>
          <w:p>
            <w:pPr>
              <w:jc w:val="center"/>
              <w:rPr>
                <w:color w:val="auto"/>
                <w:sz w:val="21"/>
                <w:szCs w:val="21"/>
                <w:vertAlign w:val="subscript"/>
              </w:rPr>
            </w:pPr>
            <w:r>
              <w:rPr>
                <w:color w:val="auto"/>
                <w:sz w:val="21"/>
                <w:szCs w:val="21"/>
              </w:rPr>
              <w:t>SO</w:t>
            </w:r>
            <w:r>
              <w:rPr>
                <w:color w:val="auto"/>
                <w:sz w:val="21"/>
                <w:szCs w:val="21"/>
                <w:vertAlign w:val="subscript"/>
              </w:rPr>
              <w:t>2</w:t>
            </w:r>
          </w:p>
        </w:tc>
        <w:tc>
          <w:tcPr>
            <w:tcW w:w="1276" w:type="dxa"/>
            <w:vAlign w:val="center"/>
          </w:tcPr>
          <w:p>
            <w:pPr>
              <w:jc w:val="center"/>
              <w:rPr>
                <w:color w:val="auto"/>
                <w:sz w:val="21"/>
                <w:szCs w:val="21"/>
              </w:rPr>
            </w:pPr>
            <w:r>
              <w:rPr>
                <w:color w:val="auto"/>
                <w:sz w:val="21"/>
                <w:szCs w:val="21"/>
              </w:rPr>
              <w:t>500μg/m</w:t>
            </w:r>
            <w:r>
              <w:rPr>
                <w:color w:val="auto"/>
                <w:sz w:val="21"/>
                <w:szCs w:val="21"/>
                <w:vertAlign w:val="superscript"/>
              </w:rPr>
              <w:t>3</w:t>
            </w:r>
          </w:p>
        </w:tc>
        <w:tc>
          <w:tcPr>
            <w:tcW w:w="2126" w:type="dxa"/>
            <w:vAlign w:val="center"/>
          </w:tcPr>
          <w:p>
            <w:pPr>
              <w:jc w:val="center"/>
              <w:rPr>
                <w:color w:val="auto"/>
                <w:sz w:val="21"/>
                <w:szCs w:val="21"/>
              </w:rPr>
            </w:pPr>
            <w:r>
              <w:rPr>
                <w:color w:val="auto"/>
                <w:sz w:val="21"/>
                <w:szCs w:val="21"/>
              </w:rPr>
              <w:t>150μg/m</w:t>
            </w:r>
            <w:r>
              <w:rPr>
                <w:color w:val="auto"/>
                <w:sz w:val="21"/>
                <w:szCs w:val="21"/>
                <w:vertAlign w:val="superscript"/>
              </w:rPr>
              <w:t>3</w:t>
            </w:r>
          </w:p>
        </w:tc>
        <w:tc>
          <w:tcPr>
            <w:tcW w:w="993" w:type="dxa"/>
            <w:vAlign w:val="center"/>
          </w:tcPr>
          <w:p>
            <w:pPr>
              <w:jc w:val="center"/>
              <w:rPr>
                <w:color w:val="auto"/>
                <w:sz w:val="21"/>
                <w:szCs w:val="21"/>
              </w:rPr>
            </w:pPr>
            <w:r>
              <w:rPr>
                <w:color w:val="auto"/>
                <w:sz w:val="21"/>
                <w:szCs w:val="21"/>
              </w:rPr>
              <w:t>60μg/m</w:t>
            </w:r>
            <w:r>
              <w:rPr>
                <w:color w:val="auto"/>
                <w:sz w:val="21"/>
                <w:szCs w:val="21"/>
                <w:vertAlign w:val="superscript"/>
              </w:rPr>
              <w:t>3</w:t>
            </w:r>
          </w:p>
        </w:tc>
        <w:tc>
          <w:tcPr>
            <w:tcW w:w="3834" w:type="dxa"/>
            <w:vMerge w:val="restart"/>
            <w:vAlign w:val="center"/>
          </w:tcPr>
          <w:p>
            <w:pPr>
              <w:jc w:val="center"/>
              <w:rPr>
                <w:color w:val="auto"/>
                <w:sz w:val="21"/>
                <w:szCs w:val="21"/>
              </w:rPr>
            </w:pPr>
            <w:r>
              <w:rPr>
                <w:iCs/>
                <w:color w:val="auto"/>
                <w:sz w:val="21"/>
                <w:szCs w:val="21"/>
              </w:rPr>
              <w:t>《环境空气质量标准》（GB3095-2012）</w:t>
            </w:r>
            <w:r>
              <w:rPr>
                <w:rFonts w:hint="eastAsia"/>
                <w:iCs/>
                <w:color w:val="auto"/>
                <w:sz w:val="21"/>
                <w:szCs w:val="21"/>
              </w:rPr>
              <w:t>二级标准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44" w:hRule="atLeast"/>
          <w:jc w:val="center"/>
        </w:trPr>
        <w:tc>
          <w:tcPr>
            <w:tcW w:w="1057" w:type="dxa"/>
            <w:vAlign w:val="center"/>
          </w:tcPr>
          <w:p>
            <w:pPr>
              <w:jc w:val="center"/>
              <w:rPr>
                <w:color w:val="auto"/>
                <w:sz w:val="21"/>
                <w:szCs w:val="21"/>
                <w:vertAlign w:val="subscript"/>
              </w:rPr>
            </w:pPr>
            <w:r>
              <w:rPr>
                <w:color w:val="auto"/>
                <w:sz w:val="21"/>
                <w:szCs w:val="21"/>
              </w:rPr>
              <w:t>NO</w:t>
            </w:r>
            <w:r>
              <w:rPr>
                <w:color w:val="auto"/>
                <w:sz w:val="21"/>
                <w:szCs w:val="21"/>
                <w:vertAlign w:val="subscript"/>
              </w:rPr>
              <w:t>2</w:t>
            </w:r>
          </w:p>
        </w:tc>
        <w:tc>
          <w:tcPr>
            <w:tcW w:w="1276" w:type="dxa"/>
            <w:vAlign w:val="center"/>
          </w:tcPr>
          <w:p>
            <w:pPr>
              <w:jc w:val="center"/>
              <w:rPr>
                <w:color w:val="auto"/>
                <w:sz w:val="21"/>
                <w:szCs w:val="21"/>
              </w:rPr>
            </w:pPr>
            <w:r>
              <w:rPr>
                <w:color w:val="auto"/>
                <w:sz w:val="21"/>
                <w:szCs w:val="21"/>
              </w:rPr>
              <w:t>200μg/m</w:t>
            </w:r>
            <w:r>
              <w:rPr>
                <w:color w:val="auto"/>
                <w:sz w:val="21"/>
                <w:szCs w:val="21"/>
                <w:vertAlign w:val="superscript"/>
              </w:rPr>
              <w:t>3</w:t>
            </w:r>
          </w:p>
        </w:tc>
        <w:tc>
          <w:tcPr>
            <w:tcW w:w="2126" w:type="dxa"/>
            <w:vAlign w:val="center"/>
          </w:tcPr>
          <w:p>
            <w:pPr>
              <w:jc w:val="center"/>
              <w:rPr>
                <w:color w:val="auto"/>
                <w:sz w:val="21"/>
                <w:szCs w:val="21"/>
              </w:rPr>
            </w:pPr>
            <w:r>
              <w:rPr>
                <w:color w:val="auto"/>
                <w:sz w:val="21"/>
                <w:szCs w:val="21"/>
              </w:rPr>
              <w:t>80μg/m</w:t>
            </w:r>
            <w:r>
              <w:rPr>
                <w:color w:val="auto"/>
                <w:sz w:val="21"/>
                <w:szCs w:val="21"/>
                <w:vertAlign w:val="superscript"/>
              </w:rPr>
              <w:t>3</w:t>
            </w:r>
          </w:p>
        </w:tc>
        <w:tc>
          <w:tcPr>
            <w:tcW w:w="993" w:type="dxa"/>
            <w:vAlign w:val="center"/>
          </w:tcPr>
          <w:p>
            <w:pPr>
              <w:jc w:val="center"/>
              <w:rPr>
                <w:color w:val="auto"/>
                <w:sz w:val="21"/>
                <w:szCs w:val="21"/>
              </w:rPr>
            </w:pPr>
            <w:r>
              <w:rPr>
                <w:color w:val="auto"/>
                <w:sz w:val="21"/>
                <w:szCs w:val="21"/>
              </w:rPr>
              <w:t>40μg/m</w:t>
            </w:r>
            <w:r>
              <w:rPr>
                <w:color w:val="auto"/>
                <w:sz w:val="21"/>
                <w:szCs w:val="21"/>
                <w:vertAlign w:val="superscript"/>
              </w:rPr>
              <w:t>3</w:t>
            </w:r>
          </w:p>
        </w:tc>
        <w:tc>
          <w:tcPr>
            <w:tcW w:w="3834"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54" w:hRule="atLeast"/>
          <w:jc w:val="center"/>
        </w:trPr>
        <w:tc>
          <w:tcPr>
            <w:tcW w:w="1057" w:type="dxa"/>
            <w:vAlign w:val="center"/>
          </w:tcPr>
          <w:p>
            <w:pPr>
              <w:jc w:val="center"/>
              <w:rPr>
                <w:color w:val="auto"/>
                <w:sz w:val="21"/>
                <w:szCs w:val="21"/>
              </w:rPr>
            </w:pPr>
            <w:r>
              <w:rPr>
                <w:color w:val="auto"/>
                <w:sz w:val="21"/>
                <w:szCs w:val="21"/>
              </w:rPr>
              <w:t>PM</w:t>
            </w:r>
            <w:r>
              <w:rPr>
                <w:color w:val="auto"/>
                <w:sz w:val="21"/>
                <w:szCs w:val="21"/>
                <w:vertAlign w:val="subscript"/>
              </w:rPr>
              <w:t>10</w:t>
            </w:r>
          </w:p>
        </w:tc>
        <w:tc>
          <w:tcPr>
            <w:tcW w:w="1276" w:type="dxa"/>
            <w:vAlign w:val="center"/>
          </w:tcPr>
          <w:p>
            <w:pPr>
              <w:jc w:val="center"/>
              <w:rPr>
                <w:color w:val="auto"/>
                <w:sz w:val="21"/>
                <w:szCs w:val="21"/>
              </w:rPr>
            </w:pPr>
            <w:r>
              <w:rPr>
                <w:color w:val="auto"/>
                <w:sz w:val="21"/>
                <w:szCs w:val="21"/>
              </w:rPr>
              <w:t>—</w:t>
            </w:r>
          </w:p>
        </w:tc>
        <w:tc>
          <w:tcPr>
            <w:tcW w:w="2126" w:type="dxa"/>
            <w:vAlign w:val="center"/>
          </w:tcPr>
          <w:p>
            <w:pPr>
              <w:jc w:val="center"/>
              <w:rPr>
                <w:color w:val="auto"/>
                <w:sz w:val="21"/>
                <w:szCs w:val="21"/>
              </w:rPr>
            </w:pPr>
            <w:r>
              <w:rPr>
                <w:color w:val="auto"/>
                <w:sz w:val="21"/>
                <w:szCs w:val="21"/>
              </w:rPr>
              <w:t>150μg/m</w:t>
            </w:r>
            <w:r>
              <w:rPr>
                <w:color w:val="auto"/>
                <w:sz w:val="21"/>
                <w:szCs w:val="21"/>
                <w:vertAlign w:val="superscript"/>
              </w:rPr>
              <w:t>3</w:t>
            </w:r>
          </w:p>
        </w:tc>
        <w:tc>
          <w:tcPr>
            <w:tcW w:w="993" w:type="dxa"/>
            <w:vAlign w:val="center"/>
          </w:tcPr>
          <w:p>
            <w:pPr>
              <w:jc w:val="center"/>
              <w:rPr>
                <w:color w:val="auto"/>
                <w:sz w:val="21"/>
                <w:szCs w:val="21"/>
              </w:rPr>
            </w:pPr>
            <w:r>
              <w:rPr>
                <w:color w:val="auto"/>
                <w:sz w:val="21"/>
                <w:szCs w:val="21"/>
              </w:rPr>
              <w:t>70μg/m</w:t>
            </w:r>
            <w:r>
              <w:rPr>
                <w:color w:val="auto"/>
                <w:sz w:val="21"/>
                <w:szCs w:val="21"/>
                <w:vertAlign w:val="superscript"/>
              </w:rPr>
              <w:t>3</w:t>
            </w:r>
          </w:p>
        </w:tc>
        <w:tc>
          <w:tcPr>
            <w:tcW w:w="3834"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54" w:hRule="atLeast"/>
          <w:jc w:val="center"/>
        </w:trPr>
        <w:tc>
          <w:tcPr>
            <w:tcW w:w="1057" w:type="dxa"/>
            <w:vAlign w:val="center"/>
          </w:tcPr>
          <w:p>
            <w:pPr>
              <w:jc w:val="center"/>
              <w:rPr>
                <w:color w:val="auto"/>
                <w:sz w:val="21"/>
                <w:szCs w:val="21"/>
              </w:rPr>
            </w:pPr>
            <w:r>
              <w:rPr>
                <w:color w:val="auto"/>
                <w:sz w:val="21"/>
                <w:szCs w:val="21"/>
              </w:rPr>
              <w:t>PM</w:t>
            </w:r>
            <w:r>
              <w:rPr>
                <w:color w:val="auto"/>
                <w:sz w:val="21"/>
                <w:szCs w:val="21"/>
                <w:vertAlign w:val="subscript"/>
              </w:rPr>
              <w:t>2.5</w:t>
            </w:r>
          </w:p>
        </w:tc>
        <w:tc>
          <w:tcPr>
            <w:tcW w:w="1276" w:type="dxa"/>
            <w:vAlign w:val="center"/>
          </w:tcPr>
          <w:p>
            <w:pPr>
              <w:jc w:val="center"/>
              <w:rPr>
                <w:color w:val="auto"/>
                <w:sz w:val="21"/>
                <w:szCs w:val="21"/>
              </w:rPr>
            </w:pPr>
            <w:r>
              <w:rPr>
                <w:color w:val="auto"/>
                <w:sz w:val="21"/>
                <w:szCs w:val="21"/>
              </w:rPr>
              <w:t>—</w:t>
            </w:r>
          </w:p>
        </w:tc>
        <w:tc>
          <w:tcPr>
            <w:tcW w:w="2126" w:type="dxa"/>
            <w:vAlign w:val="center"/>
          </w:tcPr>
          <w:p>
            <w:pPr>
              <w:jc w:val="center"/>
              <w:rPr>
                <w:color w:val="auto"/>
                <w:sz w:val="21"/>
                <w:szCs w:val="21"/>
              </w:rPr>
            </w:pPr>
            <w:r>
              <w:rPr>
                <w:color w:val="auto"/>
                <w:sz w:val="21"/>
                <w:szCs w:val="21"/>
              </w:rPr>
              <w:t>75μg/m</w:t>
            </w:r>
            <w:r>
              <w:rPr>
                <w:color w:val="auto"/>
                <w:sz w:val="21"/>
                <w:szCs w:val="21"/>
                <w:vertAlign w:val="superscript"/>
              </w:rPr>
              <w:t>3</w:t>
            </w:r>
          </w:p>
        </w:tc>
        <w:tc>
          <w:tcPr>
            <w:tcW w:w="993" w:type="dxa"/>
            <w:vAlign w:val="center"/>
          </w:tcPr>
          <w:p>
            <w:pPr>
              <w:jc w:val="center"/>
              <w:rPr>
                <w:color w:val="auto"/>
                <w:sz w:val="21"/>
                <w:szCs w:val="21"/>
              </w:rPr>
            </w:pPr>
            <w:r>
              <w:rPr>
                <w:color w:val="auto"/>
                <w:sz w:val="21"/>
                <w:szCs w:val="21"/>
              </w:rPr>
              <w:t>35μg/m</w:t>
            </w:r>
            <w:r>
              <w:rPr>
                <w:color w:val="auto"/>
                <w:sz w:val="21"/>
                <w:szCs w:val="21"/>
                <w:vertAlign w:val="superscript"/>
              </w:rPr>
              <w:t>3</w:t>
            </w:r>
          </w:p>
        </w:tc>
        <w:tc>
          <w:tcPr>
            <w:tcW w:w="3834"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14" w:hRule="atLeast"/>
          <w:jc w:val="center"/>
        </w:trPr>
        <w:tc>
          <w:tcPr>
            <w:tcW w:w="1057" w:type="dxa"/>
            <w:vAlign w:val="center"/>
          </w:tcPr>
          <w:p>
            <w:pPr>
              <w:jc w:val="center"/>
              <w:rPr>
                <w:color w:val="auto"/>
                <w:sz w:val="21"/>
                <w:szCs w:val="21"/>
              </w:rPr>
            </w:pPr>
            <w:r>
              <w:rPr>
                <w:color w:val="auto"/>
                <w:sz w:val="21"/>
                <w:szCs w:val="21"/>
              </w:rPr>
              <w:t>CO</w:t>
            </w:r>
          </w:p>
        </w:tc>
        <w:tc>
          <w:tcPr>
            <w:tcW w:w="1276" w:type="dxa"/>
            <w:vAlign w:val="center"/>
          </w:tcPr>
          <w:p>
            <w:pPr>
              <w:jc w:val="center"/>
              <w:rPr>
                <w:color w:val="auto"/>
                <w:sz w:val="21"/>
                <w:szCs w:val="21"/>
              </w:rPr>
            </w:pPr>
            <w:r>
              <w:rPr>
                <w:color w:val="auto"/>
                <w:sz w:val="21"/>
                <w:szCs w:val="21"/>
              </w:rPr>
              <w:t>10mg/m</w:t>
            </w:r>
            <w:r>
              <w:rPr>
                <w:color w:val="auto"/>
                <w:sz w:val="21"/>
                <w:szCs w:val="21"/>
                <w:vertAlign w:val="superscript"/>
              </w:rPr>
              <w:t>3</w:t>
            </w:r>
          </w:p>
        </w:tc>
        <w:tc>
          <w:tcPr>
            <w:tcW w:w="2126" w:type="dxa"/>
            <w:vAlign w:val="center"/>
          </w:tcPr>
          <w:p>
            <w:pPr>
              <w:jc w:val="center"/>
              <w:rPr>
                <w:color w:val="auto"/>
                <w:sz w:val="21"/>
                <w:szCs w:val="21"/>
              </w:rPr>
            </w:pPr>
            <w:r>
              <w:rPr>
                <w:color w:val="auto"/>
                <w:sz w:val="21"/>
                <w:szCs w:val="21"/>
              </w:rPr>
              <w:t>4mg/m</w:t>
            </w:r>
            <w:r>
              <w:rPr>
                <w:color w:val="auto"/>
                <w:sz w:val="21"/>
                <w:szCs w:val="21"/>
                <w:vertAlign w:val="superscript"/>
              </w:rPr>
              <w:t>3</w:t>
            </w:r>
          </w:p>
        </w:tc>
        <w:tc>
          <w:tcPr>
            <w:tcW w:w="993" w:type="dxa"/>
            <w:vAlign w:val="center"/>
          </w:tcPr>
          <w:p>
            <w:pPr>
              <w:jc w:val="center"/>
              <w:rPr>
                <w:color w:val="auto"/>
                <w:sz w:val="21"/>
                <w:szCs w:val="21"/>
              </w:rPr>
            </w:pPr>
            <w:r>
              <w:rPr>
                <w:color w:val="auto"/>
                <w:sz w:val="21"/>
                <w:szCs w:val="21"/>
              </w:rPr>
              <w:t>—</w:t>
            </w:r>
          </w:p>
        </w:tc>
        <w:tc>
          <w:tcPr>
            <w:tcW w:w="3834"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54" w:hRule="atLeast"/>
          <w:jc w:val="center"/>
        </w:trPr>
        <w:tc>
          <w:tcPr>
            <w:tcW w:w="1057" w:type="dxa"/>
            <w:vAlign w:val="center"/>
          </w:tcPr>
          <w:p>
            <w:pPr>
              <w:jc w:val="center"/>
              <w:rPr>
                <w:color w:val="auto"/>
                <w:sz w:val="21"/>
                <w:szCs w:val="21"/>
              </w:rPr>
            </w:pPr>
            <w:r>
              <w:rPr>
                <w:color w:val="auto"/>
                <w:sz w:val="21"/>
                <w:szCs w:val="21"/>
              </w:rPr>
              <w:t>O</w:t>
            </w:r>
            <w:r>
              <w:rPr>
                <w:color w:val="auto"/>
                <w:sz w:val="21"/>
                <w:szCs w:val="21"/>
                <w:vertAlign w:val="subscript"/>
              </w:rPr>
              <w:t>3</w:t>
            </w:r>
          </w:p>
        </w:tc>
        <w:tc>
          <w:tcPr>
            <w:tcW w:w="1276" w:type="dxa"/>
            <w:vAlign w:val="center"/>
          </w:tcPr>
          <w:p>
            <w:pPr>
              <w:jc w:val="center"/>
              <w:rPr>
                <w:color w:val="auto"/>
                <w:sz w:val="21"/>
                <w:szCs w:val="21"/>
              </w:rPr>
            </w:pPr>
            <w:r>
              <w:rPr>
                <w:color w:val="auto"/>
                <w:sz w:val="21"/>
                <w:szCs w:val="21"/>
              </w:rPr>
              <w:t>200μg/m</w:t>
            </w:r>
            <w:r>
              <w:rPr>
                <w:color w:val="auto"/>
                <w:sz w:val="21"/>
                <w:szCs w:val="21"/>
                <w:vertAlign w:val="superscript"/>
              </w:rPr>
              <w:t>3</w:t>
            </w:r>
          </w:p>
        </w:tc>
        <w:tc>
          <w:tcPr>
            <w:tcW w:w="2126" w:type="dxa"/>
            <w:vAlign w:val="center"/>
          </w:tcPr>
          <w:p>
            <w:pPr>
              <w:jc w:val="center"/>
              <w:rPr>
                <w:color w:val="auto"/>
                <w:sz w:val="21"/>
                <w:szCs w:val="21"/>
              </w:rPr>
            </w:pPr>
            <w:r>
              <w:rPr>
                <w:color w:val="auto"/>
                <w:sz w:val="21"/>
                <w:szCs w:val="21"/>
              </w:rPr>
              <w:t>160μg/m</w:t>
            </w:r>
            <w:r>
              <w:rPr>
                <w:color w:val="auto"/>
                <w:sz w:val="21"/>
                <w:szCs w:val="21"/>
                <w:vertAlign w:val="superscript"/>
              </w:rPr>
              <w:t>3</w:t>
            </w:r>
            <w:r>
              <w:rPr>
                <w:color w:val="auto"/>
                <w:sz w:val="21"/>
                <w:szCs w:val="21"/>
              </w:rPr>
              <w:t>（日最大8小平均）</w:t>
            </w:r>
          </w:p>
        </w:tc>
        <w:tc>
          <w:tcPr>
            <w:tcW w:w="993" w:type="dxa"/>
            <w:vAlign w:val="center"/>
          </w:tcPr>
          <w:p>
            <w:pPr>
              <w:jc w:val="center"/>
              <w:rPr>
                <w:color w:val="auto"/>
                <w:sz w:val="21"/>
                <w:szCs w:val="21"/>
              </w:rPr>
            </w:pPr>
            <w:r>
              <w:rPr>
                <w:color w:val="auto"/>
                <w:sz w:val="21"/>
                <w:szCs w:val="21"/>
              </w:rPr>
              <w:t>—</w:t>
            </w:r>
          </w:p>
        </w:tc>
        <w:tc>
          <w:tcPr>
            <w:tcW w:w="3834"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54" w:hRule="atLeast"/>
          <w:jc w:val="center"/>
        </w:trPr>
        <w:tc>
          <w:tcPr>
            <w:tcW w:w="1057" w:type="dxa"/>
            <w:vAlign w:val="center"/>
          </w:tcPr>
          <w:p>
            <w:pPr>
              <w:jc w:val="center"/>
              <w:rPr>
                <w:color w:val="auto"/>
                <w:sz w:val="21"/>
                <w:szCs w:val="21"/>
              </w:rPr>
            </w:pPr>
            <w:r>
              <w:rPr>
                <w:color w:val="auto"/>
                <w:sz w:val="21"/>
                <w:szCs w:val="21"/>
              </w:rPr>
              <w:t>NH</w:t>
            </w:r>
            <w:r>
              <w:rPr>
                <w:color w:val="auto"/>
                <w:sz w:val="21"/>
                <w:szCs w:val="21"/>
                <w:vertAlign w:val="subscript"/>
              </w:rPr>
              <w:t>3</w:t>
            </w:r>
          </w:p>
        </w:tc>
        <w:tc>
          <w:tcPr>
            <w:tcW w:w="1276" w:type="dxa"/>
            <w:vAlign w:val="center"/>
          </w:tcPr>
          <w:p>
            <w:pPr>
              <w:jc w:val="center"/>
              <w:rPr>
                <w:color w:val="auto"/>
                <w:sz w:val="21"/>
                <w:szCs w:val="21"/>
              </w:rPr>
            </w:pPr>
            <w:r>
              <w:rPr>
                <w:color w:val="auto"/>
                <w:sz w:val="21"/>
                <w:szCs w:val="21"/>
              </w:rPr>
              <w:t>200μg/m</w:t>
            </w:r>
            <w:r>
              <w:rPr>
                <w:color w:val="auto"/>
                <w:sz w:val="21"/>
                <w:szCs w:val="21"/>
                <w:vertAlign w:val="superscript"/>
              </w:rPr>
              <w:t>3</w:t>
            </w:r>
          </w:p>
        </w:tc>
        <w:tc>
          <w:tcPr>
            <w:tcW w:w="2126" w:type="dxa"/>
            <w:vAlign w:val="center"/>
          </w:tcPr>
          <w:p>
            <w:pPr>
              <w:jc w:val="center"/>
              <w:rPr>
                <w:color w:val="auto"/>
                <w:sz w:val="21"/>
                <w:szCs w:val="21"/>
              </w:rPr>
            </w:pPr>
            <w:r>
              <w:rPr>
                <w:color w:val="auto"/>
                <w:sz w:val="21"/>
                <w:szCs w:val="21"/>
              </w:rPr>
              <w:t>——</w:t>
            </w:r>
          </w:p>
        </w:tc>
        <w:tc>
          <w:tcPr>
            <w:tcW w:w="993" w:type="dxa"/>
            <w:vAlign w:val="center"/>
          </w:tcPr>
          <w:p>
            <w:pPr>
              <w:jc w:val="center"/>
              <w:rPr>
                <w:color w:val="auto"/>
                <w:sz w:val="21"/>
                <w:szCs w:val="21"/>
              </w:rPr>
            </w:pPr>
            <w:r>
              <w:rPr>
                <w:color w:val="auto"/>
                <w:sz w:val="21"/>
                <w:szCs w:val="21"/>
              </w:rPr>
              <w:t>——</w:t>
            </w:r>
          </w:p>
        </w:tc>
        <w:tc>
          <w:tcPr>
            <w:tcW w:w="3834" w:type="dxa"/>
            <w:vMerge w:val="restart"/>
            <w:vAlign w:val="center"/>
          </w:tcPr>
          <w:p>
            <w:pPr>
              <w:jc w:val="center"/>
              <w:rPr>
                <w:color w:val="auto"/>
                <w:sz w:val="21"/>
                <w:szCs w:val="21"/>
              </w:rPr>
            </w:pPr>
            <w:r>
              <w:rPr>
                <w:color w:val="auto"/>
                <w:sz w:val="21"/>
                <w:szCs w:val="21"/>
              </w:rPr>
              <w:t>《环境影响评价技术导则 大气环境（HJ2.2－2018）》的附录D</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54" w:hRule="atLeast"/>
          <w:jc w:val="center"/>
        </w:trPr>
        <w:tc>
          <w:tcPr>
            <w:tcW w:w="1057" w:type="dxa"/>
            <w:vAlign w:val="center"/>
          </w:tcPr>
          <w:p>
            <w:pPr>
              <w:jc w:val="center"/>
              <w:rPr>
                <w:color w:val="auto"/>
                <w:sz w:val="21"/>
                <w:szCs w:val="21"/>
              </w:rPr>
            </w:pPr>
            <w:r>
              <w:rPr>
                <w:color w:val="auto"/>
                <w:sz w:val="21"/>
                <w:szCs w:val="21"/>
              </w:rPr>
              <w:t>H</w:t>
            </w:r>
            <w:r>
              <w:rPr>
                <w:color w:val="auto"/>
                <w:sz w:val="21"/>
                <w:szCs w:val="21"/>
                <w:vertAlign w:val="subscript"/>
              </w:rPr>
              <w:t>2</w:t>
            </w:r>
            <w:r>
              <w:rPr>
                <w:color w:val="auto"/>
                <w:sz w:val="21"/>
                <w:szCs w:val="21"/>
              </w:rPr>
              <w:t>S</w:t>
            </w:r>
          </w:p>
        </w:tc>
        <w:tc>
          <w:tcPr>
            <w:tcW w:w="1276" w:type="dxa"/>
            <w:vAlign w:val="center"/>
          </w:tcPr>
          <w:p>
            <w:pPr>
              <w:jc w:val="center"/>
              <w:rPr>
                <w:color w:val="auto"/>
                <w:sz w:val="21"/>
                <w:szCs w:val="21"/>
              </w:rPr>
            </w:pPr>
            <w:r>
              <w:rPr>
                <w:color w:val="auto"/>
                <w:sz w:val="21"/>
                <w:szCs w:val="21"/>
              </w:rPr>
              <w:t>10μg/m</w:t>
            </w:r>
            <w:r>
              <w:rPr>
                <w:color w:val="auto"/>
                <w:sz w:val="21"/>
                <w:szCs w:val="21"/>
                <w:vertAlign w:val="superscript"/>
              </w:rPr>
              <w:t>3</w:t>
            </w:r>
          </w:p>
        </w:tc>
        <w:tc>
          <w:tcPr>
            <w:tcW w:w="2126" w:type="dxa"/>
            <w:vAlign w:val="center"/>
          </w:tcPr>
          <w:p>
            <w:pPr>
              <w:jc w:val="center"/>
              <w:rPr>
                <w:color w:val="auto"/>
                <w:sz w:val="21"/>
                <w:szCs w:val="21"/>
              </w:rPr>
            </w:pPr>
            <w:r>
              <w:rPr>
                <w:color w:val="auto"/>
                <w:sz w:val="21"/>
                <w:szCs w:val="21"/>
              </w:rPr>
              <w:t>——</w:t>
            </w:r>
          </w:p>
        </w:tc>
        <w:tc>
          <w:tcPr>
            <w:tcW w:w="993" w:type="dxa"/>
            <w:vAlign w:val="center"/>
          </w:tcPr>
          <w:p>
            <w:pPr>
              <w:jc w:val="center"/>
              <w:rPr>
                <w:color w:val="auto"/>
                <w:sz w:val="21"/>
                <w:szCs w:val="21"/>
              </w:rPr>
            </w:pPr>
            <w:r>
              <w:rPr>
                <w:color w:val="auto"/>
                <w:sz w:val="21"/>
                <w:szCs w:val="21"/>
              </w:rPr>
              <w:t>——</w:t>
            </w:r>
          </w:p>
        </w:tc>
        <w:tc>
          <w:tcPr>
            <w:tcW w:w="3834"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54" w:hRule="atLeast"/>
          <w:jc w:val="center"/>
        </w:trPr>
        <w:tc>
          <w:tcPr>
            <w:tcW w:w="1057" w:type="dxa"/>
            <w:vAlign w:val="center"/>
          </w:tcPr>
          <w:p>
            <w:pPr>
              <w:jc w:val="center"/>
              <w:rPr>
                <w:iCs/>
                <w:color w:val="auto"/>
                <w:sz w:val="21"/>
                <w:szCs w:val="21"/>
              </w:rPr>
            </w:pPr>
            <w:r>
              <w:rPr>
                <w:rFonts w:hint="eastAsia"/>
                <w:iCs/>
                <w:color w:val="auto"/>
                <w:sz w:val="21"/>
                <w:szCs w:val="21"/>
              </w:rPr>
              <w:t>臭气浓度</w:t>
            </w:r>
          </w:p>
        </w:tc>
        <w:tc>
          <w:tcPr>
            <w:tcW w:w="4395" w:type="dxa"/>
            <w:gridSpan w:val="3"/>
            <w:vAlign w:val="center"/>
          </w:tcPr>
          <w:p>
            <w:pPr>
              <w:jc w:val="center"/>
              <w:rPr>
                <w:color w:val="auto"/>
                <w:sz w:val="21"/>
                <w:szCs w:val="21"/>
              </w:rPr>
            </w:pPr>
            <w:r>
              <w:rPr>
                <w:iCs/>
                <w:color w:val="auto"/>
                <w:sz w:val="21"/>
                <w:szCs w:val="21"/>
              </w:rPr>
              <w:t>20</w:t>
            </w:r>
            <w:r>
              <w:rPr>
                <w:rFonts w:hint="eastAsia"/>
                <w:iCs/>
                <w:color w:val="auto"/>
                <w:sz w:val="21"/>
                <w:szCs w:val="21"/>
              </w:rPr>
              <w:t>（无量纲）</w:t>
            </w:r>
          </w:p>
        </w:tc>
        <w:tc>
          <w:tcPr>
            <w:tcW w:w="3834" w:type="dxa"/>
            <w:vAlign w:val="center"/>
          </w:tcPr>
          <w:p>
            <w:pPr>
              <w:jc w:val="center"/>
              <w:rPr>
                <w:color w:val="auto"/>
                <w:sz w:val="21"/>
                <w:szCs w:val="21"/>
              </w:rPr>
            </w:pPr>
            <w:r>
              <w:rPr>
                <w:rFonts w:hint="eastAsia"/>
                <w:iCs/>
                <w:color w:val="auto"/>
                <w:sz w:val="21"/>
                <w:szCs w:val="21"/>
              </w:rPr>
              <w:t>《恶臭污染物排放标准》（GB 14554-93）恶臭污染物厂界标准值（二级新改扩建）</w:t>
            </w:r>
          </w:p>
        </w:tc>
      </w:tr>
    </w:tbl>
    <w:p>
      <w:pPr>
        <w:spacing w:line="360" w:lineRule="auto"/>
        <w:ind w:firstLine="482" w:firstLineChars="200"/>
        <w:rPr>
          <w:b/>
          <w:color w:val="auto"/>
          <w:sz w:val="24"/>
          <w:szCs w:val="24"/>
        </w:rPr>
      </w:pPr>
      <w:r>
        <w:rPr>
          <w:rFonts w:hint="eastAsia"/>
          <w:b/>
          <w:color w:val="auto"/>
          <w:sz w:val="24"/>
          <w:szCs w:val="24"/>
        </w:rPr>
        <w:t>3、地下水质量标准</w:t>
      </w:r>
    </w:p>
    <w:p>
      <w:pPr>
        <w:spacing w:line="360" w:lineRule="auto"/>
        <w:ind w:firstLine="480" w:firstLineChars="200"/>
        <w:rPr>
          <w:color w:val="auto"/>
          <w:sz w:val="24"/>
          <w:szCs w:val="24"/>
        </w:rPr>
      </w:pPr>
      <w:r>
        <w:rPr>
          <w:rFonts w:hint="eastAsia"/>
          <w:color w:val="auto"/>
          <w:sz w:val="24"/>
          <w:szCs w:val="24"/>
        </w:rPr>
        <w:t>项目所在区域地下水执行《地下水质量标准》（GB/T14848-2017）中Ⅲ类标准，详见下表。</w:t>
      </w:r>
    </w:p>
    <w:p>
      <w:pPr>
        <w:spacing w:line="360" w:lineRule="auto"/>
        <w:jc w:val="center"/>
        <w:rPr>
          <w:b/>
          <w:color w:val="auto"/>
          <w:sz w:val="24"/>
          <w:szCs w:val="24"/>
        </w:rPr>
      </w:pPr>
      <w:r>
        <w:rPr>
          <w:rFonts w:hint="eastAsia"/>
          <w:b/>
          <w:color w:val="auto"/>
          <w:sz w:val="24"/>
          <w:szCs w:val="24"/>
        </w:rPr>
        <w:t>表2-6-3   地下水环境质量标准（摘录）  单位：</w:t>
      </w:r>
      <w:r>
        <w:rPr>
          <w:b/>
          <w:color w:val="auto"/>
          <w:sz w:val="24"/>
          <w:szCs w:val="24"/>
        </w:rPr>
        <w:t>mg/L</w:t>
      </w:r>
      <w:r>
        <w:rPr>
          <w:rFonts w:hint="eastAsia"/>
          <w:b/>
          <w:color w:val="auto"/>
          <w:sz w:val="24"/>
          <w:szCs w:val="24"/>
        </w:rPr>
        <w:t>（有注明的除外）</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534"/>
        <w:gridCol w:w="2126"/>
        <w:gridCol w:w="1339"/>
        <w:gridCol w:w="850"/>
        <w:gridCol w:w="2410"/>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b/>
                <w:bCs/>
                <w:color w:val="auto"/>
                <w:sz w:val="21"/>
                <w:szCs w:val="21"/>
              </w:rPr>
            </w:pPr>
            <w:r>
              <w:rPr>
                <w:rFonts w:hint="eastAsia"/>
                <w:b/>
                <w:bCs/>
                <w:color w:val="auto"/>
                <w:sz w:val="21"/>
                <w:szCs w:val="21"/>
              </w:rPr>
              <w:t>序号</w:t>
            </w:r>
          </w:p>
        </w:tc>
        <w:tc>
          <w:tcPr>
            <w:tcW w:w="2126" w:type="dxa"/>
            <w:shd w:val="clear" w:color="auto" w:fill="FFFFFF"/>
            <w:vAlign w:val="center"/>
          </w:tcPr>
          <w:p>
            <w:pPr>
              <w:adjustRightInd w:val="0"/>
              <w:snapToGrid w:val="0"/>
              <w:jc w:val="center"/>
              <w:rPr>
                <w:b/>
                <w:color w:val="auto"/>
                <w:sz w:val="21"/>
                <w:szCs w:val="21"/>
              </w:rPr>
            </w:pPr>
            <w:r>
              <w:rPr>
                <w:b/>
                <w:color w:val="auto"/>
                <w:sz w:val="21"/>
                <w:szCs w:val="21"/>
              </w:rPr>
              <w:t>项目</w:t>
            </w:r>
          </w:p>
        </w:tc>
        <w:tc>
          <w:tcPr>
            <w:tcW w:w="1339" w:type="dxa"/>
            <w:shd w:val="clear" w:color="auto" w:fill="FFFFFF"/>
            <w:vAlign w:val="center"/>
          </w:tcPr>
          <w:p>
            <w:pPr>
              <w:adjustRightInd w:val="0"/>
              <w:snapToGrid w:val="0"/>
              <w:jc w:val="center"/>
              <w:rPr>
                <w:b/>
                <w:color w:val="auto"/>
                <w:sz w:val="21"/>
                <w:szCs w:val="21"/>
              </w:rPr>
            </w:pPr>
            <w:r>
              <w:rPr>
                <w:b/>
                <w:color w:val="auto"/>
                <w:sz w:val="21"/>
                <w:szCs w:val="21"/>
              </w:rPr>
              <w:t>标准值</w:t>
            </w:r>
          </w:p>
        </w:tc>
        <w:tc>
          <w:tcPr>
            <w:tcW w:w="850" w:type="dxa"/>
            <w:shd w:val="clear" w:color="auto" w:fill="FFFFFF"/>
            <w:vAlign w:val="center"/>
          </w:tcPr>
          <w:p>
            <w:pPr>
              <w:adjustRightInd w:val="0"/>
              <w:snapToGrid w:val="0"/>
              <w:jc w:val="center"/>
              <w:rPr>
                <w:b/>
                <w:color w:val="auto"/>
                <w:sz w:val="21"/>
                <w:szCs w:val="21"/>
              </w:rPr>
            </w:pPr>
            <w:r>
              <w:rPr>
                <w:b/>
                <w:color w:val="auto"/>
                <w:sz w:val="21"/>
                <w:szCs w:val="21"/>
              </w:rPr>
              <w:t>序号</w:t>
            </w:r>
          </w:p>
        </w:tc>
        <w:tc>
          <w:tcPr>
            <w:tcW w:w="2410" w:type="dxa"/>
            <w:shd w:val="clear" w:color="auto" w:fill="FFFFFF"/>
            <w:vAlign w:val="center"/>
          </w:tcPr>
          <w:p>
            <w:pPr>
              <w:adjustRightInd w:val="0"/>
              <w:snapToGrid w:val="0"/>
              <w:jc w:val="center"/>
              <w:rPr>
                <w:b/>
                <w:color w:val="auto"/>
                <w:sz w:val="21"/>
                <w:szCs w:val="21"/>
              </w:rPr>
            </w:pPr>
            <w:r>
              <w:rPr>
                <w:b/>
                <w:color w:val="auto"/>
                <w:sz w:val="21"/>
                <w:szCs w:val="21"/>
              </w:rPr>
              <w:t>项目</w:t>
            </w:r>
          </w:p>
        </w:tc>
        <w:tc>
          <w:tcPr>
            <w:tcW w:w="1388" w:type="dxa"/>
            <w:shd w:val="clear" w:color="auto" w:fill="FFFFFF"/>
            <w:vAlign w:val="center"/>
          </w:tcPr>
          <w:p>
            <w:pPr>
              <w:adjustRightInd w:val="0"/>
              <w:snapToGrid w:val="0"/>
              <w:jc w:val="center"/>
              <w:rPr>
                <w:b/>
                <w:color w:val="auto"/>
                <w:sz w:val="21"/>
                <w:szCs w:val="21"/>
              </w:rPr>
            </w:pPr>
            <w:r>
              <w:rPr>
                <w:b/>
                <w:color w:val="auto"/>
                <w:sz w:val="21"/>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1</w:t>
            </w:r>
          </w:p>
        </w:tc>
        <w:tc>
          <w:tcPr>
            <w:tcW w:w="2126" w:type="dxa"/>
            <w:shd w:val="clear" w:color="auto" w:fill="FFFFFF"/>
            <w:vAlign w:val="center"/>
          </w:tcPr>
          <w:p>
            <w:pPr>
              <w:adjustRightInd w:val="0"/>
              <w:snapToGrid w:val="0"/>
              <w:jc w:val="center"/>
              <w:rPr>
                <w:color w:val="auto"/>
                <w:sz w:val="21"/>
                <w:szCs w:val="21"/>
              </w:rPr>
            </w:pPr>
            <w:r>
              <w:rPr>
                <w:color w:val="auto"/>
                <w:sz w:val="21"/>
                <w:szCs w:val="21"/>
              </w:rPr>
              <w:t>pH值（无量纲）</w:t>
            </w:r>
          </w:p>
        </w:tc>
        <w:tc>
          <w:tcPr>
            <w:tcW w:w="1339" w:type="dxa"/>
            <w:shd w:val="clear" w:color="auto" w:fill="FFFFFF"/>
            <w:vAlign w:val="center"/>
          </w:tcPr>
          <w:p>
            <w:pPr>
              <w:adjustRightInd w:val="0"/>
              <w:snapToGrid w:val="0"/>
              <w:jc w:val="center"/>
              <w:rPr>
                <w:color w:val="auto"/>
                <w:sz w:val="21"/>
                <w:szCs w:val="21"/>
              </w:rPr>
            </w:pPr>
            <w:r>
              <w:rPr>
                <w:color w:val="auto"/>
                <w:sz w:val="21"/>
                <w:szCs w:val="21"/>
              </w:rPr>
              <w:t xml:space="preserve">6.5 </w:t>
            </w:r>
            <w:r>
              <w:rPr>
                <w:rFonts w:hint="eastAsia"/>
                <w:color w:val="auto"/>
                <w:sz w:val="21"/>
                <w:szCs w:val="21"/>
              </w:rPr>
              <w:t>~</w:t>
            </w:r>
            <w:r>
              <w:rPr>
                <w:color w:val="auto"/>
                <w:sz w:val="21"/>
                <w:szCs w:val="21"/>
              </w:rPr>
              <w:t>8.5</w:t>
            </w:r>
          </w:p>
        </w:tc>
        <w:tc>
          <w:tcPr>
            <w:tcW w:w="850" w:type="dxa"/>
            <w:shd w:val="clear" w:color="auto" w:fill="FFFFFF"/>
            <w:vAlign w:val="center"/>
          </w:tcPr>
          <w:p>
            <w:pPr>
              <w:adjustRightInd w:val="0"/>
              <w:snapToGrid w:val="0"/>
              <w:jc w:val="center"/>
              <w:rPr>
                <w:color w:val="auto"/>
                <w:sz w:val="21"/>
                <w:szCs w:val="21"/>
              </w:rPr>
            </w:pPr>
            <w:r>
              <w:rPr>
                <w:bCs/>
                <w:color w:val="auto"/>
                <w:sz w:val="21"/>
                <w:szCs w:val="21"/>
              </w:rPr>
              <w:t>12</w:t>
            </w:r>
          </w:p>
        </w:tc>
        <w:tc>
          <w:tcPr>
            <w:tcW w:w="2410" w:type="dxa"/>
            <w:shd w:val="clear" w:color="auto" w:fill="FFFFFF"/>
            <w:vAlign w:val="center"/>
          </w:tcPr>
          <w:p>
            <w:pPr>
              <w:adjustRightInd w:val="0"/>
              <w:snapToGrid w:val="0"/>
              <w:jc w:val="center"/>
              <w:rPr>
                <w:color w:val="auto"/>
                <w:sz w:val="21"/>
                <w:szCs w:val="21"/>
              </w:rPr>
            </w:pPr>
            <w:r>
              <w:rPr>
                <w:color w:val="auto"/>
                <w:sz w:val="21"/>
                <w:szCs w:val="21"/>
              </w:rPr>
              <w:t>氟化物</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bCs/>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2</w:t>
            </w:r>
          </w:p>
        </w:tc>
        <w:tc>
          <w:tcPr>
            <w:tcW w:w="2126" w:type="dxa"/>
            <w:shd w:val="clear" w:color="auto" w:fill="FFFFFF"/>
            <w:vAlign w:val="center"/>
          </w:tcPr>
          <w:p>
            <w:pPr>
              <w:adjustRightInd w:val="0"/>
              <w:snapToGrid w:val="0"/>
              <w:jc w:val="center"/>
              <w:rPr>
                <w:color w:val="auto"/>
                <w:sz w:val="21"/>
                <w:szCs w:val="21"/>
              </w:rPr>
            </w:pPr>
            <w:r>
              <w:rPr>
                <w:color w:val="auto"/>
                <w:sz w:val="21"/>
                <w:szCs w:val="21"/>
              </w:rPr>
              <w:t>氨氮</w:t>
            </w:r>
            <w:r>
              <w:rPr>
                <w:iCs/>
                <w:color w:val="auto"/>
                <w:sz w:val="21"/>
                <w:szCs w:val="22"/>
              </w:rPr>
              <w:t>≤</w:t>
            </w:r>
          </w:p>
        </w:tc>
        <w:tc>
          <w:tcPr>
            <w:tcW w:w="1339" w:type="dxa"/>
            <w:shd w:val="clear" w:color="auto" w:fill="FFFFFF"/>
            <w:vAlign w:val="center"/>
          </w:tcPr>
          <w:p>
            <w:pPr>
              <w:adjustRightInd w:val="0"/>
              <w:snapToGrid w:val="0"/>
              <w:jc w:val="center"/>
              <w:rPr>
                <w:color w:val="auto"/>
                <w:sz w:val="21"/>
                <w:szCs w:val="21"/>
              </w:rPr>
            </w:pPr>
            <w:r>
              <w:rPr>
                <w:bCs/>
                <w:color w:val="auto"/>
                <w:sz w:val="21"/>
                <w:szCs w:val="21"/>
              </w:rPr>
              <w:t>0.</w:t>
            </w:r>
            <w:r>
              <w:rPr>
                <w:rFonts w:hint="eastAsia"/>
                <w:bCs/>
                <w:color w:val="auto"/>
                <w:sz w:val="21"/>
                <w:szCs w:val="21"/>
              </w:rPr>
              <w:t>5</w:t>
            </w:r>
          </w:p>
        </w:tc>
        <w:tc>
          <w:tcPr>
            <w:tcW w:w="850" w:type="dxa"/>
            <w:shd w:val="clear" w:color="auto" w:fill="FFFFFF"/>
            <w:vAlign w:val="center"/>
          </w:tcPr>
          <w:p>
            <w:pPr>
              <w:adjustRightInd w:val="0"/>
              <w:snapToGrid w:val="0"/>
              <w:jc w:val="center"/>
              <w:rPr>
                <w:color w:val="auto"/>
                <w:sz w:val="21"/>
                <w:szCs w:val="21"/>
              </w:rPr>
            </w:pPr>
            <w:r>
              <w:rPr>
                <w:bCs/>
                <w:color w:val="auto"/>
                <w:sz w:val="21"/>
                <w:szCs w:val="21"/>
              </w:rPr>
              <w:t>13</w:t>
            </w:r>
          </w:p>
        </w:tc>
        <w:tc>
          <w:tcPr>
            <w:tcW w:w="2410" w:type="dxa"/>
            <w:shd w:val="clear" w:color="auto" w:fill="FFFFFF"/>
            <w:vAlign w:val="center"/>
          </w:tcPr>
          <w:p>
            <w:pPr>
              <w:adjustRightInd w:val="0"/>
              <w:snapToGrid w:val="0"/>
              <w:jc w:val="center"/>
              <w:rPr>
                <w:color w:val="auto"/>
                <w:sz w:val="21"/>
                <w:szCs w:val="21"/>
              </w:rPr>
            </w:pPr>
            <w:r>
              <w:rPr>
                <w:rFonts w:hint="eastAsia"/>
                <w:color w:val="auto"/>
                <w:sz w:val="21"/>
                <w:szCs w:val="21"/>
              </w:rPr>
              <w:t>镉</w:t>
            </w:r>
            <w:r>
              <w:rPr>
                <w:iCs/>
                <w:color w:val="auto"/>
                <w:sz w:val="21"/>
                <w:szCs w:val="22"/>
              </w:rPr>
              <w:t>≤</w:t>
            </w:r>
          </w:p>
        </w:tc>
        <w:tc>
          <w:tcPr>
            <w:tcW w:w="1388" w:type="dxa"/>
            <w:shd w:val="clear" w:color="auto" w:fill="FFFFFF"/>
            <w:vAlign w:val="center"/>
          </w:tcPr>
          <w:p>
            <w:pPr>
              <w:adjustRightInd w:val="0"/>
              <w:snapToGrid w:val="0"/>
              <w:jc w:val="center"/>
              <w:rPr>
                <w:iCs/>
                <w:color w:val="auto"/>
                <w:sz w:val="21"/>
                <w:szCs w:val="21"/>
              </w:rPr>
            </w:pPr>
            <w:r>
              <w:rPr>
                <w:rFonts w:hint="eastAsia"/>
                <w:iCs/>
                <w:color w:val="auto"/>
                <w:sz w:val="21"/>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3</w:t>
            </w:r>
          </w:p>
        </w:tc>
        <w:tc>
          <w:tcPr>
            <w:tcW w:w="2126" w:type="dxa"/>
            <w:shd w:val="clear" w:color="auto" w:fill="FFFFFF"/>
            <w:vAlign w:val="center"/>
          </w:tcPr>
          <w:p>
            <w:pPr>
              <w:adjustRightInd w:val="0"/>
              <w:snapToGrid w:val="0"/>
              <w:jc w:val="center"/>
              <w:rPr>
                <w:color w:val="auto"/>
                <w:sz w:val="21"/>
                <w:szCs w:val="21"/>
              </w:rPr>
            </w:pPr>
            <w:r>
              <w:rPr>
                <w:rFonts w:hint="eastAsia"/>
                <w:color w:val="auto"/>
                <w:sz w:val="21"/>
                <w:szCs w:val="21"/>
              </w:rPr>
              <w:t>硝酸盐</w:t>
            </w:r>
            <w:r>
              <w:rPr>
                <w:iCs/>
                <w:color w:val="auto"/>
                <w:sz w:val="21"/>
                <w:szCs w:val="22"/>
              </w:rPr>
              <w:t>≤</w:t>
            </w:r>
          </w:p>
        </w:tc>
        <w:tc>
          <w:tcPr>
            <w:tcW w:w="1339" w:type="dxa"/>
            <w:shd w:val="clear" w:color="auto" w:fill="FFFFFF"/>
            <w:vAlign w:val="center"/>
          </w:tcPr>
          <w:p>
            <w:pPr>
              <w:adjustRightInd w:val="0"/>
              <w:snapToGrid w:val="0"/>
              <w:jc w:val="center"/>
              <w:rPr>
                <w:iCs/>
                <w:color w:val="auto"/>
                <w:sz w:val="21"/>
                <w:szCs w:val="21"/>
              </w:rPr>
            </w:pPr>
            <w:r>
              <w:rPr>
                <w:rFonts w:hint="eastAsia"/>
                <w:iCs/>
                <w:color w:val="auto"/>
                <w:sz w:val="21"/>
                <w:szCs w:val="21"/>
              </w:rPr>
              <w:t>20.0</w:t>
            </w:r>
          </w:p>
        </w:tc>
        <w:tc>
          <w:tcPr>
            <w:tcW w:w="850" w:type="dxa"/>
            <w:shd w:val="clear" w:color="auto" w:fill="FFFFFF"/>
            <w:vAlign w:val="center"/>
          </w:tcPr>
          <w:p>
            <w:pPr>
              <w:adjustRightInd w:val="0"/>
              <w:snapToGrid w:val="0"/>
              <w:jc w:val="center"/>
              <w:rPr>
                <w:color w:val="auto"/>
                <w:sz w:val="21"/>
                <w:szCs w:val="21"/>
              </w:rPr>
            </w:pPr>
            <w:r>
              <w:rPr>
                <w:bCs/>
                <w:color w:val="auto"/>
                <w:sz w:val="21"/>
                <w:szCs w:val="21"/>
              </w:rPr>
              <w:t>14</w:t>
            </w:r>
          </w:p>
        </w:tc>
        <w:tc>
          <w:tcPr>
            <w:tcW w:w="2410" w:type="dxa"/>
            <w:shd w:val="clear" w:color="auto" w:fill="FFFFFF"/>
            <w:vAlign w:val="center"/>
          </w:tcPr>
          <w:p>
            <w:pPr>
              <w:adjustRightInd w:val="0"/>
              <w:snapToGrid w:val="0"/>
              <w:jc w:val="center"/>
              <w:rPr>
                <w:color w:val="auto"/>
                <w:sz w:val="21"/>
                <w:szCs w:val="21"/>
              </w:rPr>
            </w:pPr>
            <w:r>
              <w:rPr>
                <w:color w:val="auto"/>
                <w:sz w:val="21"/>
                <w:szCs w:val="21"/>
              </w:rPr>
              <w:t>铁</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bCs/>
                <w:color w:val="auto"/>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4</w:t>
            </w:r>
          </w:p>
        </w:tc>
        <w:tc>
          <w:tcPr>
            <w:tcW w:w="2126" w:type="dxa"/>
            <w:shd w:val="clear" w:color="auto" w:fill="FFFFFF"/>
            <w:vAlign w:val="center"/>
          </w:tcPr>
          <w:p>
            <w:pPr>
              <w:adjustRightInd w:val="0"/>
              <w:snapToGrid w:val="0"/>
              <w:jc w:val="center"/>
              <w:rPr>
                <w:color w:val="auto"/>
                <w:sz w:val="21"/>
                <w:szCs w:val="21"/>
              </w:rPr>
            </w:pPr>
            <w:r>
              <w:rPr>
                <w:rFonts w:hint="eastAsia"/>
                <w:color w:val="auto"/>
                <w:sz w:val="21"/>
                <w:szCs w:val="21"/>
              </w:rPr>
              <w:t>亚硝酸盐</w:t>
            </w:r>
            <w:r>
              <w:rPr>
                <w:iCs/>
                <w:color w:val="auto"/>
                <w:sz w:val="21"/>
                <w:szCs w:val="22"/>
              </w:rPr>
              <w:t>≤</w:t>
            </w:r>
          </w:p>
        </w:tc>
        <w:tc>
          <w:tcPr>
            <w:tcW w:w="1339"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1.00</w:t>
            </w:r>
          </w:p>
        </w:tc>
        <w:tc>
          <w:tcPr>
            <w:tcW w:w="850" w:type="dxa"/>
            <w:shd w:val="clear" w:color="auto" w:fill="FFFFFF"/>
            <w:vAlign w:val="center"/>
          </w:tcPr>
          <w:p>
            <w:pPr>
              <w:adjustRightInd w:val="0"/>
              <w:snapToGrid w:val="0"/>
              <w:jc w:val="center"/>
              <w:rPr>
                <w:color w:val="auto"/>
                <w:sz w:val="21"/>
                <w:szCs w:val="21"/>
              </w:rPr>
            </w:pPr>
            <w:r>
              <w:rPr>
                <w:rFonts w:hint="eastAsia"/>
                <w:color w:val="auto"/>
                <w:sz w:val="21"/>
                <w:szCs w:val="21"/>
              </w:rPr>
              <w:t>15</w:t>
            </w:r>
          </w:p>
        </w:tc>
        <w:tc>
          <w:tcPr>
            <w:tcW w:w="2410" w:type="dxa"/>
            <w:shd w:val="clear" w:color="auto" w:fill="FFFFFF"/>
            <w:vAlign w:val="center"/>
          </w:tcPr>
          <w:p>
            <w:pPr>
              <w:adjustRightInd w:val="0"/>
              <w:snapToGrid w:val="0"/>
              <w:jc w:val="center"/>
              <w:rPr>
                <w:color w:val="auto"/>
                <w:sz w:val="21"/>
                <w:szCs w:val="21"/>
              </w:rPr>
            </w:pPr>
            <w:r>
              <w:rPr>
                <w:color w:val="auto"/>
                <w:sz w:val="21"/>
                <w:szCs w:val="21"/>
              </w:rPr>
              <w:t>锰</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bCs/>
                <w:color w:val="auto"/>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5</w:t>
            </w:r>
          </w:p>
        </w:tc>
        <w:tc>
          <w:tcPr>
            <w:tcW w:w="2126" w:type="dxa"/>
            <w:shd w:val="clear" w:color="auto" w:fill="FFFFFF"/>
            <w:vAlign w:val="center"/>
          </w:tcPr>
          <w:p>
            <w:pPr>
              <w:adjustRightInd w:val="0"/>
              <w:snapToGrid w:val="0"/>
              <w:jc w:val="center"/>
              <w:rPr>
                <w:color w:val="auto"/>
                <w:sz w:val="21"/>
                <w:szCs w:val="21"/>
              </w:rPr>
            </w:pPr>
            <w:r>
              <w:rPr>
                <w:rFonts w:hint="eastAsia"/>
                <w:color w:val="auto"/>
                <w:sz w:val="21"/>
                <w:szCs w:val="21"/>
              </w:rPr>
              <w:t>挥发性酚类</w:t>
            </w:r>
            <w:r>
              <w:rPr>
                <w:iCs/>
                <w:color w:val="auto"/>
                <w:sz w:val="21"/>
                <w:szCs w:val="22"/>
              </w:rPr>
              <w:t>≤</w:t>
            </w:r>
          </w:p>
        </w:tc>
        <w:tc>
          <w:tcPr>
            <w:tcW w:w="1339" w:type="dxa"/>
            <w:shd w:val="clear" w:color="auto" w:fill="FFFFFF"/>
            <w:vAlign w:val="center"/>
          </w:tcPr>
          <w:p>
            <w:pPr>
              <w:adjustRightInd w:val="0"/>
              <w:snapToGrid w:val="0"/>
              <w:jc w:val="center"/>
              <w:rPr>
                <w:iCs/>
                <w:color w:val="auto"/>
                <w:sz w:val="21"/>
                <w:szCs w:val="21"/>
              </w:rPr>
            </w:pPr>
            <w:r>
              <w:rPr>
                <w:rFonts w:hint="eastAsia"/>
                <w:iCs/>
                <w:color w:val="auto"/>
                <w:sz w:val="21"/>
                <w:szCs w:val="21"/>
              </w:rPr>
              <w:t>0.002</w:t>
            </w:r>
          </w:p>
        </w:tc>
        <w:tc>
          <w:tcPr>
            <w:tcW w:w="850" w:type="dxa"/>
            <w:shd w:val="clear" w:color="auto" w:fill="FFFFFF"/>
            <w:vAlign w:val="center"/>
          </w:tcPr>
          <w:p>
            <w:pPr>
              <w:adjustRightInd w:val="0"/>
              <w:snapToGrid w:val="0"/>
              <w:jc w:val="center"/>
              <w:rPr>
                <w:color w:val="auto"/>
                <w:sz w:val="21"/>
                <w:szCs w:val="21"/>
              </w:rPr>
            </w:pPr>
            <w:r>
              <w:rPr>
                <w:rFonts w:hint="eastAsia"/>
                <w:color w:val="auto"/>
                <w:sz w:val="21"/>
                <w:szCs w:val="21"/>
              </w:rPr>
              <w:t>16</w:t>
            </w:r>
          </w:p>
        </w:tc>
        <w:tc>
          <w:tcPr>
            <w:tcW w:w="2410" w:type="dxa"/>
            <w:shd w:val="clear" w:color="auto" w:fill="FFFFFF"/>
            <w:vAlign w:val="center"/>
          </w:tcPr>
          <w:p>
            <w:pPr>
              <w:adjustRightInd w:val="0"/>
              <w:snapToGrid w:val="0"/>
              <w:jc w:val="center"/>
              <w:rPr>
                <w:color w:val="auto"/>
                <w:sz w:val="21"/>
                <w:szCs w:val="21"/>
              </w:rPr>
            </w:pPr>
            <w:r>
              <w:rPr>
                <w:rFonts w:hint="eastAsia"/>
                <w:color w:val="auto"/>
                <w:sz w:val="21"/>
                <w:szCs w:val="21"/>
              </w:rPr>
              <w:t>溶解性总固体</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rFonts w:hint="eastAsia"/>
                <w:color w:val="auto"/>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6</w:t>
            </w:r>
          </w:p>
        </w:tc>
        <w:tc>
          <w:tcPr>
            <w:tcW w:w="2126" w:type="dxa"/>
            <w:shd w:val="clear" w:color="auto" w:fill="FFFFFF"/>
            <w:vAlign w:val="center"/>
          </w:tcPr>
          <w:p>
            <w:pPr>
              <w:adjustRightInd w:val="0"/>
              <w:snapToGrid w:val="0"/>
              <w:jc w:val="center"/>
              <w:rPr>
                <w:color w:val="auto"/>
                <w:sz w:val="21"/>
                <w:szCs w:val="21"/>
              </w:rPr>
            </w:pPr>
            <w:r>
              <w:rPr>
                <w:rFonts w:hint="eastAsia"/>
                <w:color w:val="auto"/>
                <w:sz w:val="21"/>
                <w:szCs w:val="21"/>
              </w:rPr>
              <w:t>氰化物</w:t>
            </w:r>
            <w:r>
              <w:rPr>
                <w:iCs/>
                <w:color w:val="auto"/>
                <w:sz w:val="21"/>
                <w:szCs w:val="22"/>
              </w:rPr>
              <w:t>≤</w:t>
            </w:r>
          </w:p>
        </w:tc>
        <w:tc>
          <w:tcPr>
            <w:tcW w:w="1339" w:type="dxa"/>
            <w:shd w:val="clear" w:color="auto" w:fill="FFFFFF"/>
            <w:vAlign w:val="center"/>
          </w:tcPr>
          <w:p>
            <w:pPr>
              <w:adjustRightInd w:val="0"/>
              <w:snapToGrid w:val="0"/>
              <w:jc w:val="center"/>
              <w:rPr>
                <w:iCs/>
                <w:color w:val="auto"/>
                <w:sz w:val="21"/>
                <w:szCs w:val="21"/>
              </w:rPr>
            </w:pPr>
            <w:r>
              <w:rPr>
                <w:rFonts w:hint="eastAsia"/>
                <w:iCs/>
                <w:color w:val="auto"/>
                <w:sz w:val="21"/>
                <w:szCs w:val="21"/>
              </w:rPr>
              <w:t>0.05</w:t>
            </w:r>
          </w:p>
        </w:tc>
        <w:tc>
          <w:tcPr>
            <w:tcW w:w="850" w:type="dxa"/>
            <w:shd w:val="clear" w:color="auto" w:fill="FFFFFF"/>
            <w:vAlign w:val="center"/>
          </w:tcPr>
          <w:p>
            <w:pPr>
              <w:adjustRightInd w:val="0"/>
              <w:snapToGrid w:val="0"/>
              <w:jc w:val="center"/>
              <w:rPr>
                <w:color w:val="auto"/>
                <w:sz w:val="21"/>
                <w:szCs w:val="21"/>
              </w:rPr>
            </w:pPr>
            <w:r>
              <w:rPr>
                <w:rFonts w:hint="eastAsia"/>
                <w:color w:val="auto"/>
                <w:sz w:val="21"/>
                <w:szCs w:val="21"/>
              </w:rPr>
              <w:t>17</w:t>
            </w:r>
          </w:p>
        </w:tc>
        <w:tc>
          <w:tcPr>
            <w:tcW w:w="2410" w:type="dxa"/>
            <w:shd w:val="clear" w:color="auto" w:fill="FFFFFF"/>
            <w:vAlign w:val="center"/>
          </w:tcPr>
          <w:p>
            <w:pPr>
              <w:adjustRightInd w:val="0"/>
              <w:snapToGrid w:val="0"/>
              <w:jc w:val="center"/>
              <w:rPr>
                <w:color w:val="auto"/>
                <w:sz w:val="21"/>
                <w:szCs w:val="21"/>
              </w:rPr>
            </w:pPr>
            <w:r>
              <w:rPr>
                <w:rFonts w:hint="eastAsia"/>
                <w:color w:val="auto"/>
                <w:sz w:val="21"/>
                <w:szCs w:val="21"/>
              </w:rPr>
              <w:t>耗氧量</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rFonts w:hint="eastAsia"/>
                <w:bCs/>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7</w:t>
            </w:r>
          </w:p>
        </w:tc>
        <w:tc>
          <w:tcPr>
            <w:tcW w:w="2126" w:type="dxa"/>
            <w:shd w:val="clear" w:color="auto" w:fill="FFFFFF"/>
            <w:vAlign w:val="center"/>
          </w:tcPr>
          <w:p>
            <w:pPr>
              <w:adjustRightInd w:val="0"/>
              <w:snapToGrid w:val="0"/>
              <w:jc w:val="center"/>
              <w:rPr>
                <w:color w:val="auto"/>
                <w:sz w:val="21"/>
                <w:szCs w:val="21"/>
              </w:rPr>
            </w:pPr>
            <w:r>
              <w:rPr>
                <w:color w:val="auto"/>
                <w:sz w:val="21"/>
                <w:szCs w:val="21"/>
              </w:rPr>
              <w:t>砷</w:t>
            </w:r>
            <w:r>
              <w:rPr>
                <w:iCs/>
                <w:color w:val="auto"/>
                <w:sz w:val="21"/>
                <w:szCs w:val="22"/>
              </w:rPr>
              <w:t>≤</w:t>
            </w:r>
          </w:p>
        </w:tc>
        <w:tc>
          <w:tcPr>
            <w:tcW w:w="1339" w:type="dxa"/>
            <w:shd w:val="clear" w:color="auto" w:fill="FFFFFF"/>
            <w:vAlign w:val="center"/>
          </w:tcPr>
          <w:p>
            <w:pPr>
              <w:adjustRightInd w:val="0"/>
              <w:snapToGrid w:val="0"/>
              <w:jc w:val="center"/>
              <w:rPr>
                <w:color w:val="auto"/>
                <w:sz w:val="21"/>
                <w:szCs w:val="21"/>
              </w:rPr>
            </w:pPr>
            <w:r>
              <w:rPr>
                <w:bCs/>
                <w:color w:val="auto"/>
                <w:sz w:val="21"/>
                <w:szCs w:val="21"/>
              </w:rPr>
              <w:t>0.0</w:t>
            </w:r>
            <w:r>
              <w:rPr>
                <w:rFonts w:hint="eastAsia"/>
                <w:bCs/>
                <w:color w:val="auto"/>
                <w:sz w:val="21"/>
                <w:szCs w:val="21"/>
              </w:rPr>
              <w:t>1</w:t>
            </w:r>
          </w:p>
        </w:tc>
        <w:tc>
          <w:tcPr>
            <w:tcW w:w="850" w:type="dxa"/>
            <w:shd w:val="clear" w:color="auto" w:fill="FFFFFF"/>
            <w:vAlign w:val="center"/>
          </w:tcPr>
          <w:p>
            <w:pPr>
              <w:adjustRightInd w:val="0"/>
              <w:snapToGrid w:val="0"/>
              <w:jc w:val="center"/>
              <w:rPr>
                <w:bCs/>
                <w:color w:val="auto"/>
                <w:sz w:val="21"/>
                <w:szCs w:val="21"/>
              </w:rPr>
            </w:pPr>
            <w:r>
              <w:rPr>
                <w:rFonts w:hint="eastAsia"/>
                <w:bCs/>
                <w:color w:val="auto"/>
                <w:sz w:val="21"/>
                <w:szCs w:val="21"/>
              </w:rPr>
              <w:t>18</w:t>
            </w:r>
          </w:p>
        </w:tc>
        <w:tc>
          <w:tcPr>
            <w:tcW w:w="2410" w:type="dxa"/>
            <w:shd w:val="clear" w:color="auto" w:fill="FFFFFF"/>
            <w:vAlign w:val="center"/>
          </w:tcPr>
          <w:p>
            <w:pPr>
              <w:adjustRightInd w:val="0"/>
              <w:snapToGrid w:val="0"/>
              <w:jc w:val="center"/>
              <w:rPr>
                <w:color w:val="auto"/>
                <w:sz w:val="21"/>
                <w:szCs w:val="21"/>
              </w:rPr>
            </w:pPr>
            <w:r>
              <w:rPr>
                <w:rFonts w:hint="eastAsia"/>
                <w:color w:val="auto"/>
                <w:sz w:val="21"/>
                <w:szCs w:val="21"/>
              </w:rPr>
              <w:t>硫酸盐</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rFonts w:hint="eastAsia"/>
                <w:color w:val="auto"/>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bCs/>
                <w:color w:val="auto"/>
                <w:sz w:val="21"/>
                <w:szCs w:val="21"/>
              </w:rPr>
            </w:pPr>
            <w:r>
              <w:rPr>
                <w:color w:val="auto"/>
                <w:sz w:val="21"/>
                <w:szCs w:val="21"/>
              </w:rPr>
              <w:t>8</w:t>
            </w:r>
          </w:p>
        </w:tc>
        <w:tc>
          <w:tcPr>
            <w:tcW w:w="2126" w:type="dxa"/>
            <w:shd w:val="clear" w:color="auto" w:fill="FFFFFF"/>
            <w:vAlign w:val="center"/>
          </w:tcPr>
          <w:p>
            <w:pPr>
              <w:adjustRightInd w:val="0"/>
              <w:snapToGrid w:val="0"/>
              <w:jc w:val="center"/>
              <w:rPr>
                <w:color w:val="auto"/>
                <w:sz w:val="21"/>
                <w:szCs w:val="21"/>
              </w:rPr>
            </w:pPr>
            <w:r>
              <w:rPr>
                <w:color w:val="auto"/>
                <w:sz w:val="21"/>
                <w:szCs w:val="21"/>
              </w:rPr>
              <w:t>汞</w:t>
            </w:r>
            <w:r>
              <w:rPr>
                <w:iCs/>
                <w:color w:val="auto"/>
                <w:sz w:val="21"/>
                <w:szCs w:val="22"/>
              </w:rPr>
              <w:t>≤</w:t>
            </w:r>
          </w:p>
        </w:tc>
        <w:tc>
          <w:tcPr>
            <w:tcW w:w="1339" w:type="dxa"/>
            <w:shd w:val="clear" w:color="auto" w:fill="FFFFFF"/>
            <w:vAlign w:val="center"/>
          </w:tcPr>
          <w:p>
            <w:pPr>
              <w:adjustRightInd w:val="0"/>
              <w:snapToGrid w:val="0"/>
              <w:jc w:val="center"/>
              <w:rPr>
                <w:color w:val="auto"/>
                <w:sz w:val="21"/>
                <w:szCs w:val="21"/>
              </w:rPr>
            </w:pPr>
            <w:r>
              <w:rPr>
                <w:bCs/>
                <w:color w:val="auto"/>
                <w:sz w:val="21"/>
                <w:szCs w:val="21"/>
              </w:rPr>
              <w:t>0.001</w:t>
            </w:r>
          </w:p>
        </w:tc>
        <w:tc>
          <w:tcPr>
            <w:tcW w:w="850" w:type="dxa"/>
            <w:shd w:val="clear" w:color="auto" w:fill="FFFFFF"/>
            <w:vAlign w:val="center"/>
          </w:tcPr>
          <w:p>
            <w:pPr>
              <w:adjustRightInd w:val="0"/>
              <w:snapToGrid w:val="0"/>
              <w:jc w:val="center"/>
              <w:rPr>
                <w:color w:val="auto"/>
                <w:sz w:val="21"/>
                <w:szCs w:val="21"/>
              </w:rPr>
            </w:pPr>
            <w:r>
              <w:rPr>
                <w:rFonts w:hint="eastAsia"/>
                <w:color w:val="auto"/>
                <w:sz w:val="21"/>
                <w:szCs w:val="21"/>
              </w:rPr>
              <w:t>19</w:t>
            </w:r>
          </w:p>
        </w:tc>
        <w:tc>
          <w:tcPr>
            <w:tcW w:w="2410" w:type="dxa"/>
            <w:shd w:val="clear" w:color="auto" w:fill="FFFFFF"/>
            <w:vAlign w:val="center"/>
          </w:tcPr>
          <w:p>
            <w:pPr>
              <w:adjustRightInd w:val="0"/>
              <w:snapToGrid w:val="0"/>
              <w:jc w:val="center"/>
              <w:rPr>
                <w:color w:val="auto"/>
                <w:sz w:val="21"/>
                <w:szCs w:val="21"/>
              </w:rPr>
            </w:pPr>
            <w:r>
              <w:rPr>
                <w:rFonts w:hint="eastAsia"/>
                <w:color w:val="auto"/>
                <w:sz w:val="21"/>
                <w:szCs w:val="21"/>
              </w:rPr>
              <w:t>氯化物</w:t>
            </w:r>
            <w:r>
              <w:rPr>
                <w:iCs/>
                <w:color w:val="auto"/>
                <w:sz w:val="21"/>
                <w:szCs w:val="22"/>
              </w:rPr>
              <w:t>≤</w:t>
            </w:r>
          </w:p>
        </w:tc>
        <w:tc>
          <w:tcPr>
            <w:tcW w:w="1388" w:type="dxa"/>
            <w:shd w:val="clear" w:color="auto" w:fill="FFFFFF"/>
            <w:vAlign w:val="center"/>
          </w:tcPr>
          <w:p>
            <w:pPr>
              <w:adjustRightInd w:val="0"/>
              <w:snapToGrid w:val="0"/>
              <w:jc w:val="center"/>
              <w:rPr>
                <w:iCs/>
                <w:color w:val="auto"/>
                <w:sz w:val="21"/>
                <w:szCs w:val="21"/>
              </w:rPr>
            </w:pPr>
            <w:r>
              <w:rPr>
                <w:rFonts w:hint="eastAsia"/>
                <w:iCs/>
                <w:color w:val="auto"/>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color w:val="auto"/>
                <w:sz w:val="21"/>
                <w:szCs w:val="21"/>
              </w:rPr>
              <w:t>9</w:t>
            </w:r>
          </w:p>
        </w:tc>
        <w:tc>
          <w:tcPr>
            <w:tcW w:w="2126" w:type="dxa"/>
            <w:shd w:val="clear" w:color="auto" w:fill="FFFFFF"/>
            <w:vAlign w:val="center"/>
          </w:tcPr>
          <w:p>
            <w:pPr>
              <w:adjustRightInd w:val="0"/>
              <w:snapToGrid w:val="0"/>
              <w:jc w:val="center"/>
              <w:rPr>
                <w:color w:val="auto"/>
                <w:sz w:val="21"/>
                <w:szCs w:val="21"/>
              </w:rPr>
            </w:pPr>
            <w:r>
              <w:rPr>
                <w:color w:val="auto"/>
                <w:sz w:val="21"/>
                <w:szCs w:val="21"/>
              </w:rPr>
              <w:t>铬</w:t>
            </w:r>
            <w:r>
              <w:rPr>
                <w:rFonts w:hint="eastAsia"/>
                <w:color w:val="auto"/>
                <w:sz w:val="21"/>
                <w:szCs w:val="21"/>
              </w:rPr>
              <w:t>（六价）</w:t>
            </w:r>
            <w:r>
              <w:rPr>
                <w:iCs/>
                <w:color w:val="auto"/>
                <w:sz w:val="21"/>
                <w:szCs w:val="22"/>
              </w:rPr>
              <w:t>≤</w:t>
            </w:r>
          </w:p>
        </w:tc>
        <w:tc>
          <w:tcPr>
            <w:tcW w:w="1339" w:type="dxa"/>
            <w:shd w:val="clear" w:color="auto" w:fill="FFFFFF"/>
            <w:vAlign w:val="center"/>
          </w:tcPr>
          <w:p>
            <w:pPr>
              <w:adjustRightInd w:val="0"/>
              <w:snapToGrid w:val="0"/>
              <w:jc w:val="center"/>
              <w:rPr>
                <w:color w:val="auto"/>
                <w:sz w:val="21"/>
                <w:szCs w:val="21"/>
              </w:rPr>
            </w:pPr>
            <w:r>
              <w:rPr>
                <w:bCs/>
                <w:color w:val="auto"/>
                <w:sz w:val="21"/>
                <w:szCs w:val="21"/>
              </w:rPr>
              <w:t>0.05</w:t>
            </w:r>
          </w:p>
        </w:tc>
        <w:tc>
          <w:tcPr>
            <w:tcW w:w="850" w:type="dxa"/>
            <w:shd w:val="clear" w:color="auto" w:fill="FFFFFF"/>
            <w:vAlign w:val="center"/>
          </w:tcPr>
          <w:p>
            <w:pPr>
              <w:adjustRightInd w:val="0"/>
              <w:snapToGrid w:val="0"/>
              <w:jc w:val="center"/>
              <w:rPr>
                <w:color w:val="auto"/>
                <w:sz w:val="21"/>
                <w:szCs w:val="21"/>
              </w:rPr>
            </w:pPr>
            <w:r>
              <w:rPr>
                <w:rFonts w:hint="eastAsia"/>
                <w:color w:val="auto"/>
                <w:sz w:val="21"/>
                <w:szCs w:val="21"/>
              </w:rPr>
              <w:t>20</w:t>
            </w:r>
          </w:p>
        </w:tc>
        <w:tc>
          <w:tcPr>
            <w:tcW w:w="2410" w:type="dxa"/>
            <w:shd w:val="clear" w:color="auto" w:fill="FFFFFF"/>
            <w:vAlign w:val="center"/>
          </w:tcPr>
          <w:p>
            <w:pPr>
              <w:adjustRightInd w:val="0"/>
              <w:snapToGrid w:val="0"/>
              <w:jc w:val="center"/>
              <w:rPr>
                <w:color w:val="auto"/>
                <w:sz w:val="21"/>
                <w:szCs w:val="21"/>
              </w:rPr>
            </w:pPr>
            <w:r>
              <w:rPr>
                <w:rFonts w:hint="eastAsia"/>
                <w:color w:val="auto"/>
                <w:sz w:val="21"/>
                <w:szCs w:val="21"/>
              </w:rPr>
              <w:t>总大肠菌群（CFU/100mL）</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rFonts w:hint="eastAsia"/>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10</w:t>
            </w:r>
          </w:p>
        </w:tc>
        <w:tc>
          <w:tcPr>
            <w:tcW w:w="2126" w:type="dxa"/>
            <w:shd w:val="clear" w:color="auto" w:fill="FFFFFF"/>
            <w:vAlign w:val="center"/>
          </w:tcPr>
          <w:p>
            <w:pPr>
              <w:adjustRightInd w:val="0"/>
              <w:snapToGrid w:val="0"/>
              <w:jc w:val="center"/>
              <w:rPr>
                <w:color w:val="auto"/>
                <w:sz w:val="21"/>
                <w:szCs w:val="21"/>
              </w:rPr>
            </w:pPr>
            <w:r>
              <w:rPr>
                <w:color w:val="auto"/>
                <w:sz w:val="21"/>
                <w:szCs w:val="21"/>
              </w:rPr>
              <w:t>总硬度(以CaCO</w:t>
            </w:r>
            <w:r>
              <w:rPr>
                <w:color w:val="auto"/>
                <w:sz w:val="21"/>
                <w:szCs w:val="21"/>
                <w:vertAlign w:val="subscript"/>
              </w:rPr>
              <w:t>3</w:t>
            </w:r>
            <w:r>
              <w:rPr>
                <w:color w:val="auto"/>
                <w:sz w:val="21"/>
                <w:szCs w:val="21"/>
              </w:rPr>
              <w:t>计）</w:t>
            </w:r>
            <w:r>
              <w:rPr>
                <w:iCs/>
                <w:color w:val="auto"/>
                <w:sz w:val="21"/>
                <w:szCs w:val="22"/>
              </w:rPr>
              <w:t>≤</w:t>
            </w:r>
          </w:p>
        </w:tc>
        <w:tc>
          <w:tcPr>
            <w:tcW w:w="1339" w:type="dxa"/>
            <w:shd w:val="clear" w:color="auto" w:fill="FFFFFF"/>
            <w:vAlign w:val="center"/>
          </w:tcPr>
          <w:p>
            <w:pPr>
              <w:adjustRightInd w:val="0"/>
              <w:snapToGrid w:val="0"/>
              <w:jc w:val="center"/>
              <w:rPr>
                <w:color w:val="auto"/>
                <w:sz w:val="21"/>
                <w:szCs w:val="21"/>
              </w:rPr>
            </w:pPr>
            <w:r>
              <w:rPr>
                <w:color w:val="auto"/>
                <w:sz w:val="21"/>
                <w:szCs w:val="21"/>
              </w:rPr>
              <w:t>450</w:t>
            </w:r>
          </w:p>
        </w:tc>
        <w:tc>
          <w:tcPr>
            <w:tcW w:w="850" w:type="dxa"/>
            <w:shd w:val="clear" w:color="auto" w:fill="FFFFFF"/>
            <w:vAlign w:val="center"/>
          </w:tcPr>
          <w:p>
            <w:pPr>
              <w:adjustRightInd w:val="0"/>
              <w:snapToGrid w:val="0"/>
              <w:jc w:val="center"/>
              <w:rPr>
                <w:color w:val="auto"/>
                <w:sz w:val="21"/>
                <w:szCs w:val="21"/>
              </w:rPr>
            </w:pPr>
            <w:r>
              <w:rPr>
                <w:rFonts w:hint="eastAsia"/>
                <w:color w:val="auto"/>
                <w:sz w:val="21"/>
                <w:szCs w:val="21"/>
              </w:rPr>
              <w:t>21</w:t>
            </w:r>
          </w:p>
        </w:tc>
        <w:tc>
          <w:tcPr>
            <w:tcW w:w="2410" w:type="dxa"/>
            <w:shd w:val="clear" w:color="auto" w:fill="FFFFFF"/>
            <w:vAlign w:val="center"/>
          </w:tcPr>
          <w:p>
            <w:pPr>
              <w:adjustRightInd w:val="0"/>
              <w:snapToGrid w:val="0"/>
              <w:jc w:val="center"/>
              <w:rPr>
                <w:color w:val="auto"/>
                <w:sz w:val="21"/>
                <w:szCs w:val="21"/>
              </w:rPr>
            </w:pPr>
            <w:r>
              <w:rPr>
                <w:rFonts w:hint="eastAsia"/>
                <w:color w:val="auto"/>
                <w:sz w:val="21"/>
                <w:szCs w:val="21"/>
              </w:rPr>
              <w:t>菌落总数（CFU/100mL）</w:t>
            </w:r>
            <w:r>
              <w:rPr>
                <w:iCs/>
                <w:color w:val="auto"/>
                <w:sz w:val="21"/>
                <w:szCs w:val="22"/>
              </w:rPr>
              <w:t>≤</w:t>
            </w:r>
          </w:p>
        </w:tc>
        <w:tc>
          <w:tcPr>
            <w:tcW w:w="1388" w:type="dxa"/>
            <w:shd w:val="clear" w:color="auto" w:fill="FFFFFF"/>
            <w:vAlign w:val="center"/>
          </w:tcPr>
          <w:p>
            <w:pPr>
              <w:adjustRightInd w:val="0"/>
              <w:snapToGrid w:val="0"/>
              <w:jc w:val="center"/>
              <w:rPr>
                <w:color w:val="auto"/>
                <w:sz w:val="21"/>
                <w:szCs w:val="21"/>
              </w:rPr>
            </w:pPr>
            <w:r>
              <w:rPr>
                <w:rFonts w:hint="eastAsia"/>
                <w:color w:val="auto"/>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534" w:type="dxa"/>
            <w:shd w:val="clear" w:color="auto" w:fill="FFFFFF"/>
            <w:vAlign w:val="center"/>
          </w:tcPr>
          <w:p>
            <w:pPr>
              <w:adjustRightInd w:val="0"/>
              <w:snapToGrid w:val="0"/>
              <w:jc w:val="center"/>
              <w:rPr>
                <w:color w:val="auto"/>
                <w:sz w:val="21"/>
                <w:szCs w:val="21"/>
              </w:rPr>
            </w:pPr>
            <w:r>
              <w:rPr>
                <w:bCs/>
                <w:color w:val="auto"/>
                <w:sz w:val="21"/>
                <w:szCs w:val="21"/>
              </w:rPr>
              <w:t>11</w:t>
            </w:r>
          </w:p>
        </w:tc>
        <w:tc>
          <w:tcPr>
            <w:tcW w:w="2126" w:type="dxa"/>
            <w:shd w:val="clear" w:color="auto" w:fill="FFFFFF"/>
            <w:vAlign w:val="center"/>
          </w:tcPr>
          <w:p>
            <w:pPr>
              <w:adjustRightInd w:val="0"/>
              <w:snapToGrid w:val="0"/>
              <w:jc w:val="center"/>
              <w:rPr>
                <w:color w:val="auto"/>
                <w:sz w:val="21"/>
                <w:szCs w:val="21"/>
              </w:rPr>
            </w:pPr>
            <w:r>
              <w:rPr>
                <w:color w:val="auto"/>
                <w:sz w:val="21"/>
                <w:szCs w:val="21"/>
              </w:rPr>
              <w:t>铅</w:t>
            </w:r>
            <w:r>
              <w:rPr>
                <w:iCs/>
                <w:color w:val="auto"/>
                <w:sz w:val="21"/>
                <w:szCs w:val="22"/>
              </w:rPr>
              <w:t>≤</w:t>
            </w:r>
          </w:p>
        </w:tc>
        <w:tc>
          <w:tcPr>
            <w:tcW w:w="1339" w:type="dxa"/>
            <w:shd w:val="clear" w:color="auto" w:fill="FFFFFF"/>
            <w:vAlign w:val="center"/>
          </w:tcPr>
          <w:p>
            <w:pPr>
              <w:adjustRightInd w:val="0"/>
              <w:snapToGrid w:val="0"/>
              <w:jc w:val="center"/>
              <w:rPr>
                <w:color w:val="auto"/>
                <w:sz w:val="21"/>
                <w:szCs w:val="21"/>
              </w:rPr>
            </w:pPr>
            <w:r>
              <w:rPr>
                <w:bCs/>
                <w:color w:val="auto"/>
                <w:sz w:val="21"/>
                <w:szCs w:val="21"/>
              </w:rPr>
              <w:t>0.0</w:t>
            </w:r>
            <w:r>
              <w:rPr>
                <w:rFonts w:hint="eastAsia"/>
                <w:bCs/>
                <w:color w:val="auto"/>
                <w:sz w:val="21"/>
                <w:szCs w:val="21"/>
              </w:rPr>
              <w:t>1</w:t>
            </w:r>
          </w:p>
        </w:tc>
        <w:tc>
          <w:tcPr>
            <w:tcW w:w="4648" w:type="dxa"/>
            <w:gridSpan w:val="3"/>
            <w:shd w:val="clear" w:color="auto" w:fill="FFFFFF"/>
            <w:vAlign w:val="center"/>
          </w:tcPr>
          <w:p>
            <w:pPr>
              <w:adjustRightInd w:val="0"/>
              <w:snapToGrid w:val="0"/>
              <w:jc w:val="center"/>
              <w:rPr>
                <w:color w:val="auto"/>
                <w:sz w:val="21"/>
                <w:szCs w:val="21"/>
              </w:rPr>
            </w:pPr>
            <w:r>
              <w:rPr>
                <w:rFonts w:hint="eastAsia"/>
                <w:color w:val="auto"/>
                <w:sz w:val="21"/>
                <w:szCs w:val="21"/>
              </w:rPr>
              <w:t>——</w:t>
            </w:r>
          </w:p>
        </w:tc>
      </w:tr>
    </w:tbl>
    <w:p>
      <w:pPr>
        <w:spacing w:line="360" w:lineRule="auto"/>
        <w:ind w:firstLine="482" w:firstLineChars="200"/>
        <w:rPr>
          <w:b/>
          <w:color w:val="auto"/>
          <w:sz w:val="24"/>
          <w:szCs w:val="24"/>
        </w:rPr>
      </w:pPr>
      <w:r>
        <w:rPr>
          <w:rFonts w:hint="eastAsia"/>
          <w:b/>
          <w:color w:val="auto"/>
          <w:sz w:val="24"/>
          <w:szCs w:val="24"/>
        </w:rPr>
        <w:t>4、</w:t>
      </w:r>
      <w:r>
        <w:rPr>
          <w:rFonts w:hAnsi="Arial"/>
          <w:b/>
          <w:color w:val="auto"/>
          <w:sz w:val="24"/>
          <w:szCs w:val="24"/>
        </w:rPr>
        <w:t>声环境质量标准</w:t>
      </w:r>
    </w:p>
    <w:p>
      <w:pPr>
        <w:spacing w:line="360" w:lineRule="auto"/>
        <w:ind w:firstLine="480" w:firstLineChars="200"/>
        <w:jc w:val="left"/>
        <w:rPr>
          <w:color w:val="auto"/>
          <w:kern w:val="0"/>
          <w:sz w:val="24"/>
          <w:szCs w:val="24"/>
        </w:rPr>
      </w:pPr>
      <w:r>
        <w:rPr>
          <w:rFonts w:hint="eastAsia"/>
          <w:color w:val="auto"/>
          <w:kern w:val="0"/>
          <w:sz w:val="24"/>
          <w:szCs w:val="24"/>
        </w:rPr>
        <w:t>项目区域属于2类噪声标准适用区，</w:t>
      </w:r>
      <w:r>
        <w:rPr>
          <w:color w:val="auto"/>
          <w:kern w:val="0"/>
          <w:sz w:val="24"/>
          <w:szCs w:val="24"/>
        </w:rPr>
        <w:t>执行《声环境质量标准》（GB3096-2008）</w:t>
      </w:r>
      <w:r>
        <w:rPr>
          <w:rFonts w:hint="eastAsia"/>
          <w:color w:val="auto"/>
          <w:kern w:val="0"/>
          <w:sz w:val="24"/>
          <w:szCs w:val="24"/>
        </w:rPr>
        <w:t>2</w:t>
      </w:r>
      <w:r>
        <w:rPr>
          <w:color w:val="auto"/>
          <w:kern w:val="0"/>
          <w:sz w:val="24"/>
          <w:szCs w:val="24"/>
        </w:rPr>
        <w:t>类标准。</w:t>
      </w:r>
    </w:p>
    <w:p>
      <w:pPr>
        <w:spacing w:line="360" w:lineRule="auto"/>
        <w:ind w:firstLine="480" w:firstLineChars="200"/>
        <w:jc w:val="left"/>
        <w:rPr>
          <w:color w:val="auto"/>
          <w:kern w:val="0"/>
          <w:sz w:val="24"/>
          <w:szCs w:val="24"/>
        </w:rPr>
      </w:pPr>
      <w:r>
        <w:rPr>
          <w:color w:val="auto"/>
          <w:kern w:val="0"/>
          <w:sz w:val="24"/>
          <w:szCs w:val="24"/>
        </w:rPr>
        <w:t>具体标准数值见</w:t>
      </w:r>
      <w:r>
        <w:rPr>
          <w:rFonts w:hint="eastAsia"/>
          <w:color w:val="auto"/>
          <w:kern w:val="0"/>
          <w:sz w:val="24"/>
          <w:szCs w:val="24"/>
        </w:rPr>
        <w:t>下表。</w:t>
      </w:r>
    </w:p>
    <w:p>
      <w:pPr>
        <w:spacing w:line="360" w:lineRule="auto"/>
        <w:ind w:firstLine="480" w:firstLineChars="200"/>
        <w:jc w:val="left"/>
        <w:rPr>
          <w:color w:val="auto"/>
          <w:kern w:val="0"/>
          <w:sz w:val="24"/>
          <w:szCs w:val="24"/>
        </w:rPr>
      </w:pPr>
    </w:p>
    <w:p>
      <w:pPr>
        <w:spacing w:line="360" w:lineRule="auto"/>
        <w:ind w:firstLine="480" w:firstLineChars="200"/>
        <w:jc w:val="left"/>
        <w:rPr>
          <w:color w:val="auto"/>
          <w:kern w:val="0"/>
          <w:sz w:val="24"/>
          <w:szCs w:val="24"/>
        </w:rPr>
      </w:pPr>
    </w:p>
    <w:p>
      <w:pPr>
        <w:spacing w:line="360" w:lineRule="auto"/>
        <w:jc w:val="center"/>
        <w:rPr>
          <w:b/>
          <w:color w:val="auto"/>
          <w:sz w:val="24"/>
          <w:szCs w:val="24"/>
        </w:rPr>
      </w:pPr>
      <w:r>
        <w:rPr>
          <w:rFonts w:hint="eastAsia"/>
          <w:b/>
          <w:color w:val="auto"/>
          <w:sz w:val="24"/>
          <w:szCs w:val="24"/>
        </w:rPr>
        <w:t xml:space="preserve">表2-6-4   </w:t>
      </w:r>
      <w:r>
        <w:rPr>
          <w:b/>
          <w:color w:val="auto"/>
          <w:sz w:val="24"/>
          <w:szCs w:val="24"/>
        </w:rPr>
        <w:t>声环境质量标准</w:t>
      </w:r>
      <w:r>
        <w:rPr>
          <w:rFonts w:hint="eastAsia"/>
          <w:b/>
          <w:color w:val="auto"/>
          <w:sz w:val="24"/>
          <w:szCs w:val="24"/>
        </w:rPr>
        <w:t xml:space="preserve">   </w:t>
      </w:r>
      <w:r>
        <w:rPr>
          <w:b/>
          <w:color w:val="auto"/>
          <w:sz w:val="24"/>
          <w:szCs w:val="24"/>
        </w:rPr>
        <w:t>单位：dB(A)</w:t>
      </w:r>
    </w:p>
    <w:tbl>
      <w:tblPr>
        <w:tblStyle w:val="28"/>
        <w:tblW w:w="8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0"/>
        <w:gridCol w:w="3305"/>
        <w:gridCol w:w="3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280" w:type="dxa"/>
            <w:vMerge w:val="restart"/>
            <w:vAlign w:val="center"/>
          </w:tcPr>
          <w:p>
            <w:pPr>
              <w:adjustRightInd w:val="0"/>
              <w:snapToGrid w:val="0"/>
              <w:jc w:val="center"/>
              <w:rPr>
                <w:b/>
                <w:color w:val="auto"/>
                <w:sz w:val="21"/>
                <w:szCs w:val="21"/>
              </w:rPr>
            </w:pPr>
            <w:r>
              <w:rPr>
                <w:b/>
                <w:color w:val="auto"/>
                <w:sz w:val="21"/>
                <w:szCs w:val="21"/>
              </w:rPr>
              <w:t>声环境功能区类别</w:t>
            </w:r>
          </w:p>
        </w:tc>
        <w:tc>
          <w:tcPr>
            <w:tcW w:w="6610" w:type="dxa"/>
            <w:gridSpan w:val="2"/>
            <w:vAlign w:val="center"/>
          </w:tcPr>
          <w:p>
            <w:pPr>
              <w:adjustRightInd w:val="0"/>
              <w:snapToGrid w:val="0"/>
              <w:jc w:val="center"/>
              <w:rPr>
                <w:b/>
                <w:color w:val="auto"/>
                <w:sz w:val="21"/>
                <w:szCs w:val="21"/>
                <w:lang w:val="zh-CN"/>
              </w:rPr>
            </w:pPr>
            <w:r>
              <w:rPr>
                <w:b/>
                <w:color w:val="auto"/>
                <w:sz w:val="21"/>
                <w:szCs w:val="21"/>
                <w:lang w:val="zh-CN"/>
              </w:rPr>
              <w:t>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280" w:type="dxa"/>
            <w:vMerge w:val="continue"/>
            <w:vAlign w:val="center"/>
          </w:tcPr>
          <w:p>
            <w:pPr>
              <w:adjustRightInd w:val="0"/>
              <w:snapToGrid w:val="0"/>
              <w:jc w:val="center"/>
              <w:rPr>
                <w:b/>
                <w:color w:val="auto"/>
                <w:sz w:val="21"/>
                <w:szCs w:val="21"/>
                <w:lang w:val="zh-CN"/>
              </w:rPr>
            </w:pPr>
          </w:p>
        </w:tc>
        <w:tc>
          <w:tcPr>
            <w:tcW w:w="3305" w:type="dxa"/>
            <w:vAlign w:val="center"/>
          </w:tcPr>
          <w:p>
            <w:pPr>
              <w:adjustRightInd w:val="0"/>
              <w:snapToGrid w:val="0"/>
              <w:jc w:val="center"/>
              <w:rPr>
                <w:b/>
                <w:color w:val="auto"/>
                <w:sz w:val="21"/>
                <w:szCs w:val="21"/>
                <w:lang w:val="zh-CN"/>
              </w:rPr>
            </w:pPr>
            <w:r>
              <w:rPr>
                <w:b/>
                <w:color w:val="auto"/>
                <w:sz w:val="21"/>
                <w:szCs w:val="21"/>
                <w:lang w:val="zh-CN"/>
              </w:rPr>
              <w:t>昼间</w:t>
            </w:r>
          </w:p>
        </w:tc>
        <w:tc>
          <w:tcPr>
            <w:tcW w:w="3305" w:type="dxa"/>
            <w:vAlign w:val="center"/>
          </w:tcPr>
          <w:p>
            <w:pPr>
              <w:adjustRightInd w:val="0"/>
              <w:snapToGrid w:val="0"/>
              <w:jc w:val="center"/>
              <w:rPr>
                <w:b/>
                <w:color w:val="auto"/>
                <w:sz w:val="21"/>
                <w:szCs w:val="21"/>
                <w:lang w:val="zh-CN"/>
              </w:rPr>
            </w:pPr>
            <w:r>
              <w:rPr>
                <w:b/>
                <w:color w:val="auto"/>
                <w:sz w:val="21"/>
                <w:szCs w:val="21"/>
                <w:lang w:val="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280" w:type="dxa"/>
            <w:vAlign w:val="center"/>
          </w:tcPr>
          <w:p>
            <w:pPr>
              <w:adjustRightInd w:val="0"/>
              <w:snapToGrid w:val="0"/>
              <w:jc w:val="center"/>
              <w:rPr>
                <w:color w:val="auto"/>
                <w:sz w:val="21"/>
                <w:szCs w:val="21"/>
              </w:rPr>
            </w:pPr>
            <w:r>
              <w:rPr>
                <w:rFonts w:hint="eastAsia"/>
                <w:color w:val="auto"/>
                <w:sz w:val="21"/>
                <w:szCs w:val="21"/>
              </w:rPr>
              <w:t>2</w:t>
            </w:r>
            <w:r>
              <w:rPr>
                <w:color w:val="auto"/>
                <w:sz w:val="21"/>
                <w:szCs w:val="21"/>
              </w:rPr>
              <w:t>类</w:t>
            </w:r>
          </w:p>
        </w:tc>
        <w:tc>
          <w:tcPr>
            <w:tcW w:w="3305" w:type="dxa"/>
            <w:vAlign w:val="center"/>
          </w:tcPr>
          <w:p>
            <w:pPr>
              <w:adjustRightInd w:val="0"/>
              <w:snapToGrid w:val="0"/>
              <w:jc w:val="center"/>
              <w:rPr>
                <w:color w:val="auto"/>
                <w:sz w:val="21"/>
                <w:szCs w:val="21"/>
                <w:lang w:val="zh-CN"/>
              </w:rPr>
            </w:pPr>
            <w:r>
              <w:rPr>
                <w:color w:val="auto"/>
                <w:sz w:val="21"/>
                <w:szCs w:val="21"/>
                <w:lang w:val="zh-CN"/>
              </w:rPr>
              <w:t>6</w:t>
            </w:r>
            <w:r>
              <w:rPr>
                <w:rFonts w:hint="eastAsia"/>
                <w:color w:val="auto"/>
                <w:sz w:val="21"/>
                <w:szCs w:val="21"/>
                <w:lang w:val="zh-CN"/>
              </w:rPr>
              <w:t>0</w:t>
            </w:r>
          </w:p>
        </w:tc>
        <w:tc>
          <w:tcPr>
            <w:tcW w:w="3305" w:type="dxa"/>
            <w:vAlign w:val="center"/>
          </w:tcPr>
          <w:p>
            <w:pPr>
              <w:adjustRightInd w:val="0"/>
              <w:snapToGrid w:val="0"/>
              <w:jc w:val="center"/>
              <w:rPr>
                <w:color w:val="auto"/>
                <w:sz w:val="21"/>
                <w:szCs w:val="21"/>
                <w:lang w:val="zh-CN"/>
              </w:rPr>
            </w:pPr>
            <w:r>
              <w:rPr>
                <w:color w:val="auto"/>
                <w:sz w:val="21"/>
                <w:szCs w:val="21"/>
                <w:lang w:val="zh-CN"/>
              </w:rPr>
              <w:t>5</w:t>
            </w:r>
            <w:r>
              <w:rPr>
                <w:rFonts w:hint="eastAsia"/>
                <w:color w:val="auto"/>
                <w:sz w:val="21"/>
                <w:szCs w:val="21"/>
                <w:lang w:val="zh-CN"/>
              </w:rPr>
              <w:t>0</w:t>
            </w:r>
          </w:p>
        </w:tc>
      </w:tr>
    </w:tbl>
    <w:p>
      <w:pPr>
        <w:spacing w:line="360" w:lineRule="auto"/>
        <w:ind w:firstLine="482" w:firstLineChars="200"/>
        <w:rPr>
          <w:b/>
          <w:color w:val="auto"/>
          <w:sz w:val="24"/>
          <w:szCs w:val="24"/>
        </w:rPr>
      </w:pPr>
      <w:r>
        <w:rPr>
          <w:rFonts w:hint="eastAsia"/>
          <w:b/>
          <w:color w:val="auto"/>
          <w:sz w:val="24"/>
          <w:szCs w:val="24"/>
        </w:rPr>
        <w:t>5、</w:t>
      </w:r>
      <w:r>
        <w:rPr>
          <w:rFonts w:hAnsi="Arial"/>
          <w:b/>
          <w:color w:val="auto"/>
          <w:sz w:val="24"/>
          <w:szCs w:val="24"/>
        </w:rPr>
        <w:t>土壤环境质量标准</w:t>
      </w:r>
    </w:p>
    <w:p>
      <w:pPr>
        <w:spacing w:line="360" w:lineRule="auto"/>
        <w:ind w:firstLine="480" w:firstLineChars="200"/>
        <w:rPr>
          <w:color w:val="auto"/>
          <w:sz w:val="24"/>
          <w:szCs w:val="24"/>
        </w:rPr>
      </w:pPr>
      <w:r>
        <w:rPr>
          <w:color w:val="auto"/>
          <w:sz w:val="24"/>
          <w:szCs w:val="24"/>
        </w:rPr>
        <w:t>土壤环境质量标准执行《土壤环境质量</w:t>
      </w:r>
      <w:r>
        <w:rPr>
          <w:rFonts w:hint="eastAsia"/>
          <w:color w:val="auto"/>
          <w:sz w:val="24"/>
          <w:szCs w:val="24"/>
        </w:rPr>
        <w:t xml:space="preserve"> 建设用地土壤污染风险管控标准</w:t>
      </w:r>
      <w:r>
        <w:rPr>
          <w:color w:val="auto"/>
          <w:sz w:val="24"/>
          <w:szCs w:val="24"/>
        </w:rPr>
        <w:t>》</w:t>
      </w:r>
      <w:r>
        <w:rPr>
          <w:rFonts w:hint="eastAsia"/>
          <w:color w:val="auto"/>
          <w:sz w:val="24"/>
          <w:szCs w:val="24"/>
        </w:rPr>
        <w:t>（试行）</w:t>
      </w:r>
      <w:r>
        <w:rPr>
          <w:color w:val="auto"/>
          <w:sz w:val="24"/>
          <w:szCs w:val="24"/>
        </w:rPr>
        <w:t>(GB</w:t>
      </w:r>
      <w:r>
        <w:rPr>
          <w:rFonts w:hint="eastAsia"/>
          <w:color w:val="auto"/>
          <w:sz w:val="24"/>
          <w:szCs w:val="24"/>
        </w:rPr>
        <w:t>3600</w:t>
      </w:r>
      <w:r>
        <w:rPr>
          <w:color w:val="auto"/>
          <w:sz w:val="24"/>
          <w:szCs w:val="24"/>
        </w:rPr>
        <w:t>－</w:t>
      </w:r>
      <w:r>
        <w:rPr>
          <w:rFonts w:hint="eastAsia"/>
          <w:color w:val="auto"/>
          <w:sz w:val="24"/>
          <w:szCs w:val="24"/>
        </w:rPr>
        <w:t>2018</w:t>
      </w:r>
      <w:r>
        <w:rPr>
          <w:color w:val="auto"/>
          <w:sz w:val="24"/>
          <w:szCs w:val="24"/>
        </w:rPr>
        <w:t>)</w:t>
      </w:r>
      <w:r>
        <w:rPr>
          <w:rFonts w:hint="eastAsia"/>
          <w:color w:val="auto"/>
          <w:sz w:val="24"/>
          <w:szCs w:val="24"/>
        </w:rPr>
        <w:t>第二类用地土壤环境风险筛选值</w:t>
      </w:r>
      <w:r>
        <w:rPr>
          <w:color w:val="auto"/>
          <w:sz w:val="24"/>
          <w:szCs w:val="24"/>
        </w:rPr>
        <w:t>，</w:t>
      </w:r>
      <w:r>
        <w:rPr>
          <w:rFonts w:hint="eastAsia"/>
          <w:color w:val="auto"/>
          <w:sz w:val="24"/>
          <w:szCs w:val="24"/>
        </w:rPr>
        <w:t>详见下表</w:t>
      </w:r>
      <w:r>
        <w:rPr>
          <w:color w:val="auto"/>
          <w:sz w:val="24"/>
          <w:szCs w:val="24"/>
        </w:rPr>
        <w:t>。</w:t>
      </w:r>
    </w:p>
    <w:p>
      <w:pPr>
        <w:spacing w:line="360" w:lineRule="auto"/>
        <w:jc w:val="center"/>
        <w:rPr>
          <w:b/>
          <w:color w:val="auto"/>
          <w:sz w:val="24"/>
          <w:szCs w:val="24"/>
        </w:rPr>
      </w:pPr>
      <w:r>
        <w:rPr>
          <w:rFonts w:hint="eastAsia"/>
          <w:b/>
          <w:color w:val="auto"/>
          <w:sz w:val="24"/>
          <w:szCs w:val="24"/>
        </w:rPr>
        <w:t xml:space="preserve">表2-6-5   </w:t>
      </w:r>
      <w:r>
        <w:rPr>
          <w:b/>
          <w:color w:val="auto"/>
          <w:sz w:val="24"/>
          <w:szCs w:val="24"/>
        </w:rPr>
        <w:t>土壤环境质量标准</w:t>
      </w:r>
      <w:r>
        <w:rPr>
          <w:rFonts w:hint="eastAsia"/>
          <w:b/>
          <w:color w:val="auto"/>
          <w:sz w:val="24"/>
          <w:szCs w:val="24"/>
        </w:rPr>
        <w:t xml:space="preserve">   </w:t>
      </w:r>
      <w:r>
        <w:rPr>
          <w:b/>
          <w:color w:val="auto"/>
          <w:sz w:val="24"/>
          <w:szCs w:val="24"/>
        </w:rPr>
        <w:t>单位：mg/kg</w:t>
      </w:r>
    </w:p>
    <w:tbl>
      <w:tblPr>
        <w:tblStyle w:val="28"/>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2"/>
        <w:gridCol w:w="3191"/>
        <w:gridCol w:w="5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753" w:type="dxa"/>
            <w:gridSpan w:val="2"/>
            <w:vMerge w:val="restart"/>
            <w:tcBorders>
              <w:top w:val="single" w:color="auto" w:sz="4" w:space="0"/>
              <w:left w:val="single" w:color="auto" w:sz="4" w:space="0"/>
              <w:bottom w:val="single" w:color="auto" w:sz="4" w:space="0"/>
              <w:right w:val="single" w:color="auto" w:sz="4" w:space="0"/>
            </w:tcBorders>
            <w:vAlign w:val="center"/>
          </w:tcPr>
          <w:p>
            <w:pPr>
              <w:autoSpaceDE w:val="0"/>
              <w:jc w:val="center"/>
              <w:rPr>
                <w:color w:val="auto"/>
                <w:kern w:val="0"/>
                <w:sz w:val="21"/>
                <w:szCs w:val="21"/>
              </w:rPr>
            </w:pPr>
            <w:r>
              <w:rPr>
                <w:b/>
                <w:bCs/>
                <w:color w:val="auto"/>
                <w:kern w:val="0"/>
                <w:sz w:val="21"/>
                <w:szCs w:val="21"/>
              </w:rPr>
              <w:t>分类项目</w:t>
            </w:r>
          </w:p>
        </w:tc>
        <w:tc>
          <w:tcPr>
            <w:tcW w:w="5379" w:type="dxa"/>
            <w:tcBorders>
              <w:top w:val="single" w:color="auto" w:sz="4" w:space="0"/>
              <w:left w:val="nil"/>
              <w:bottom w:val="single" w:color="auto" w:sz="4" w:space="0"/>
              <w:right w:val="single" w:color="auto" w:sz="4" w:space="0"/>
            </w:tcBorders>
            <w:tcMar>
              <w:top w:w="0" w:type="dxa"/>
              <w:left w:w="0" w:type="dxa"/>
              <w:bottom w:w="0" w:type="dxa"/>
              <w:right w:w="57" w:type="dxa"/>
            </w:tcMar>
            <w:vAlign w:val="center"/>
          </w:tcPr>
          <w:p>
            <w:pPr>
              <w:autoSpaceDE w:val="0"/>
              <w:jc w:val="center"/>
              <w:rPr>
                <w:b/>
                <w:bCs/>
                <w:color w:val="auto"/>
                <w:kern w:val="0"/>
                <w:sz w:val="21"/>
                <w:szCs w:val="21"/>
              </w:rPr>
            </w:pPr>
            <w:r>
              <w:rPr>
                <w:b/>
                <w:bCs/>
                <w:color w:val="auto"/>
                <w:kern w:val="0"/>
                <w:sz w:val="21"/>
                <w:szCs w:val="21"/>
              </w:rPr>
              <w:t>本地块土壤环境风险筛选值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2" w:hRule="atLeast"/>
          <w:jc w:val="center"/>
        </w:trPr>
        <w:tc>
          <w:tcPr>
            <w:tcW w:w="3753"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color w:val="auto"/>
                <w:kern w:val="0"/>
                <w:sz w:val="21"/>
                <w:szCs w:val="21"/>
              </w:rPr>
            </w:pPr>
          </w:p>
        </w:tc>
        <w:tc>
          <w:tcPr>
            <w:tcW w:w="5379" w:type="dxa"/>
            <w:tcBorders>
              <w:top w:val="single" w:color="auto" w:sz="4" w:space="0"/>
              <w:left w:val="nil"/>
              <w:bottom w:val="single" w:color="auto" w:sz="4" w:space="0"/>
              <w:right w:val="single" w:color="auto" w:sz="4" w:space="0"/>
            </w:tcBorders>
            <w:tcMar>
              <w:top w:w="0" w:type="dxa"/>
              <w:left w:w="0" w:type="dxa"/>
              <w:bottom w:w="0" w:type="dxa"/>
              <w:right w:w="57" w:type="dxa"/>
            </w:tcMar>
            <w:vAlign w:val="center"/>
          </w:tcPr>
          <w:p>
            <w:pPr>
              <w:autoSpaceDE w:val="0"/>
              <w:jc w:val="center"/>
              <w:rPr>
                <w:b/>
                <w:color w:val="auto"/>
                <w:kern w:val="0"/>
                <w:sz w:val="21"/>
                <w:szCs w:val="21"/>
              </w:rPr>
            </w:pPr>
            <w:r>
              <w:rPr>
                <w:rFonts w:hint="eastAsia"/>
                <w:b/>
                <w:color w:val="auto"/>
                <w:kern w:val="0"/>
                <w:sz w:val="21"/>
                <w:szCs w:val="21"/>
              </w:rPr>
              <w:t>第二类用地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restart"/>
            <w:tcBorders>
              <w:top w:val="nil"/>
              <w:left w:val="single" w:color="auto" w:sz="4" w:space="0"/>
              <w:bottom w:val="single" w:color="auto" w:sz="4" w:space="0"/>
              <w:right w:val="single" w:color="auto" w:sz="4" w:space="0"/>
            </w:tcBorders>
            <w:tcMar>
              <w:top w:w="0" w:type="dxa"/>
              <w:left w:w="0" w:type="dxa"/>
              <w:bottom w:w="0" w:type="dxa"/>
              <w:right w:w="113" w:type="dxa"/>
            </w:tcMar>
            <w:vAlign w:val="center"/>
          </w:tcPr>
          <w:p>
            <w:pPr>
              <w:autoSpaceDE w:val="0"/>
              <w:spacing w:line="340" w:lineRule="exact"/>
              <w:jc w:val="center"/>
              <w:rPr>
                <w:color w:val="auto"/>
                <w:kern w:val="0"/>
                <w:sz w:val="21"/>
                <w:szCs w:val="21"/>
              </w:rPr>
            </w:pPr>
            <w:r>
              <w:rPr>
                <w:rFonts w:hint="eastAsia"/>
                <w:color w:val="auto"/>
                <w:kern w:val="0"/>
                <w:sz w:val="21"/>
                <w:szCs w:val="21"/>
              </w:rPr>
              <w:t>重金属及无机物类</w:t>
            </w: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镉</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六价铬</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铜</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铅</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汞</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镍</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restart"/>
            <w:tcBorders>
              <w:top w:val="nil"/>
              <w:left w:val="single" w:color="auto" w:sz="4" w:space="0"/>
              <w:bottom w:val="single" w:color="auto" w:sz="4" w:space="0"/>
              <w:right w:val="single" w:color="auto" w:sz="4" w:space="0"/>
            </w:tcBorders>
            <w:tcMar>
              <w:top w:w="0" w:type="dxa"/>
              <w:left w:w="0" w:type="dxa"/>
              <w:bottom w:w="0" w:type="dxa"/>
              <w:right w:w="113" w:type="dxa"/>
            </w:tcMar>
            <w:vAlign w:val="center"/>
          </w:tcPr>
          <w:p>
            <w:pPr>
              <w:autoSpaceDE w:val="0"/>
              <w:spacing w:line="340" w:lineRule="exact"/>
              <w:jc w:val="center"/>
              <w:rPr>
                <w:color w:val="auto"/>
                <w:kern w:val="0"/>
                <w:sz w:val="21"/>
                <w:szCs w:val="21"/>
              </w:rPr>
            </w:pPr>
            <w:r>
              <w:rPr>
                <w:rFonts w:hint="eastAsia"/>
                <w:color w:val="auto"/>
                <w:kern w:val="0"/>
                <w:sz w:val="21"/>
                <w:szCs w:val="21"/>
              </w:rPr>
              <w:t>挥发性有机物</w:t>
            </w: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四氯化碳</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氯仿</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氯甲烷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1,1-</w:t>
            </w:r>
            <w:r>
              <w:rPr>
                <w:rFonts w:ascii="宋体" w:hAnsi="宋体"/>
                <w:color w:val="auto"/>
                <w:kern w:val="0"/>
                <w:sz w:val="21"/>
                <w:szCs w:val="21"/>
              </w:rPr>
              <w:t>二氯乙烷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1,2-</w:t>
            </w:r>
            <w:r>
              <w:rPr>
                <w:rFonts w:ascii="宋体" w:hAnsi="宋体"/>
                <w:color w:val="auto"/>
                <w:kern w:val="0"/>
                <w:sz w:val="21"/>
                <w:szCs w:val="21"/>
              </w:rPr>
              <w:t>二氯乙烷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1,1-</w:t>
            </w:r>
            <w:r>
              <w:rPr>
                <w:rFonts w:ascii="宋体" w:hAnsi="宋体"/>
                <w:color w:val="auto"/>
                <w:kern w:val="0"/>
                <w:sz w:val="21"/>
                <w:szCs w:val="21"/>
              </w:rPr>
              <w:t>二氯乙烯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顺-1,2-</w:t>
            </w:r>
            <w:r>
              <w:rPr>
                <w:rFonts w:ascii="宋体" w:hAnsi="宋体"/>
                <w:color w:val="auto"/>
                <w:kern w:val="0"/>
                <w:sz w:val="21"/>
                <w:szCs w:val="21"/>
              </w:rPr>
              <w:t>二氯乙烯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反-1,2-</w:t>
            </w:r>
            <w:r>
              <w:rPr>
                <w:rFonts w:ascii="宋体" w:hAnsi="宋体"/>
                <w:color w:val="auto"/>
                <w:kern w:val="0"/>
                <w:sz w:val="21"/>
                <w:szCs w:val="21"/>
              </w:rPr>
              <w:t>二氯乙烯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二氯甲烷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1,2-</w:t>
            </w:r>
            <w:r>
              <w:rPr>
                <w:rFonts w:ascii="宋体" w:hAnsi="宋体"/>
                <w:color w:val="auto"/>
                <w:kern w:val="0"/>
                <w:sz w:val="21"/>
                <w:szCs w:val="21"/>
              </w:rPr>
              <w:t>二氯丙烷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1,1,1,2-</w:t>
            </w:r>
            <w:r>
              <w:rPr>
                <w:rFonts w:ascii="宋体" w:hAnsi="宋体"/>
                <w:color w:val="auto"/>
                <w:kern w:val="0"/>
                <w:sz w:val="21"/>
                <w:szCs w:val="21"/>
              </w:rPr>
              <w:t>四氯乙烷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1,1,2,2-</w:t>
            </w:r>
            <w:r>
              <w:rPr>
                <w:rFonts w:ascii="宋体" w:hAnsi="宋体"/>
                <w:color w:val="auto"/>
                <w:kern w:val="0"/>
                <w:sz w:val="21"/>
                <w:szCs w:val="21"/>
              </w:rPr>
              <w:t>四氯乙烷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四氯乙烯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1,1,1-</w:t>
            </w:r>
            <w:r>
              <w:rPr>
                <w:rFonts w:ascii="宋体" w:hAnsi="宋体"/>
                <w:color w:val="auto"/>
                <w:kern w:val="0"/>
                <w:sz w:val="21"/>
                <w:szCs w:val="21"/>
              </w:rPr>
              <w:t>三氯乙烷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1,1,2-</w:t>
            </w:r>
            <w:r>
              <w:rPr>
                <w:rFonts w:ascii="宋体" w:hAnsi="宋体"/>
                <w:color w:val="auto"/>
                <w:kern w:val="0"/>
                <w:sz w:val="21"/>
                <w:szCs w:val="21"/>
              </w:rPr>
              <w:t>三氯乙烷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三氯乙烯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1,2,3-</w:t>
            </w:r>
            <w:r>
              <w:rPr>
                <w:rFonts w:ascii="宋体" w:hAnsi="宋体"/>
                <w:color w:val="auto"/>
                <w:kern w:val="0"/>
                <w:sz w:val="21"/>
                <w:szCs w:val="21"/>
              </w:rPr>
              <w:t>三氯丙烷</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氯乙烯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氯苯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1,2-</w:t>
            </w:r>
            <w:r>
              <w:rPr>
                <w:rFonts w:ascii="宋体" w:hAnsi="宋体"/>
                <w:color w:val="auto"/>
                <w:kern w:val="0"/>
                <w:sz w:val="21"/>
                <w:szCs w:val="21"/>
              </w:rPr>
              <w:t>二氯苯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1,4-</w:t>
            </w:r>
            <w:r>
              <w:rPr>
                <w:rFonts w:ascii="宋体" w:hAnsi="宋体"/>
                <w:color w:val="auto"/>
                <w:kern w:val="0"/>
                <w:sz w:val="21"/>
                <w:szCs w:val="21"/>
              </w:rPr>
              <w:t>二氯苯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乙苯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苯乙烯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甲苯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间二甲苯+</w:t>
            </w:r>
            <w:r>
              <w:rPr>
                <w:rFonts w:ascii="宋体" w:hAnsi="宋体"/>
                <w:color w:val="auto"/>
                <w:kern w:val="0"/>
                <w:sz w:val="21"/>
                <w:szCs w:val="21"/>
              </w:rPr>
              <w:t>对二甲苯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邻二甲苯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restart"/>
            <w:tcBorders>
              <w:top w:val="nil"/>
              <w:left w:val="single" w:color="auto" w:sz="4" w:space="0"/>
              <w:bottom w:val="single" w:color="auto" w:sz="4" w:space="0"/>
              <w:right w:val="single" w:color="auto" w:sz="4" w:space="0"/>
            </w:tcBorders>
            <w:tcMar>
              <w:top w:w="0" w:type="dxa"/>
              <w:left w:w="0" w:type="dxa"/>
              <w:bottom w:w="0" w:type="dxa"/>
              <w:right w:w="113" w:type="dxa"/>
            </w:tcMar>
            <w:vAlign w:val="center"/>
          </w:tcPr>
          <w:p>
            <w:pPr>
              <w:autoSpaceDE w:val="0"/>
              <w:spacing w:line="340" w:lineRule="exact"/>
              <w:jc w:val="center"/>
              <w:rPr>
                <w:color w:val="auto"/>
                <w:kern w:val="0"/>
                <w:sz w:val="21"/>
                <w:szCs w:val="21"/>
              </w:rPr>
            </w:pPr>
            <w:r>
              <w:rPr>
                <w:rFonts w:hint="eastAsia"/>
                <w:color w:val="auto"/>
                <w:kern w:val="0"/>
                <w:sz w:val="21"/>
                <w:szCs w:val="21"/>
              </w:rPr>
              <w:t>半挥发性有机物</w:t>
            </w: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sz w:val="21"/>
                <w:szCs w:val="21"/>
              </w:rPr>
              <w:t>硝基苯</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sz w:val="21"/>
                <w:szCs w:val="21"/>
              </w:rPr>
              <w:t>苯胺</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sz w:val="21"/>
                <w:szCs w:val="21"/>
              </w:rPr>
              <w:t>2-</w:t>
            </w:r>
            <w:r>
              <w:rPr>
                <w:rFonts w:hint="eastAsia" w:ascii="宋体" w:hAnsi="宋体"/>
                <w:color w:val="auto"/>
                <w:sz w:val="21"/>
                <w:szCs w:val="21"/>
              </w:rPr>
              <w:t>氯酚</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2256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sz w:val="21"/>
                <w:szCs w:val="21"/>
              </w:rPr>
              <w:t>苯并[a]</w:t>
            </w:r>
            <w:r>
              <w:rPr>
                <w:rFonts w:hint="eastAsia" w:ascii="宋体" w:hAnsi="宋体"/>
                <w:color w:val="auto"/>
                <w:sz w:val="21"/>
                <w:szCs w:val="21"/>
              </w:rPr>
              <w:t>蒽</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sz w:val="21"/>
                <w:szCs w:val="21"/>
              </w:rPr>
              <w:t>苯并[a]</w:t>
            </w:r>
            <w:r>
              <w:rPr>
                <w:rFonts w:hint="eastAsia" w:ascii="宋体" w:hAnsi="宋体"/>
                <w:color w:val="auto"/>
                <w:sz w:val="21"/>
                <w:szCs w:val="21"/>
              </w:rPr>
              <w:t>芘</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sz w:val="21"/>
                <w:szCs w:val="21"/>
              </w:rPr>
              <w:t>苯并[b]</w:t>
            </w:r>
            <w:r>
              <w:rPr>
                <w:rFonts w:hint="eastAsia" w:ascii="宋体" w:hAnsi="宋体"/>
                <w:color w:val="auto"/>
                <w:sz w:val="21"/>
                <w:szCs w:val="21"/>
              </w:rPr>
              <w:t>荧蒽</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sz w:val="21"/>
                <w:szCs w:val="21"/>
              </w:rPr>
              <w:t>苯并[k]</w:t>
            </w:r>
            <w:r>
              <w:rPr>
                <w:rFonts w:hint="eastAsia" w:ascii="宋体" w:hAnsi="宋体"/>
                <w:color w:val="auto"/>
                <w:sz w:val="21"/>
                <w:szCs w:val="21"/>
              </w:rPr>
              <w:t>荧蒽</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color w:val="auto"/>
                <w:kern w:val="0"/>
                <w:sz w:val="21"/>
                <w:szCs w:val="21"/>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ascii="Arial" w:hAnsi="Arial" w:cs="Arial"/>
                <w:color w:val="auto"/>
                <w:sz w:val="21"/>
                <w:szCs w:val="21"/>
                <w:shd w:val="clear" w:color="auto" w:fill="FFFFFF"/>
              </w:rPr>
              <w:t>䓛</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ascii="Arial" w:hAnsi="Arial" w:cs="Arial"/>
                <w:color w:val="auto"/>
                <w:sz w:val="21"/>
                <w:szCs w:val="21"/>
                <w:shd w:val="clear" w:color="auto" w:fill="FFFFFF"/>
              </w:rPr>
              <w:t>二苯并[a,h]</w:t>
            </w:r>
            <w:r>
              <w:rPr>
                <w:rFonts w:hint="eastAsia" w:ascii="宋体" w:hAnsi="宋体" w:cs="Arial"/>
                <w:color w:val="auto"/>
                <w:sz w:val="21"/>
                <w:szCs w:val="21"/>
                <w:shd w:val="clear" w:color="auto" w:fill="FFFFFF"/>
              </w:rPr>
              <w:t>蒽</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ascii="Arial" w:hAnsi="Arial" w:cs="Arial"/>
                <w:color w:val="auto"/>
                <w:sz w:val="21"/>
                <w:szCs w:val="21"/>
                <w:shd w:val="clear" w:color="auto" w:fill="FFFFFF"/>
              </w:rPr>
              <w:t>茚并[1,2,3-cd]</w:t>
            </w:r>
            <w:r>
              <w:rPr>
                <w:rFonts w:hint="eastAsia" w:ascii="宋体" w:hAnsi="宋体" w:cs="Arial"/>
                <w:color w:val="auto"/>
                <w:sz w:val="21"/>
                <w:szCs w:val="21"/>
                <w:shd w:val="clear" w:color="auto" w:fill="FFFFFF"/>
              </w:rPr>
              <w:t>芘</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2" w:type="dxa"/>
            <w:vMerge w:val="continue"/>
            <w:tcBorders>
              <w:top w:val="nil"/>
              <w:left w:val="single" w:color="auto" w:sz="4" w:space="0"/>
              <w:bottom w:val="single" w:color="auto" w:sz="4" w:space="0"/>
              <w:right w:val="single" w:color="auto" w:sz="4" w:space="0"/>
            </w:tcBorders>
            <w:vAlign w:val="center"/>
          </w:tcPr>
          <w:p>
            <w:pPr>
              <w:jc w:val="left"/>
              <w:rPr>
                <w:color w:val="auto"/>
                <w:kern w:val="0"/>
                <w:sz w:val="21"/>
                <w:szCs w:val="21"/>
              </w:rPr>
            </w:pPr>
          </w:p>
        </w:tc>
        <w:tc>
          <w:tcPr>
            <w:tcW w:w="3191"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rFonts w:hint="eastAsia" w:ascii="Arial" w:hAnsi="Arial" w:cs="Arial"/>
                <w:color w:val="auto"/>
                <w:sz w:val="21"/>
                <w:szCs w:val="21"/>
                <w:shd w:val="clear" w:color="auto" w:fill="FFFFFF"/>
              </w:rPr>
              <w:t>萘</w:t>
            </w:r>
          </w:p>
        </w:tc>
        <w:tc>
          <w:tcPr>
            <w:tcW w:w="5379" w:type="dxa"/>
            <w:tcBorders>
              <w:top w:val="single" w:color="auto" w:sz="4" w:space="0"/>
              <w:left w:val="nil"/>
              <w:bottom w:val="single" w:color="auto" w:sz="4" w:space="0"/>
              <w:right w:val="single" w:color="auto" w:sz="4" w:space="0"/>
            </w:tcBorders>
            <w:vAlign w:val="center"/>
          </w:tcPr>
          <w:p>
            <w:pPr>
              <w:autoSpaceDE w:val="0"/>
              <w:spacing w:line="340" w:lineRule="exact"/>
              <w:jc w:val="center"/>
              <w:rPr>
                <w:color w:val="auto"/>
                <w:kern w:val="0"/>
                <w:sz w:val="21"/>
                <w:szCs w:val="21"/>
              </w:rPr>
            </w:pPr>
            <w:r>
              <w:rPr>
                <w:color w:val="auto"/>
                <w:kern w:val="0"/>
                <w:sz w:val="21"/>
                <w:szCs w:val="21"/>
              </w:rPr>
              <w:t>70</w:t>
            </w:r>
          </w:p>
        </w:tc>
      </w:tr>
    </w:tbl>
    <w:p>
      <w:pPr>
        <w:spacing w:line="360" w:lineRule="auto"/>
        <w:ind w:firstLine="482" w:firstLineChars="200"/>
        <w:rPr>
          <w:rFonts w:hAnsi="Arial"/>
          <w:b/>
          <w:color w:val="auto"/>
          <w:sz w:val="24"/>
          <w:szCs w:val="24"/>
        </w:rPr>
      </w:pPr>
      <w:r>
        <w:rPr>
          <w:rFonts w:hint="eastAsia" w:hAnsi="Arial"/>
          <w:b/>
          <w:color w:val="auto"/>
          <w:sz w:val="24"/>
          <w:szCs w:val="24"/>
        </w:rPr>
        <w:t>6、河道底泥质量标准</w:t>
      </w:r>
    </w:p>
    <w:p>
      <w:pPr>
        <w:spacing w:line="360" w:lineRule="auto"/>
        <w:ind w:firstLine="480" w:firstLineChars="200"/>
        <w:rPr>
          <w:color w:val="auto"/>
          <w:sz w:val="24"/>
          <w:szCs w:val="24"/>
        </w:rPr>
      </w:pPr>
      <w:r>
        <w:rPr>
          <w:rFonts w:hint="eastAsia"/>
          <w:color w:val="auto"/>
          <w:sz w:val="24"/>
          <w:szCs w:val="24"/>
        </w:rPr>
        <w:t>河道底泥</w:t>
      </w:r>
      <w:r>
        <w:rPr>
          <w:color w:val="auto"/>
          <w:sz w:val="24"/>
          <w:szCs w:val="24"/>
        </w:rPr>
        <w:t>环境质量标准</w:t>
      </w:r>
      <w:r>
        <w:rPr>
          <w:rFonts w:hint="eastAsia"/>
          <w:color w:val="auto"/>
          <w:sz w:val="24"/>
          <w:szCs w:val="24"/>
        </w:rPr>
        <w:t>参照</w:t>
      </w:r>
      <w:r>
        <w:rPr>
          <w:color w:val="auto"/>
          <w:sz w:val="24"/>
          <w:szCs w:val="24"/>
        </w:rPr>
        <w:t>执行《</w:t>
      </w:r>
      <w:r>
        <w:rPr>
          <w:rFonts w:hint="eastAsia"/>
          <w:color w:val="auto"/>
          <w:sz w:val="24"/>
          <w:szCs w:val="24"/>
        </w:rPr>
        <w:t>土壤环境质量 农用地土壤污染风险管控标准（试行）</w:t>
      </w:r>
      <w:r>
        <w:rPr>
          <w:color w:val="auto"/>
          <w:sz w:val="24"/>
          <w:szCs w:val="24"/>
        </w:rPr>
        <w:t>》</w:t>
      </w:r>
      <w:r>
        <w:rPr>
          <w:rFonts w:hint="eastAsia"/>
          <w:color w:val="auto"/>
          <w:sz w:val="24"/>
          <w:szCs w:val="24"/>
        </w:rPr>
        <w:t xml:space="preserve"> </w:t>
      </w:r>
      <w:r>
        <w:rPr>
          <w:color w:val="auto"/>
          <w:sz w:val="24"/>
          <w:szCs w:val="24"/>
        </w:rPr>
        <w:t>(</w:t>
      </w:r>
      <w:r>
        <w:rPr>
          <w:rFonts w:hint="eastAsia"/>
          <w:color w:val="auto"/>
          <w:sz w:val="24"/>
          <w:szCs w:val="24"/>
        </w:rPr>
        <w:t>GB15618-2018</w:t>
      </w:r>
      <w:r>
        <w:rPr>
          <w:color w:val="auto"/>
          <w:sz w:val="24"/>
          <w:szCs w:val="24"/>
        </w:rPr>
        <w:t>)，</w:t>
      </w:r>
      <w:r>
        <w:rPr>
          <w:rFonts w:hint="eastAsia"/>
          <w:color w:val="auto"/>
          <w:sz w:val="24"/>
          <w:szCs w:val="24"/>
        </w:rPr>
        <w:t>详见下表</w:t>
      </w:r>
      <w:r>
        <w:rPr>
          <w:color w:val="auto"/>
          <w:sz w:val="24"/>
          <w:szCs w:val="24"/>
        </w:rPr>
        <w:t>。</w:t>
      </w:r>
    </w:p>
    <w:p>
      <w:pPr>
        <w:spacing w:line="360" w:lineRule="auto"/>
        <w:jc w:val="center"/>
        <w:rPr>
          <w:b/>
          <w:color w:val="auto"/>
          <w:sz w:val="24"/>
          <w:szCs w:val="24"/>
        </w:rPr>
      </w:pPr>
      <w:r>
        <w:rPr>
          <w:rFonts w:hint="eastAsia"/>
          <w:b/>
          <w:color w:val="auto"/>
          <w:sz w:val="24"/>
          <w:szCs w:val="24"/>
        </w:rPr>
        <w:t xml:space="preserve">表2-6-6   农用地土壤污染风险管控筛选值   </w:t>
      </w:r>
      <w:r>
        <w:rPr>
          <w:b/>
          <w:color w:val="auto"/>
          <w:sz w:val="24"/>
          <w:szCs w:val="24"/>
        </w:rPr>
        <w:t>单位：mg/kg</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05"/>
        <w:gridCol w:w="1090"/>
        <w:gridCol w:w="1558"/>
        <w:gridCol w:w="2125"/>
        <w:gridCol w:w="1712"/>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2095" w:type="dxa"/>
            <w:gridSpan w:val="2"/>
            <w:vMerge w:val="restart"/>
            <w:vAlign w:val="center"/>
          </w:tcPr>
          <w:p>
            <w:pPr>
              <w:jc w:val="center"/>
              <w:rPr>
                <w:b/>
                <w:iCs/>
                <w:color w:val="auto"/>
                <w:sz w:val="21"/>
                <w:szCs w:val="22"/>
              </w:rPr>
            </w:pPr>
            <w:r>
              <w:rPr>
                <w:rFonts w:hint="eastAsia"/>
                <w:b/>
                <w:iCs/>
                <w:color w:val="auto"/>
                <w:sz w:val="21"/>
                <w:szCs w:val="22"/>
              </w:rPr>
              <w:t>污染</w:t>
            </w:r>
            <w:r>
              <w:rPr>
                <w:b/>
                <w:iCs/>
                <w:color w:val="auto"/>
                <w:sz w:val="21"/>
                <w:szCs w:val="22"/>
              </w:rPr>
              <w:t>项目</w:t>
            </w:r>
          </w:p>
        </w:tc>
        <w:tc>
          <w:tcPr>
            <w:tcW w:w="7191" w:type="dxa"/>
            <w:gridSpan w:val="4"/>
            <w:vAlign w:val="center"/>
          </w:tcPr>
          <w:p>
            <w:pPr>
              <w:jc w:val="center"/>
              <w:rPr>
                <w:b/>
                <w:iCs/>
                <w:color w:val="auto"/>
                <w:sz w:val="21"/>
                <w:szCs w:val="22"/>
              </w:rPr>
            </w:pPr>
            <w:r>
              <w:rPr>
                <w:rFonts w:hint="eastAsia"/>
                <w:b/>
                <w:iCs/>
                <w:color w:val="auto"/>
                <w:sz w:val="21"/>
                <w:szCs w:val="22"/>
              </w:rPr>
              <w:t>风险筛选值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2095" w:type="dxa"/>
            <w:gridSpan w:val="2"/>
            <w:vMerge w:val="continue"/>
            <w:vAlign w:val="center"/>
          </w:tcPr>
          <w:p>
            <w:pPr>
              <w:jc w:val="center"/>
              <w:rPr>
                <w:iCs/>
                <w:color w:val="auto"/>
                <w:sz w:val="21"/>
                <w:szCs w:val="22"/>
              </w:rPr>
            </w:pPr>
          </w:p>
        </w:tc>
        <w:tc>
          <w:tcPr>
            <w:tcW w:w="1558" w:type="dxa"/>
            <w:vAlign w:val="center"/>
          </w:tcPr>
          <w:p>
            <w:pPr>
              <w:jc w:val="center"/>
              <w:rPr>
                <w:b/>
                <w:iCs/>
                <w:color w:val="auto"/>
                <w:sz w:val="21"/>
                <w:szCs w:val="22"/>
              </w:rPr>
            </w:pPr>
            <w:r>
              <w:rPr>
                <w:rFonts w:hint="eastAsia"/>
                <w:b/>
                <w:iCs/>
                <w:color w:val="auto"/>
                <w:sz w:val="21"/>
                <w:szCs w:val="22"/>
              </w:rPr>
              <w:t>pH</w:t>
            </w:r>
            <w:r>
              <w:rPr>
                <w:b/>
                <w:iCs/>
                <w:color w:val="auto"/>
                <w:sz w:val="21"/>
                <w:szCs w:val="22"/>
              </w:rPr>
              <w:t>≤</w:t>
            </w:r>
            <w:r>
              <w:rPr>
                <w:rFonts w:hint="eastAsia"/>
                <w:b/>
                <w:iCs/>
                <w:color w:val="auto"/>
                <w:sz w:val="21"/>
                <w:szCs w:val="22"/>
              </w:rPr>
              <w:t>5.5</w:t>
            </w:r>
          </w:p>
        </w:tc>
        <w:tc>
          <w:tcPr>
            <w:tcW w:w="2125" w:type="dxa"/>
          </w:tcPr>
          <w:p>
            <w:pPr>
              <w:jc w:val="center"/>
              <w:rPr>
                <w:b/>
                <w:iCs/>
                <w:color w:val="auto"/>
                <w:sz w:val="21"/>
                <w:szCs w:val="22"/>
              </w:rPr>
            </w:pPr>
            <w:r>
              <w:rPr>
                <w:rFonts w:hint="eastAsia"/>
                <w:b/>
                <w:iCs/>
                <w:color w:val="auto"/>
                <w:sz w:val="21"/>
                <w:szCs w:val="22"/>
              </w:rPr>
              <w:t>5.5&lt;pH</w:t>
            </w:r>
            <w:r>
              <w:rPr>
                <w:b/>
                <w:iCs/>
                <w:color w:val="auto"/>
                <w:sz w:val="21"/>
                <w:szCs w:val="22"/>
              </w:rPr>
              <w:t>≤</w:t>
            </w:r>
            <w:r>
              <w:rPr>
                <w:rFonts w:hint="eastAsia"/>
                <w:b/>
                <w:iCs/>
                <w:color w:val="auto"/>
                <w:sz w:val="21"/>
                <w:szCs w:val="22"/>
              </w:rPr>
              <w:t>6.</w:t>
            </w:r>
            <w:r>
              <w:rPr>
                <w:b/>
                <w:iCs/>
                <w:color w:val="auto"/>
                <w:sz w:val="21"/>
                <w:szCs w:val="22"/>
              </w:rPr>
              <w:t>5</w:t>
            </w:r>
          </w:p>
        </w:tc>
        <w:tc>
          <w:tcPr>
            <w:tcW w:w="1712" w:type="dxa"/>
          </w:tcPr>
          <w:p>
            <w:pPr>
              <w:jc w:val="center"/>
              <w:rPr>
                <w:b/>
                <w:iCs/>
                <w:color w:val="auto"/>
                <w:sz w:val="21"/>
                <w:szCs w:val="22"/>
              </w:rPr>
            </w:pPr>
            <w:r>
              <w:rPr>
                <w:rFonts w:hint="eastAsia"/>
                <w:b/>
                <w:iCs/>
                <w:color w:val="auto"/>
                <w:sz w:val="21"/>
                <w:szCs w:val="22"/>
              </w:rPr>
              <w:t>6.5&lt;pH</w:t>
            </w:r>
            <w:r>
              <w:rPr>
                <w:b/>
                <w:iCs/>
                <w:color w:val="auto"/>
                <w:sz w:val="21"/>
                <w:szCs w:val="22"/>
              </w:rPr>
              <w:t>≤</w:t>
            </w:r>
            <w:r>
              <w:rPr>
                <w:rFonts w:hint="eastAsia"/>
                <w:b/>
                <w:iCs/>
                <w:color w:val="auto"/>
                <w:sz w:val="21"/>
                <w:szCs w:val="22"/>
              </w:rPr>
              <w:t>7.</w:t>
            </w:r>
            <w:r>
              <w:rPr>
                <w:b/>
                <w:iCs/>
                <w:color w:val="auto"/>
                <w:sz w:val="21"/>
                <w:szCs w:val="22"/>
              </w:rPr>
              <w:t>5</w:t>
            </w:r>
          </w:p>
        </w:tc>
        <w:tc>
          <w:tcPr>
            <w:tcW w:w="1796" w:type="dxa"/>
          </w:tcPr>
          <w:p>
            <w:pPr>
              <w:jc w:val="center"/>
              <w:rPr>
                <w:b/>
                <w:iCs/>
                <w:color w:val="auto"/>
                <w:sz w:val="21"/>
                <w:szCs w:val="22"/>
              </w:rPr>
            </w:pPr>
            <w:r>
              <w:rPr>
                <w:rFonts w:hint="eastAsia"/>
                <w:b/>
                <w:iCs/>
                <w:color w:val="auto"/>
                <w:sz w:val="21"/>
                <w:szCs w:val="22"/>
              </w:rPr>
              <w:t>pH&gt;7.5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8" w:hRule="atLeast"/>
          <w:jc w:val="center"/>
        </w:trPr>
        <w:tc>
          <w:tcPr>
            <w:tcW w:w="1005" w:type="dxa"/>
            <w:vMerge w:val="restart"/>
            <w:vAlign w:val="center"/>
          </w:tcPr>
          <w:p>
            <w:pPr>
              <w:jc w:val="center"/>
              <w:rPr>
                <w:iCs/>
                <w:color w:val="auto"/>
                <w:sz w:val="21"/>
                <w:szCs w:val="22"/>
              </w:rPr>
            </w:pPr>
            <w:r>
              <w:rPr>
                <w:iCs/>
                <w:color w:val="auto"/>
                <w:sz w:val="21"/>
                <w:szCs w:val="22"/>
              </w:rPr>
              <w:t>镉</w:t>
            </w:r>
          </w:p>
        </w:tc>
        <w:tc>
          <w:tcPr>
            <w:tcW w:w="1090" w:type="dxa"/>
          </w:tcPr>
          <w:p>
            <w:pPr>
              <w:jc w:val="center"/>
              <w:rPr>
                <w:iCs/>
                <w:color w:val="auto"/>
                <w:sz w:val="21"/>
                <w:szCs w:val="22"/>
              </w:rPr>
            </w:pPr>
            <w:r>
              <w:rPr>
                <w:rFonts w:hint="eastAsia"/>
                <w:iCs/>
                <w:color w:val="auto"/>
                <w:sz w:val="21"/>
                <w:szCs w:val="22"/>
              </w:rPr>
              <w:t>水田</w:t>
            </w:r>
          </w:p>
        </w:tc>
        <w:tc>
          <w:tcPr>
            <w:tcW w:w="1558" w:type="dxa"/>
            <w:vAlign w:val="center"/>
          </w:tcPr>
          <w:p>
            <w:pPr>
              <w:jc w:val="center"/>
              <w:rPr>
                <w:iCs/>
                <w:color w:val="auto"/>
                <w:sz w:val="21"/>
                <w:szCs w:val="22"/>
              </w:rPr>
            </w:pPr>
            <w:r>
              <w:rPr>
                <w:rFonts w:hint="eastAsia"/>
                <w:iCs/>
                <w:color w:val="auto"/>
                <w:sz w:val="21"/>
                <w:szCs w:val="22"/>
              </w:rPr>
              <w:t>0.3</w:t>
            </w:r>
          </w:p>
        </w:tc>
        <w:tc>
          <w:tcPr>
            <w:tcW w:w="2125" w:type="dxa"/>
          </w:tcPr>
          <w:p>
            <w:pPr>
              <w:jc w:val="center"/>
              <w:rPr>
                <w:iCs/>
                <w:color w:val="auto"/>
                <w:sz w:val="21"/>
                <w:szCs w:val="22"/>
              </w:rPr>
            </w:pPr>
            <w:r>
              <w:rPr>
                <w:rFonts w:hint="eastAsia"/>
                <w:iCs/>
                <w:color w:val="auto"/>
                <w:sz w:val="21"/>
                <w:szCs w:val="22"/>
              </w:rPr>
              <w:t>0.4</w:t>
            </w:r>
          </w:p>
        </w:tc>
        <w:tc>
          <w:tcPr>
            <w:tcW w:w="1712" w:type="dxa"/>
          </w:tcPr>
          <w:p>
            <w:pPr>
              <w:jc w:val="center"/>
              <w:rPr>
                <w:iCs/>
                <w:color w:val="auto"/>
                <w:sz w:val="21"/>
                <w:szCs w:val="22"/>
              </w:rPr>
            </w:pPr>
            <w:r>
              <w:rPr>
                <w:rFonts w:hint="eastAsia"/>
                <w:iCs/>
                <w:color w:val="auto"/>
                <w:sz w:val="21"/>
                <w:szCs w:val="22"/>
              </w:rPr>
              <w:t>0.6</w:t>
            </w:r>
          </w:p>
        </w:tc>
        <w:tc>
          <w:tcPr>
            <w:tcW w:w="1796" w:type="dxa"/>
          </w:tcPr>
          <w:p>
            <w:pPr>
              <w:jc w:val="center"/>
              <w:rPr>
                <w:iCs/>
                <w:color w:val="auto"/>
                <w:sz w:val="21"/>
                <w:szCs w:val="22"/>
              </w:rPr>
            </w:pPr>
            <w:r>
              <w:rPr>
                <w:rFonts w:hint="eastAsia"/>
                <w:iCs/>
                <w:color w:val="auto"/>
                <w:sz w:val="21"/>
                <w:szCs w:val="22"/>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continue"/>
            <w:vAlign w:val="center"/>
          </w:tcPr>
          <w:p>
            <w:pPr>
              <w:jc w:val="center"/>
              <w:rPr>
                <w:iCs/>
                <w:color w:val="auto"/>
                <w:sz w:val="21"/>
                <w:szCs w:val="22"/>
              </w:rPr>
            </w:pPr>
          </w:p>
        </w:tc>
        <w:tc>
          <w:tcPr>
            <w:tcW w:w="1090" w:type="dxa"/>
          </w:tcPr>
          <w:p>
            <w:pPr>
              <w:jc w:val="center"/>
              <w:rPr>
                <w:iCs/>
                <w:color w:val="auto"/>
                <w:sz w:val="21"/>
                <w:szCs w:val="22"/>
              </w:rPr>
            </w:pPr>
            <w:r>
              <w:rPr>
                <w:rFonts w:hint="eastAsia"/>
                <w:iCs/>
                <w:color w:val="auto"/>
                <w:sz w:val="21"/>
                <w:szCs w:val="22"/>
              </w:rPr>
              <w:t>其他</w:t>
            </w:r>
          </w:p>
        </w:tc>
        <w:tc>
          <w:tcPr>
            <w:tcW w:w="1558" w:type="dxa"/>
            <w:vAlign w:val="center"/>
          </w:tcPr>
          <w:p>
            <w:pPr>
              <w:jc w:val="center"/>
              <w:rPr>
                <w:iCs/>
                <w:color w:val="auto"/>
                <w:sz w:val="21"/>
                <w:szCs w:val="22"/>
              </w:rPr>
            </w:pPr>
            <w:r>
              <w:rPr>
                <w:rFonts w:hint="eastAsia"/>
                <w:iCs/>
                <w:color w:val="auto"/>
                <w:sz w:val="21"/>
                <w:szCs w:val="22"/>
              </w:rPr>
              <w:t>0.3</w:t>
            </w:r>
          </w:p>
        </w:tc>
        <w:tc>
          <w:tcPr>
            <w:tcW w:w="2125" w:type="dxa"/>
          </w:tcPr>
          <w:p>
            <w:pPr>
              <w:jc w:val="center"/>
              <w:rPr>
                <w:iCs/>
                <w:color w:val="auto"/>
                <w:sz w:val="21"/>
                <w:szCs w:val="22"/>
              </w:rPr>
            </w:pPr>
            <w:r>
              <w:rPr>
                <w:rFonts w:hint="eastAsia"/>
                <w:iCs/>
                <w:color w:val="auto"/>
                <w:sz w:val="21"/>
                <w:szCs w:val="22"/>
              </w:rPr>
              <w:t>0.3</w:t>
            </w:r>
          </w:p>
        </w:tc>
        <w:tc>
          <w:tcPr>
            <w:tcW w:w="1712" w:type="dxa"/>
          </w:tcPr>
          <w:p>
            <w:pPr>
              <w:jc w:val="center"/>
              <w:rPr>
                <w:iCs/>
                <w:color w:val="auto"/>
                <w:sz w:val="21"/>
                <w:szCs w:val="22"/>
              </w:rPr>
            </w:pPr>
            <w:r>
              <w:rPr>
                <w:rFonts w:hint="eastAsia"/>
                <w:iCs/>
                <w:color w:val="auto"/>
                <w:sz w:val="21"/>
                <w:szCs w:val="22"/>
              </w:rPr>
              <w:t>0.3</w:t>
            </w:r>
          </w:p>
        </w:tc>
        <w:tc>
          <w:tcPr>
            <w:tcW w:w="1796" w:type="dxa"/>
          </w:tcPr>
          <w:p>
            <w:pPr>
              <w:jc w:val="center"/>
              <w:rPr>
                <w:iCs/>
                <w:color w:val="auto"/>
                <w:sz w:val="21"/>
                <w:szCs w:val="22"/>
              </w:rPr>
            </w:pPr>
            <w:r>
              <w:rPr>
                <w:rFonts w:hint="eastAsia"/>
                <w:iCs/>
                <w:color w:val="auto"/>
                <w:sz w:val="21"/>
                <w:szCs w:val="22"/>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restart"/>
            <w:vAlign w:val="center"/>
          </w:tcPr>
          <w:p>
            <w:pPr>
              <w:jc w:val="center"/>
              <w:rPr>
                <w:iCs/>
                <w:color w:val="auto"/>
                <w:sz w:val="21"/>
                <w:szCs w:val="22"/>
              </w:rPr>
            </w:pPr>
            <w:r>
              <w:rPr>
                <w:iCs/>
                <w:color w:val="auto"/>
                <w:sz w:val="21"/>
                <w:szCs w:val="22"/>
              </w:rPr>
              <w:t>汞</w:t>
            </w:r>
          </w:p>
        </w:tc>
        <w:tc>
          <w:tcPr>
            <w:tcW w:w="1090" w:type="dxa"/>
          </w:tcPr>
          <w:p>
            <w:pPr>
              <w:jc w:val="center"/>
              <w:rPr>
                <w:iCs/>
                <w:color w:val="auto"/>
                <w:sz w:val="21"/>
                <w:szCs w:val="22"/>
              </w:rPr>
            </w:pPr>
            <w:r>
              <w:rPr>
                <w:rFonts w:hint="eastAsia"/>
                <w:iCs/>
                <w:color w:val="auto"/>
                <w:sz w:val="21"/>
                <w:szCs w:val="22"/>
              </w:rPr>
              <w:t>水田</w:t>
            </w:r>
          </w:p>
        </w:tc>
        <w:tc>
          <w:tcPr>
            <w:tcW w:w="1558" w:type="dxa"/>
            <w:vAlign w:val="center"/>
          </w:tcPr>
          <w:p>
            <w:pPr>
              <w:jc w:val="center"/>
              <w:rPr>
                <w:iCs/>
                <w:color w:val="auto"/>
                <w:sz w:val="21"/>
                <w:szCs w:val="22"/>
              </w:rPr>
            </w:pPr>
            <w:r>
              <w:rPr>
                <w:rFonts w:hint="eastAsia"/>
                <w:iCs/>
                <w:color w:val="auto"/>
                <w:sz w:val="21"/>
                <w:szCs w:val="22"/>
              </w:rPr>
              <w:t>0.5</w:t>
            </w:r>
          </w:p>
        </w:tc>
        <w:tc>
          <w:tcPr>
            <w:tcW w:w="2125" w:type="dxa"/>
          </w:tcPr>
          <w:p>
            <w:pPr>
              <w:jc w:val="center"/>
              <w:rPr>
                <w:iCs/>
                <w:color w:val="auto"/>
                <w:sz w:val="21"/>
                <w:szCs w:val="22"/>
              </w:rPr>
            </w:pPr>
            <w:r>
              <w:rPr>
                <w:rFonts w:hint="eastAsia"/>
                <w:iCs/>
                <w:color w:val="auto"/>
                <w:sz w:val="21"/>
                <w:szCs w:val="22"/>
              </w:rPr>
              <w:t>0.5</w:t>
            </w:r>
          </w:p>
        </w:tc>
        <w:tc>
          <w:tcPr>
            <w:tcW w:w="1712" w:type="dxa"/>
          </w:tcPr>
          <w:p>
            <w:pPr>
              <w:jc w:val="center"/>
              <w:rPr>
                <w:iCs/>
                <w:color w:val="auto"/>
                <w:sz w:val="21"/>
                <w:szCs w:val="22"/>
              </w:rPr>
            </w:pPr>
            <w:r>
              <w:rPr>
                <w:rFonts w:hint="eastAsia"/>
                <w:iCs/>
                <w:color w:val="auto"/>
                <w:sz w:val="21"/>
                <w:szCs w:val="22"/>
              </w:rPr>
              <w:t>0.6</w:t>
            </w:r>
          </w:p>
        </w:tc>
        <w:tc>
          <w:tcPr>
            <w:tcW w:w="1796" w:type="dxa"/>
          </w:tcPr>
          <w:p>
            <w:pPr>
              <w:jc w:val="center"/>
              <w:rPr>
                <w:iCs/>
                <w:color w:val="auto"/>
                <w:sz w:val="21"/>
                <w:szCs w:val="22"/>
              </w:rPr>
            </w:pPr>
            <w:r>
              <w:rPr>
                <w:rFonts w:hint="eastAsia"/>
                <w:iCs/>
                <w:color w:val="auto"/>
                <w:sz w:val="21"/>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continue"/>
            <w:vAlign w:val="center"/>
          </w:tcPr>
          <w:p>
            <w:pPr>
              <w:jc w:val="center"/>
              <w:rPr>
                <w:iCs/>
                <w:color w:val="auto"/>
                <w:sz w:val="21"/>
                <w:szCs w:val="22"/>
              </w:rPr>
            </w:pPr>
          </w:p>
        </w:tc>
        <w:tc>
          <w:tcPr>
            <w:tcW w:w="1090" w:type="dxa"/>
          </w:tcPr>
          <w:p>
            <w:pPr>
              <w:jc w:val="center"/>
              <w:rPr>
                <w:iCs/>
                <w:color w:val="auto"/>
                <w:sz w:val="21"/>
                <w:szCs w:val="22"/>
              </w:rPr>
            </w:pPr>
            <w:r>
              <w:rPr>
                <w:rFonts w:hint="eastAsia"/>
                <w:iCs/>
                <w:color w:val="auto"/>
                <w:sz w:val="21"/>
                <w:szCs w:val="22"/>
              </w:rPr>
              <w:t>其他</w:t>
            </w:r>
          </w:p>
        </w:tc>
        <w:tc>
          <w:tcPr>
            <w:tcW w:w="1558" w:type="dxa"/>
            <w:vAlign w:val="center"/>
          </w:tcPr>
          <w:p>
            <w:pPr>
              <w:jc w:val="center"/>
              <w:rPr>
                <w:iCs/>
                <w:color w:val="auto"/>
                <w:sz w:val="21"/>
                <w:szCs w:val="22"/>
              </w:rPr>
            </w:pPr>
            <w:r>
              <w:rPr>
                <w:rFonts w:hint="eastAsia"/>
                <w:iCs/>
                <w:color w:val="auto"/>
                <w:sz w:val="21"/>
                <w:szCs w:val="22"/>
              </w:rPr>
              <w:t>1.3</w:t>
            </w:r>
          </w:p>
        </w:tc>
        <w:tc>
          <w:tcPr>
            <w:tcW w:w="2125" w:type="dxa"/>
          </w:tcPr>
          <w:p>
            <w:pPr>
              <w:jc w:val="center"/>
              <w:rPr>
                <w:iCs/>
                <w:color w:val="auto"/>
                <w:sz w:val="21"/>
                <w:szCs w:val="22"/>
              </w:rPr>
            </w:pPr>
            <w:r>
              <w:rPr>
                <w:rFonts w:hint="eastAsia"/>
                <w:iCs/>
                <w:color w:val="auto"/>
                <w:sz w:val="21"/>
                <w:szCs w:val="22"/>
              </w:rPr>
              <w:t>1.8</w:t>
            </w:r>
          </w:p>
        </w:tc>
        <w:tc>
          <w:tcPr>
            <w:tcW w:w="1712" w:type="dxa"/>
          </w:tcPr>
          <w:p>
            <w:pPr>
              <w:jc w:val="center"/>
              <w:rPr>
                <w:iCs/>
                <w:color w:val="auto"/>
                <w:sz w:val="21"/>
                <w:szCs w:val="22"/>
              </w:rPr>
            </w:pPr>
            <w:r>
              <w:rPr>
                <w:rFonts w:hint="eastAsia"/>
                <w:iCs/>
                <w:color w:val="auto"/>
                <w:sz w:val="21"/>
                <w:szCs w:val="22"/>
              </w:rPr>
              <w:t>2.4</w:t>
            </w:r>
          </w:p>
        </w:tc>
        <w:tc>
          <w:tcPr>
            <w:tcW w:w="1796" w:type="dxa"/>
          </w:tcPr>
          <w:p>
            <w:pPr>
              <w:jc w:val="center"/>
              <w:rPr>
                <w:iCs/>
                <w:color w:val="auto"/>
                <w:sz w:val="21"/>
                <w:szCs w:val="22"/>
              </w:rPr>
            </w:pPr>
            <w:r>
              <w:rPr>
                <w:rFonts w:hint="eastAsia"/>
                <w:iCs/>
                <w:color w:val="auto"/>
                <w:sz w:val="21"/>
                <w:szCs w:val="22"/>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restart"/>
            <w:vAlign w:val="center"/>
          </w:tcPr>
          <w:p>
            <w:pPr>
              <w:jc w:val="center"/>
              <w:rPr>
                <w:iCs/>
                <w:color w:val="auto"/>
                <w:sz w:val="21"/>
                <w:szCs w:val="22"/>
              </w:rPr>
            </w:pPr>
            <w:r>
              <w:rPr>
                <w:iCs/>
                <w:color w:val="auto"/>
                <w:sz w:val="21"/>
                <w:szCs w:val="22"/>
              </w:rPr>
              <w:t>砷</w:t>
            </w:r>
          </w:p>
        </w:tc>
        <w:tc>
          <w:tcPr>
            <w:tcW w:w="1090" w:type="dxa"/>
          </w:tcPr>
          <w:p>
            <w:pPr>
              <w:jc w:val="center"/>
              <w:rPr>
                <w:iCs/>
                <w:color w:val="auto"/>
                <w:sz w:val="21"/>
                <w:szCs w:val="22"/>
              </w:rPr>
            </w:pPr>
            <w:r>
              <w:rPr>
                <w:rFonts w:hint="eastAsia"/>
                <w:iCs/>
                <w:color w:val="auto"/>
                <w:sz w:val="21"/>
                <w:szCs w:val="22"/>
              </w:rPr>
              <w:t>水田</w:t>
            </w:r>
          </w:p>
        </w:tc>
        <w:tc>
          <w:tcPr>
            <w:tcW w:w="1558" w:type="dxa"/>
            <w:vAlign w:val="center"/>
          </w:tcPr>
          <w:p>
            <w:pPr>
              <w:jc w:val="center"/>
              <w:rPr>
                <w:iCs/>
                <w:color w:val="auto"/>
                <w:sz w:val="21"/>
                <w:szCs w:val="22"/>
              </w:rPr>
            </w:pPr>
            <w:r>
              <w:rPr>
                <w:rFonts w:hint="eastAsia"/>
                <w:iCs/>
                <w:color w:val="auto"/>
                <w:sz w:val="21"/>
                <w:szCs w:val="22"/>
              </w:rPr>
              <w:t>30</w:t>
            </w:r>
          </w:p>
        </w:tc>
        <w:tc>
          <w:tcPr>
            <w:tcW w:w="2125" w:type="dxa"/>
          </w:tcPr>
          <w:p>
            <w:pPr>
              <w:jc w:val="center"/>
              <w:rPr>
                <w:iCs/>
                <w:color w:val="auto"/>
                <w:sz w:val="21"/>
                <w:szCs w:val="22"/>
              </w:rPr>
            </w:pPr>
            <w:r>
              <w:rPr>
                <w:rFonts w:hint="eastAsia"/>
                <w:iCs/>
                <w:color w:val="auto"/>
                <w:sz w:val="21"/>
                <w:szCs w:val="22"/>
              </w:rPr>
              <w:t>30</w:t>
            </w:r>
          </w:p>
        </w:tc>
        <w:tc>
          <w:tcPr>
            <w:tcW w:w="1712" w:type="dxa"/>
          </w:tcPr>
          <w:p>
            <w:pPr>
              <w:jc w:val="center"/>
              <w:rPr>
                <w:iCs/>
                <w:color w:val="auto"/>
                <w:sz w:val="21"/>
                <w:szCs w:val="22"/>
              </w:rPr>
            </w:pPr>
            <w:r>
              <w:rPr>
                <w:rFonts w:hint="eastAsia"/>
                <w:iCs/>
                <w:color w:val="auto"/>
                <w:sz w:val="21"/>
                <w:szCs w:val="22"/>
              </w:rPr>
              <w:t>25</w:t>
            </w:r>
          </w:p>
        </w:tc>
        <w:tc>
          <w:tcPr>
            <w:tcW w:w="1796" w:type="dxa"/>
          </w:tcPr>
          <w:p>
            <w:pPr>
              <w:jc w:val="center"/>
              <w:rPr>
                <w:iCs/>
                <w:color w:val="auto"/>
                <w:sz w:val="21"/>
                <w:szCs w:val="22"/>
              </w:rPr>
            </w:pPr>
            <w:r>
              <w:rPr>
                <w:rFonts w:hint="eastAsia"/>
                <w:iCs/>
                <w:color w:val="auto"/>
                <w:sz w:val="21"/>
                <w:szCs w:val="2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continue"/>
            <w:vAlign w:val="center"/>
          </w:tcPr>
          <w:p>
            <w:pPr>
              <w:jc w:val="center"/>
              <w:rPr>
                <w:iCs/>
                <w:color w:val="auto"/>
                <w:sz w:val="21"/>
                <w:szCs w:val="22"/>
              </w:rPr>
            </w:pPr>
          </w:p>
        </w:tc>
        <w:tc>
          <w:tcPr>
            <w:tcW w:w="1090" w:type="dxa"/>
          </w:tcPr>
          <w:p>
            <w:pPr>
              <w:jc w:val="center"/>
              <w:rPr>
                <w:iCs/>
                <w:color w:val="auto"/>
                <w:sz w:val="21"/>
                <w:szCs w:val="22"/>
              </w:rPr>
            </w:pPr>
            <w:r>
              <w:rPr>
                <w:rFonts w:hint="eastAsia"/>
                <w:iCs/>
                <w:color w:val="auto"/>
                <w:sz w:val="21"/>
                <w:szCs w:val="22"/>
              </w:rPr>
              <w:t>其他</w:t>
            </w:r>
          </w:p>
        </w:tc>
        <w:tc>
          <w:tcPr>
            <w:tcW w:w="1558" w:type="dxa"/>
            <w:vAlign w:val="center"/>
          </w:tcPr>
          <w:p>
            <w:pPr>
              <w:jc w:val="center"/>
              <w:rPr>
                <w:iCs/>
                <w:color w:val="auto"/>
                <w:sz w:val="21"/>
                <w:szCs w:val="22"/>
              </w:rPr>
            </w:pPr>
            <w:r>
              <w:rPr>
                <w:rFonts w:hint="eastAsia"/>
                <w:iCs/>
                <w:color w:val="auto"/>
                <w:sz w:val="21"/>
                <w:szCs w:val="22"/>
              </w:rPr>
              <w:t>40</w:t>
            </w:r>
          </w:p>
        </w:tc>
        <w:tc>
          <w:tcPr>
            <w:tcW w:w="2125" w:type="dxa"/>
          </w:tcPr>
          <w:p>
            <w:pPr>
              <w:jc w:val="center"/>
              <w:rPr>
                <w:iCs/>
                <w:color w:val="auto"/>
                <w:sz w:val="21"/>
                <w:szCs w:val="22"/>
              </w:rPr>
            </w:pPr>
            <w:r>
              <w:rPr>
                <w:rFonts w:hint="eastAsia"/>
                <w:iCs/>
                <w:color w:val="auto"/>
                <w:sz w:val="21"/>
                <w:szCs w:val="22"/>
              </w:rPr>
              <w:t>40</w:t>
            </w:r>
          </w:p>
        </w:tc>
        <w:tc>
          <w:tcPr>
            <w:tcW w:w="1712" w:type="dxa"/>
          </w:tcPr>
          <w:p>
            <w:pPr>
              <w:jc w:val="center"/>
              <w:rPr>
                <w:iCs/>
                <w:color w:val="auto"/>
                <w:sz w:val="21"/>
                <w:szCs w:val="22"/>
              </w:rPr>
            </w:pPr>
            <w:r>
              <w:rPr>
                <w:rFonts w:hint="eastAsia"/>
                <w:iCs/>
                <w:color w:val="auto"/>
                <w:sz w:val="21"/>
                <w:szCs w:val="22"/>
              </w:rPr>
              <w:t>30</w:t>
            </w:r>
          </w:p>
        </w:tc>
        <w:tc>
          <w:tcPr>
            <w:tcW w:w="1796" w:type="dxa"/>
          </w:tcPr>
          <w:p>
            <w:pPr>
              <w:jc w:val="center"/>
              <w:rPr>
                <w:iCs/>
                <w:color w:val="auto"/>
                <w:sz w:val="21"/>
                <w:szCs w:val="22"/>
              </w:rPr>
            </w:pPr>
            <w:r>
              <w:rPr>
                <w:rFonts w:hint="eastAsia"/>
                <w:iCs/>
                <w:color w:val="auto"/>
                <w:sz w:val="21"/>
                <w:szCs w:val="22"/>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restart"/>
            <w:vAlign w:val="center"/>
          </w:tcPr>
          <w:p>
            <w:pPr>
              <w:jc w:val="center"/>
              <w:rPr>
                <w:iCs/>
                <w:color w:val="auto"/>
                <w:sz w:val="21"/>
                <w:szCs w:val="22"/>
              </w:rPr>
            </w:pPr>
            <w:r>
              <w:rPr>
                <w:iCs/>
                <w:color w:val="auto"/>
                <w:sz w:val="21"/>
                <w:szCs w:val="22"/>
              </w:rPr>
              <w:t>铜</w:t>
            </w:r>
          </w:p>
        </w:tc>
        <w:tc>
          <w:tcPr>
            <w:tcW w:w="1090" w:type="dxa"/>
          </w:tcPr>
          <w:p>
            <w:pPr>
              <w:jc w:val="center"/>
              <w:rPr>
                <w:iCs/>
                <w:color w:val="auto"/>
                <w:sz w:val="21"/>
                <w:szCs w:val="22"/>
              </w:rPr>
            </w:pPr>
            <w:r>
              <w:rPr>
                <w:rFonts w:hint="eastAsia"/>
                <w:iCs/>
                <w:color w:val="auto"/>
                <w:sz w:val="21"/>
                <w:szCs w:val="22"/>
              </w:rPr>
              <w:t>果园</w:t>
            </w:r>
          </w:p>
        </w:tc>
        <w:tc>
          <w:tcPr>
            <w:tcW w:w="1558" w:type="dxa"/>
            <w:tcBorders>
              <w:bottom w:val="single" w:color="auto" w:sz="4" w:space="0"/>
            </w:tcBorders>
            <w:vAlign w:val="center"/>
          </w:tcPr>
          <w:p>
            <w:pPr>
              <w:jc w:val="center"/>
              <w:rPr>
                <w:iCs/>
                <w:color w:val="auto"/>
                <w:sz w:val="21"/>
                <w:szCs w:val="22"/>
              </w:rPr>
            </w:pPr>
            <w:r>
              <w:rPr>
                <w:rFonts w:hint="eastAsia"/>
                <w:iCs/>
                <w:color w:val="auto"/>
                <w:sz w:val="21"/>
                <w:szCs w:val="22"/>
              </w:rPr>
              <w:t>150</w:t>
            </w:r>
          </w:p>
        </w:tc>
        <w:tc>
          <w:tcPr>
            <w:tcW w:w="2125" w:type="dxa"/>
            <w:tcBorders>
              <w:bottom w:val="single" w:color="auto" w:sz="4" w:space="0"/>
            </w:tcBorders>
          </w:tcPr>
          <w:p>
            <w:pPr>
              <w:jc w:val="center"/>
              <w:rPr>
                <w:iCs/>
                <w:color w:val="auto"/>
                <w:sz w:val="21"/>
                <w:szCs w:val="22"/>
              </w:rPr>
            </w:pPr>
            <w:r>
              <w:rPr>
                <w:rFonts w:hint="eastAsia"/>
                <w:iCs/>
                <w:color w:val="auto"/>
                <w:sz w:val="21"/>
                <w:szCs w:val="22"/>
              </w:rPr>
              <w:t>150</w:t>
            </w:r>
          </w:p>
        </w:tc>
        <w:tc>
          <w:tcPr>
            <w:tcW w:w="1712" w:type="dxa"/>
            <w:tcBorders>
              <w:bottom w:val="single" w:color="auto" w:sz="4" w:space="0"/>
            </w:tcBorders>
          </w:tcPr>
          <w:p>
            <w:pPr>
              <w:jc w:val="center"/>
              <w:rPr>
                <w:iCs/>
                <w:color w:val="auto"/>
                <w:sz w:val="21"/>
                <w:szCs w:val="22"/>
              </w:rPr>
            </w:pPr>
            <w:r>
              <w:rPr>
                <w:rFonts w:hint="eastAsia"/>
                <w:iCs/>
                <w:color w:val="auto"/>
                <w:sz w:val="21"/>
                <w:szCs w:val="22"/>
              </w:rPr>
              <w:t>200</w:t>
            </w:r>
          </w:p>
        </w:tc>
        <w:tc>
          <w:tcPr>
            <w:tcW w:w="1796" w:type="dxa"/>
            <w:tcBorders>
              <w:bottom w:val="single" w:color="auto" w:sz="4" w:space="0"/>
            </w:tcBorders>
          </w:tcPr>
          <w:p>
            <w:pPr>
              <w:jc w:val="center"/>
              <w:rPr>
                <w:iCs/>
                <w:color w:val="auto"/>
                <w:sz w:val="21"/>
                <w:szCs w:val="22"/>
              </w:rPr>
            </w:pPr>
            <w:r>
              <w:rPr>
                <w:rFonts w:hint="eastAsia"/>
                <w:iCs/>
                <w:color w:val="auto"/>
                <w:sz w:val="21"/>
                <w:szCs w:val="22"/>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continue"/>
            <w:vAlign w:val="center"/>
          </w:tcPr>
          <w:p>
            <w:pPr>
              <w:jc w:val="center"/>
              <w:rPr>
                <w:iCs/>
                <w:color w:val="auto"/>
                <w:sz w:val="21"/>
                <w:szCs w:val="22"/>
              </w:rPr>
            </w:pPr>
          </w:p>
        </w:tc>
        <w:tc>
          <w:tcPr>
            <w:tcW w:w="1090" w:type="dxa"/>
          </w:tcPr>
          <w:p>
            <w:pPr>
              <w:jc w:val="center"/>
              <w:rPr>
                <w:iCs/>
                <w:color w:val="auto"/>
                <w:sz w:val="21"/>
                <w:szCs w:val="22"/>
              </w:rPr>
            </w:pPr>
            <w:r>
              <w:rPr>
                <w:rFonts w:hint="eastAsia"/>
                <w:iCs/>
                <w:color w:val="auto"/>
                <w:sz w:val="21"/>
                <w:szCs w:val="22"/>
              </w:rPr>
              <w:t>其他</w:t>
            </w:r>
          </w:p>
        </w:tc>
        <w:tc>
          <w:tcPr>
            <w:tcW w:w="1558" w:type="dxa"/>
            <w:tcBorders>
              <w:bottom w:val="single" w:color="auto" w:sz="4" w:space="0"/>
            </w:tcBorders>
            <w:vAlign w:val="center"/>
          </w:tcPr>
          <w:p>
            <w:pPr>
              <w:jc w:val="center"/>
              <w:rPr>
                <w:iCs/>
                <w:color w:val="auto"/>
                <w:sz w:val="21"/>
                <w:szCs w:val="22"/>
              </w:rPr>
            </w:pPr>
            <w:r>
              <w:rPr>
                <w:rFonts w:hint="eastAsia"/>
                <w:iCs/>
                <w:color w:val="auto"/>
                <w:sz w:val="21"/>
                <w:szCs w:val="22"/>
              </w:rPr>
              <w:t>50</w:t>
            </w:r>
          </w:p>
        </w:tc>
        <w:tc>
          <w:tcPr>
            <w:tcW w:w="2125" w:type="dxa"/>
            <w:tcBorders>
              <w:bottom w:val="single" w:color="auto" w:sz="4" w:space="0"/>
            </w:tcBorders>
          </w:tcPr>
          <w:p>
            <w:pPr>
              <w:jc w:val="center"/>
              <w:rPr>
                <w:iCs/>
                <w:color w:val="auto"/>
                <w:sz w:val="21"/>
                <w:szCs w:val="22"/>
              </w:rPr>
            </w:pPr>
            <w:r>
              <w:rPr>
                <w:rFonts w:hint="eastAsia"/>
                <w:iCs/>
                <w:color w:val="auto"/>
                <w:sz w:val="21"/>
                <w:szCs w:val="22"/>
              </w:rPr>
              <w:t>50</w:t>
            </w:r>
          </w:p>
        </w:tc>
        <w:tc>
          <w:tcPr>
            <w:tcW w:w="1712" w:type="dxa"/>
            <w:tcBorders>
              <w:bottom w:val="single" w:color="auto" w:sz="4" w:space="0"/>
            </w:tcBorders>
          </w:tcPr>
          <w:p>
            <w:pPr>
              <w:jc w:val="center"/>
              <w:rPr>
                <w:iCs/>
                <w:color w:val="auto"/>
                <w:sz w:val="21"/>
                <w:szCs w:val="22"/>
              </w:rPr>
            </w:pPr>
            <w:r>
              <w:rPr>
                <w:rFonts w:hint="eastAsia"/>
                <w:iCs/>
                <w:color w:val="auto"/>
                <w:sz w:val="21"/>
                <w:szCs w:val="22"/>
              </w:rPr>
              <w:t>100</w:t>
            </w:r>
          </w:p>
        </w:tc>
        <w:tc>
          <w:tcPr>
            <w:tcW w:w="1796" w:type="dxa"/>
            <w:tcBorders>
              <w:bottom w:val="single" w:color="auto" w:sz="4" w:space="0"/>
            </w:tcBorders>
          </w:tcPr>
          <w:p>
            <w:pPr>
              <w:jc w:val="center"/>
              <w:rPr>
                <w:iCs/>
                <w:color w:val="auto"/>
                <w:sz w:val="21"/>
                <w:szCs w:val="22"/>
              </w:rPr>
            </w:pPr>
            <w:r>
              <w:rPr>
                <w:rFonts w:hint="eastAsia"/>
                <w:iCs/>
                <w:color w:val="auto"/>
                <w:sz w:val="21"/>
                <w:szCs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restart"/>
            <w:vAlign w:val="center"/>
          </w:tcPr>
          <w:p>
            <w:pPr>
              <w:jc w:val="center"/>
              <w:rPr>
                <w:iCs/>
                <w:color w:val="auto"/>
                <w:sz w:val="21"/>
                <w:szCs w:val="22"/>
              </w:rPr>
            </w:pPr>
            <w:r>
              <w:rPr>
                <w:iCs/>
                <w:color w:val="auto"/>
                <w:sz w:val="21"/>
                <w:szCs w:val="22"/>
              </w:rPr>
              <w:t>铅</w:t>
            </w:r>
          </w:p>
        </w:tc>
        <w:tc>
          <w:tcPr>
            <w:tcW w:w="1090" w:type="dxa"/>
          </w:tcPr>
          <w:p>
            <w:pPr>
              <w:jc w:val="center"/>
              <w:rPr>
                <w:iCs/>
                <w:color w:val="auto"/>
                <w:sz w:val="21"/>
                <w:szCs w:val="22"/>
              </w:rPr>
            </w:pPr>
            <w:r>
              <w:rPr>
                <w:rFonts w:hint="eastAsia"/>
                <w:iCs/>
                <w:color w:val="auto"/>
                <w:sz w:val="21"/>
                <w:szCs w:val="22"/>
              </w:rPr>
              <w:t>水田</w:t>
            </w:r>
          </w:p>
        </w:tc>
        <w:tc>
          <w:tcPr>
            <w:tcW w:w="1558" w:type="dxa"/>
            <w:vAlign w:val="center"/>
          </w:tcPr>
          <w:p>
            <w:pPr>
              <w:jc w:val="center"/>
              <w:rPr>
                <w:iCs/>
                <w:color w:val="auto"/>
                <w:sz w:val="21"/>
                <w:szCs w:val="22"/>
              </w:rPr>
            </w:pPr>
            <w:r>
              <w:rPr>
                <w:rFonts w:hint="eastAsia"/>
                <w:iCs/>
                <w:color w:val="auto"/>
                <w:sz w:val="21"/>
                <w:szCs w:val="22"/>
              </w:rPr>
              <w:t>80</w:t>
            </w:r>
          </w:p>
        </w:tc>
        <w:tc>
          <w:tcPr>
            <w:tcW w:w="2125" w:type="dxa"/>
          </w:tcPr>
          <w:p>
            <w:pPr>
              <w:jc w:val="center"/>
              <w:rPr>
                <w:iCs/>
                <w:color w:val="auto"/>
                <w:sz w:val="21"/>
                <w:szCs w:val="22"/>
              </w:rPr>
            </w:pPr>
            <w:r>
              <w:rPr>
                <w:rFonts w:hint="eastAsia"/>
                <w:iCs/>
                <w:color w:val="auto"/>
                <w:sz w:val="21"/>
                <w:szCs w:val="22"/>
              </w:rPr>
              <w:t>100</w:t>
            </w:r>
          </w:p>
        </w:tc>
        <w:tc>
          <w:tcPr>
            <w:tcW w:w="1712" w:type="dxa"/>
          </w:tcPr>
          <w:p>
            <w:pPr>
              <w:jc w:val="center"/>
              <w:rPr>
                <w:iCs/>
                <w:color w:val="auto"/>
                <w:sz w:val="21"/>
                <w:szCs w:val="22"/>
              </w:rPr>
            </w:pPr>
            <w:r>
              <w:rPr>
                <w:rFonts w:hint="eastAsia"/>
                <w:iCs/>
                <w:color w:val="auto"/>
                <w:sz w:val="21"/>
                <w:szCs w:val="22"/>
              </w:rPr>
              <w:t>140</w:t>
            </w:r>
          </w:p>
        </w:tc>
        <w:tc>
          <w:tcPr>
            <w:tcW w:w="1796" w:type="dxa"/>
          </w:tcPr>
          <w:p>
            <w:pPr>
              <w:jc w:val="center"/>
              <w:rPr>
                <w:iCs/>
                <w:color w:val="auto"/>
                <w:sz w:val="21"/>
                <w:szCs w:val="22"/>
              </w:rPr>
            </w:pPr>
            <w:r>
              <w:rPr>
                <w:rFonts w:hint="eastAsia"/>
                <w:iCs/>
                <w:color w:val="auto"/>
                <w:sz w:val="21"/>
                <w:szCs w:val="22"/>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continue"/>
            <w:vAlign w:val="center"/>
          </w:tcPr>
          <w:p>
            <w:pPr>
              <w:jc w:val="center"/>
              <w:rPr>
                <w:iCs/>
                <w:color w:val="auto"/>
                <w:sz w:val="21"/>
                <w:szCs w:val="22"/>
              </w:rPr>
            </w:pPr>
          </w:p>
        </w:tc>
        <w:tc>
          <w:tcPr>
            <w:tcW w:w="1090" w:type="dxa"/>
          </w:tcPr>
          <w:p>
            <w:pPr>
              <w:jc w:val="center"/>
              <w:rPr>
                <w:iCs/>
                <w:color w:val="auto"/>
                <w:sz w:val="21"/>
                <w:szCs w:val="22"/>
              </w:rPr>
            </w:pPr>
            <w:r>
              <w:rPr>
                <w:rFonts w:hint="eastAsia"/>
                <w:iCs/>
                <w:color w:val="auto"/>
                <w:sz w:val="21"/>
                <w:szCs w:val="22"/>
              </w:rPr>
              <w:t>其他</w:t>
            </w:r>
          </w:p>
        </w:tc>
        <w:tc>
          <w:tcPr>
            <w:tcW w:w="1558" w:type="dxa"/>
            <w:vAlign w:val="center"/>
          </w:tcPr>
          <w:p>
            <w:pPr>
              <w:jc w:val="center"/>
              <w:rPr>
                <w:iCs/>
                <w:color w:val="auto"/>
                <w:sz w:val="21"/>
                <w:szCs w:val="22"/>
              </w:rPr>
            </w:pPr>
            <w:r>
              <w:rPr>
                <w:rFonts w:hint="eastAsia"/>
                <w:iCs/>
                <w:color w:val="auto"/>
                <w:sz w:val="21"/>
                <w:szCs w:val="22"/>
              </w:rPr>
              <w:t>70</w:t>
            </w:r>
          </w:p>
        </w:tc>
        <w:tc>
          <w:tcPr>
            <w:tcW w:w="2125" w:type="dxa"/>
          </w:tcPr>
          <w:p>
            <w:pPr>
              <w:jc w:val="center"/>
              <w:rPr>
                <w:iCs/>
                <w:color w:val="auto"/>
                <w:sz w:val="21"/>
                <w:szCs w:val="22"/>
              </w:rPr>
            </w:pPr>
            <w:r>
              <w:rPr>
                <w:rFonts w:hint="eastAsia"/>
                <w:iCs/>
                <w:color w:val="auto"/>
                <w:sz w:val="21"/>
                <w:szCs w:val="22"/>
              </w:rPr>
              <w:t>90</w:t>
            </w:r>
          </w:p>
        </w:tc>
        <w:tc>
          <w:tcPr>
            <w:tcW w:w="1712" w:type="dxa"/>
          </w:tcPr>
          <w:p>
            <w:pPr>
              <w:jc w:val="center"/>
              <w:rPr>
                <w:iCs/>
                <w:color w:val="auto"/>
                <w:sz w:val="21"/>
                <w:szCs w:val="22"/>
              </w:rPr>
            </w:pPr>
            <w:r>
              <w:rPr>
                <w:rFonts w:hint="eastAsia"/>
                <w:iCs/>
                <w:color w:val="auto"/>
                <w:sz w:val="21"/>
                <w:szCs w:val="22"/>
              </w:rPr>
              <w:t>120</w:t>
            </w:r>
          </w:p>
        </w:tc>
        <w:tc>
          <w:tcPr>
            <w:tcW w:w="1796" w:type="dxa"/>
          </w:tcPr>
          <w:p>
            <w:pPr>
              <w:jc w:val="center"/>
              <w:rPr>
                <w:iCs/>
                <w:color w:val="auto"/>
                <w:sz w:val="21"/>
                <w:szCs w:val="22"/>
              </w:rPr>
            </w:pPr>
            <w:r>
              <w:rPr>
                <w:rFonts w:hint="eastAsia"/>
                <w:iCs/>
                <w:color w:val="auto"/>
                <w:sz w:val="21"/>
                <w:szCs w:val="22"/>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2095" w:type="dxa"/>
            <w:gridSpan w:val="2"/>
            <w:vAlign w:val="center"/>
          </w:tcPr>
          <w:p>
            <w:pPr>
              <w:jc w:val="center"/>
              <w:rPr>
                <w:iCs/>
                <w:color w:val="auto"/>
                <w:sz w:val="21"/>
                <w:szCs w:val="22"/>
              </w:rPr>
            </w:pPr>
            <w:r>
              <w:rPr>
                <w:iCs/>
                <w:color w:val="auto"/>
                <w:sz w:val="21"/>
                <w:szCs w:val="22"/>
              </w:rPr>
              <w:t>锌</w:t>
            </w:r>
          </w:p>
        </w:tc>
        <w:tc>
          <w:tcPr>
            <w:tcW w:w="1558" w:type="dxa"/>
            <w:vAlign w:val="center"/>
          </w:tcPr>
          <w:p>
            <w:pPr>
              <w:jc w:val="center"/>
              <w:rPr>
                <w:iCs/>
                <w:color w:val="auto"/>
                <w:sz w:val="21"/>
                <w:szCs w:val="22"/>
              </w:rPr>
            </w:pPr>
            <w:r>
              <w:rPr>
                <w:rFonts w:hint="eastAsia"/>
                <w:iCs/>
                <w:color w:val="auto"/>
                <w:sz w:val="21"/>
                <w:szCs w:val="22"/>
              </w:rPr>
              <w:t>200</w:t>
            </w:r>
          </w:p>
        </w:tc>
        <w:tc>
          <w:tcPr>
            <w:tcW w:w="2125" w:type="dxa"/>
          </w:tcPr>
          <w:p>
            <w:pPr>
              <w:jc w:val="center"/>
              <w:rPr>
                <w:iCs/>
                <w:color w:val="auto"/>
                <w:sz w:val="21"/>
                <w:szCs w:val="22"/>
              </w:rPr>
            </w:pPr>
            <w:r>
              <w:rPr>
                <w:rFonts w:hint="eastAsia"/>
                <w:iCs/>
                <w:color w:val="auto"/>
                <w:sz w:val="21"/>
                <w:szCs w:val="22"/>
              </w:rPr>
              <w:t>200</w:t>
            </w:r>
          </w:p>
        </w:tc>
        <w:tc>
          <w:tcPr>
            <w:tcW w:w="1712" w:type="dxa"/>
          </w:tcPr>
          <w:p>
            <w:pPr>
              <w:jc w:val="center"/>
              <w:rPr>
                <w:iCs/>
                <w:color w:val="auto"/>
                <w:sz w:val="21"/>
                <w:szCs w:val="22"/>
              </w:rPr>
            </w:pPr>
            <w:r>
              <w:rPr>
                <w:rFonts w:hint="eastAsia"/>
                <w:iCs/>
                <w:color w:val="auto"/>
                <w:sz w:val="21"/>
                <w:szCs w:val="22"/>
              </w:rPr>
              <w:t>250</w:t>
            </w:r>
          </w:p>
        </w:tc>
        <w:tc>
          <w:tcPr>
            <w:tcW w:w="1796" w:type="dxa"/>
          </w:tcPr>
          <w:p>
            <w:pPr>
              <w:jc w:val="center"/>
              <w:rPr>
                <w:iCs/>
                <w:color w:val="auto"/>
                <w:sz w:val="21"/>
                <w:szCs w:val="22"/>
              </w:rPr>
            </w:pPr>
            <w:r>
              <w:rPr>
                <w:rFonts w:hint="eastAsia"/>
                <w:iCs/>
                <w:color w:val="auto"/>
                <w:sz w:val="21"/>
                <w:szCs w:val="22"/>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restart"/>
            <w:vAlign w:val="center"/>
          </w:tcPr>
          <w:p>
            <w:pPr>
              <w:jc w:val="center"/>
              <w:rPr>
                <w:iCs/>
                <w:color w:val="auto"/>
                <w:sz w:val="21"/>
                <w:szCs w:val="22"/>
              </w:rPr>
            </w:pPr>
            <w:r>
              <w:rPr>
                <w:iCs/>
                <w:color w:val="auto"/>
                <w:sz w:val="21"/>
                <w:szCs w:val="22"/>
              </w:rPr>
              <w:t>铬</w:t>
            </w:r>
          </w:p>
        </w:tc>
        <w:tc>
          <w:tcPr>
            <w:tcW w:w="1090" w:type="dxa"/>
          </w:tcPr>
          <w:p>
            <w:pPr>
              <w:jc w:val="center"/>
              <w:rPr>
                <w:iCs/>
                <w:color w:val="auto"/>
                <w:sz w:val="21"/>
                <w:szCs w:val="22"/>
              </w:rPr>
            </w:pPr>
            <w:r>
              <w:rPr>
                <w:rFonts w:hint="eastAsia"/>
                <w:iCs/>
                <w:color w:val="auto"/>
                <w:sz w:val="21"/>
                <w:szCs w:val="22"/>
              </w:rPr>
              <w:t>水田</w:t>
            </w:r>
          </w:p>
        </w:tc>
        <w:tc>
          <w:tcPr>
            <w:tcW w:w="1558" w:type="dxa"/>
            <w:vAlign w:val="center"/>
          </w:tcPr>
          <w:p>
            <w:pPr>
              <w:jc w:val="center"/>
              <w:rPr>
                <w:iCs/>
                <w:color w:val="auto"/>
                <w:sz w:val="21"/>
                <w:szCs w:val="22"/>
              </w:rPr>
            </w:pPr>
            <w:r>
              <w:rPr>
                <w:rFonts w:hint="eastAsia"/>
                <w:iCs/>
                <w:color w:val="auto"/>
                <w:sz w:val="21"/>
                <w:szCs w:val="22"/>
              </w:rPr>
              <w:t>250</w:t>
            </w:r>
          </w:p>
        </w:tc>
        <w:tc>
          <w:tcPr>
            <w:tcW w:w="2125" w:type="dxa"/>
          </w:tcPr>
          <w:p>
            <w:pPr>
              <w:jc w:val="center"/>
              <w:rPr>
                <w:iCs/>
                <w:color w:val="auto"/>
                <w:sz w:val="21"/>
                <w:szCs w:val="22"/>
              </w:rPr>
            </w:pPr>
            <w:r>
              <w:rPr>
                <w:rFonts w:hint="eastAsia"/>
                <w:iCs/>
                <w:color w:val="auto"/>
                <w:sz w:val="21"/>
                <w:szCs w:val="22"/>
              </w:rPr>
              <w:t>250</w:t>
            </w:r>
          </w:p>
        </w:tc>
        <w:tc>
          <w:tcPr>
            <w:tcW w:w="1712" w:type="dxa"/>
          </w:tcPr>
          <w:p>
            <w:pPr>
              <w:jc w:val="center"/>
              <w:rPr>
                <w:iCs/>
                <w:color w:val="auto"/>
                <w:sz w:val="21"/>
                <w:szCs w:val="22"/>
              </w:rPr>
            </w:pPr>
            <w:r>
              <w:rPr>
                <w:rFonts w:hint="eastAsia"/>
                <w:iCs/>
                <w:color w:val="auto"/>
                <w:sz w:val="21"/>
                <w:szCs w:val="22"/>
              </w:rPr>
              <w:t>300</w:t>
            </w:r>
          </w:p>
        </w:tc>
        <w:tc>
          <w:tcPr>
            <w:tcW w:w="1796" w:type="dxa"/>
          </w:tcPr>
          <w:p>
            <w:pPr>
              <w:jc w:val="center"/>
              <w:rPr>
                <w:iCs/>
                <w:color w:val="auto"/>
                <w:sz w:val="21"/>
                <w:szCs w:val="22"/>
              </w:rPr>
            </w:pPr>
            <w:r>
              <w:rPr>
                <w:rFonts w:hint="eastAsia"/>
                <w:iCs/>
                <w:color w:val="auto"/>
                <w:sz w:val="21"/>
                <w:szCs w:val="22"/>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005" w:type="dxa"/>
            <w:vMerge w:val="continue"/>
            <w:vAlign w:val="center"/>
          </w:tcPr>
          <w:p>
            <w:pPr>
              <w:jc w:val="center"/>
              <w:rPr>
                <w:iCs/>
                <w:color w:val="auto"/>
                <w:sz w:val="21"/>
                <w:szCs w:val="22"/>
              </w:rPr>
            </w:pPr>
          </w:p>
        </w:tc>
        <w:tc>
          <w:tcPr>
            <w:tcW w:w="1090" w:type="dxa"/>
          </w:tcPr>
          <w:p>
            <w:pPr>
              <w:jc w:val="center"/>
              <w:rPr>
                <w:iCs/>
                <w:color w:val="auto"/>
                <w:sz w:val="21"/>
                <w:szCs w:val="22"/>
              </w:rPr>
            </w:pPr>
            <w:r>
              <w:rPr>
                <w:rFonts w:hint="eastAsia"/>
                <w:iCs/>
                <w:color w:val="auto"/>
                <w:sz w:val="21"/>
                <w:szCs w:val="22"/>
              </w:rPr>
              <w:t>其他</w:t>
            </w:r>
          </w:p>
        </w:tc>
        <w:tc>
          <w:tcPr>
            <w:tcW w:w="1558" w:type="dxa"/>
            <w:vAlign w:val="center"/>
          </w:tcPr>
          <w:p>
            <w:pPr>
              <w:jc w:val="center"/>
              <w:rPr>
                <w:iCs/>
                <w:color w:val="auto"/>
                <w:sz w:val="21"/>
                <w:szCs w:val="22"/>
              </w:rPr>
            </w:pPr>
            <w:r>
              <w:rPr>
                <w:rFonts w:hint="eastAsia"/>
                <w:iCs/>
                <w:color w:val="auto"/>
                <w:sz w:val="21"/>
                <w:szCs w:val="22"/>
              </w:rPr>
              <w:t>150</w:t>
            </w:r>
          </w:p>
        </w:tc>
        <w:tc>
          <w:tcPr>
            <w:tcW w:w="2125" w:type="dxa"/>
          </w:tcPr>
          <w:p>
            <w:pPr>
              <w:jc w:val="center"/>
              <w:rPr>
                <w:iCs/>
                <w:color w:val="auto"/>
                <w:sz w:val="21"/>
                <w:szCs w:val="22"/>
              </w:rPr>
            </w:pPr>
            <w:r>
              <w:rPr>
                <w:rFonts w:hint="eastAsia"/>
                <w:iCs/>
                <w:color w:val="auto"/>
                <w:sz w:val="21"/>
                <w:szCs w:val="22"/>
              </w:rPr>
              <w:t>150</w:t>
            </w:r>
          </w:p>
        </w:tc>
        <w:tc>
          <w:tcPr>
            <w:tcW w:w="1712" w:type="dxa"/>
          </w:tcPr>
          <w:p>
            <w:pPr>
              <w:jc w:val="center"/>
              <w:rPr>
                <w:iCs/>
                <w:color w:val="auto"/>
                <w:sz w:val="21"/>
                <w:szCs w:val="22"/>
              </w:rPr>
            </w:pPr>
            <w:r>
              <w:rPr>
                <w:rFonts w:hint="eastAsia"/>
                <w:iCs/>
                <w:color w:val="auto"/>
                <w:sz w:val="21"/>
                <w:szCs w:val="22"/>
              </w:rPr>
              <w:t>200</w:t>
            </w:r>
          </w:p>
        </w:tc>
        <w:tc>
          <w:tcPr>
            <w:tcW w:w="1796" w:type="dxa"/>
          </w:tcPr>
          <w:p>
            <w:pPr>
              <w:jc w:val="center"/>
              <w:rPr>
                <w:iCs/>
                <w:color w:val="auto"/>
                <w:sz w:val="21"/>
                <w:szCs w:val="22"/>
              </w:rPr>
            </w:pPr>
            <w:r>
              <w:rPr>
                <w:rFonts w:hint="eastAsia"/>
                <w:iCs/>
                <w:color w:val="auto"/>
                <w:sz w:val="21"/>
                <w:szCs w:val="22"/>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2095" w:type="dxa"/>
            <w:gridSpan w:val="2"/>
            <w:vAlign w:val="center"/>
          </w:tcPr>
          <w:p>
            <w:pPr>
              <w:jc w:val="center"/>
              <w:rPr>
                <w:iCs/>
                <w:color w:val="auto"/>
                <w:sz w:val="21"/>
                <w:szCs w:val="22"/>
              </w:rPr>
            </w:pPr>
            <w:r>
              <w:rPr>
                <w:iCs/>
                <w:color w:val="auto"/>
                <w:sz w:val="21"/>
                <w:szCs w:val="22"/>
              </w:rPr>
              <w:t>镍</w:t>
            </w:r>
          </w:p>
        </w:tc>
        <w:tc>
          <w:tcPr>
            <w:tcW w:w="1558" w:type="dxa"/>
            <w:vAlign w:val="center"/>
          </w:tcPr>
          <w:p>
            <w:pPr>
              <w:jc w:val="center"/>
              <w:rPr>
                <w:iCs/>
                <w:color w:val="auto"/>
                <w:sz w:val="21"/>
                <w:szCs w:val="22"/>
              </w:rPr>
            </w:pPr>
            <w:r>
              <w:rPr>
                <w:rFonts w:hint="eastAsia"/>
                <w:iCs/>
                <w:color w:val="auto"/>
                <w:sz w:val="21"/>
                <w:szCs w:val="22"/>
              </w:rPr>
              <w:t>60</w:t>
            </w:r>
          </w:p>
        </w:tc>
        <w:tc>
          <w:tcPr>
            <w:tcW w:w="2125" w:type="dxa"/>
          </w:tcPr>
          <w:p>
            <w:pPr>
              <w:jc w:val="center"/>
              <w:rPr>
                <w:iCs/>
                <w:color w:val="auto"/>
                <w:sz w:val="21"/>
                <w:szCs w:val="22"/>
              </w:rPr>
            </w:pPr>
            <w:r>
              <w:rPr>
                <w:rFonts w:hint="eastAsia"/>
                <w:iCs/>
                <w:color w:val="auto"/>
                <w:sz w:val="21"/>
                <w:szCs w:val="22"/>
              </w:rPr>
              <w:t>70</w:t>
            </w:r>
          </w:p>
        </w:tc>
        <w:tc>
          <w:tcPr>
            <w:tcW w:w="1712" w:type="dxa"/>
          </w:tcPr>
          <w:p>
            <w:pPr>
              <w:jc w:val="center"/>
              <w:rPr>
                <w:iCs/>
                <w:color w:val="auto"/>
                <w:sz w:val="21"/>
                <w:szCs w:val="22"/>
              </w:rPr>
            </w:pPr>
            <w:r>
              <w:rPr>
                <w:rFonts w:hint="eastAsia"/>
                <w:iCs/>
                <w:color w:val="auto"/>
                <w:sz w:val="21"/>
                <w:szCs w:val="22"/>
              </w:rPr>
              <w:t>100</w:t>
            </w:r>
          </w:p>
        </w:tc>
        <w:tc>
          <w:tcPr>
            <w:tcW w:w="1796" w:type="dxa"/>
          </w:tcPr>
          <w:p>
            <w:pPr>
              <w:jc w:val="center"/>
              <w:rPr>
                <w:iCs/>
                <w:color w:val="auto"/>
                <w:sz w:val="21"/>
                <w:szCs w:val="22"/>
              </w:rPr>
            </w:pPr>
            <w:r>
              <w:rPr>
                <w:rFonts w:hint="eastAsia"/>
                <w:iCs/>
                <w:color w:val="auto"/>
                <w:sz w:val="21"/>
                <w:szCs w:val="22"/>
              </w:rPr>
              <w:t>190</w:t>
            </w:r>
          </w:p>
        </w:tc>
      </w:tr>
    </w:tbl>
    <w:p>
      <w:pPr>
        <w:pStyle w:val="4"/>
        <w:rPr>
          <w:color w:val="auto"/>
        </w:rPr>
      </w:pPr>
      <w:bookmarkStart w:id="45" w:name="_Toc26276784"/>
      <w:r>
        <w:rPr>
          <w:rFonts w:hint="eastAsia"/>
          <w:color w:val="auto"/>
        </w:rPr>
        <w:t>2.6.2污染物排放标准</w:t>
      </w:r>
      <w:bookmarkEnd w:id="45"/>
    </w:p>
    <w:p>
      <w:pPr>
        <w:spacing w:line="360" w:lineRule="auto"/>
        <w:ind w:firstLine="482" w:firstLineChars="200"/>
        <w:jc w:val="left"/>
        <w:rPr>
          <w:b/>
          <w:color w:val="auto"/>
          <w:sz w:val="24"/>
          <w:szCs w:val="24"/>
        </w:rPr>
      </w:pPr>
      <w:r>
        <w:rPr>
          <w:rFonts w:hint="eastAsia"/>
          <w:b/>
          <w:color w:val="auto"/>
          <w:sz w:val="24"/>
          <w:szCs w:val="24"/>
        </w:rPr>
        <w:t>1、污水排放标准</w:t>
      </w:r>
    </w:p>
    <w:p>
      <w:pPr>
        <w:spacing w:line="360" w:lineRule="auto"/>
        <w:ind w:firstLine="480" w:firstLineChars="200"/>
        <w:rPr>
          <w:color w:val="auto"/>
          <w:sz w:val="24"/>
          <w:szCs w:val="24"/>
        </w:rPr>
      </w:pPr>
      <w:r>
        <w:rPr>
          <w:rFonts w:hint="eastAsia"/>
          <w:color w:val="auto"/>
          <w:sz w:val="24"/>
          <w:szCs w:val="24"/>
        </w:rPr>
        <w:t>项目施工期产生的施工废水经沉淀、隔油等措施处理后，回用于施工场地洒水等环节，回用水水质执行《城市污水再生利用 城市杂用水水质》（GB/T18920-2020）中建筑施工标准。</w:t>
      </w:r>
    </w:p>
    <w:p>
      <w:pPr>
        <w:spacing w:line="360" w:lineRule="auto"/>
        <w:ind w:firstLine="480" w:firstLineChars="200"/>
        <w:rPr>
          <w:color w:val="auto"/>
          <w:sz w:val="24"/>
          <w:szCs w:val="24"/>
        </w:rPr>
      </w:pPr>
      <w:r>
        <w:rPr>
          <w:rFonts w:hint="eastAsia"/>
          <w:color w:val="auto"/>
          <w:sz w:val="24"/>
          <w:szCs w:val="24"/>
        </w:rPr>
        <w:t>项目运营期经处理达标的尾水部分回用，其余尾水排入大嵩河。其中，根据《河东绿色生态工业小镇水质净化厂一期提标改造工程可行性研究报告》（湖北省城建设计院有限公司上海分公司，2019年7月）等文件，项目外排尾水执行《地表水环境质量标准》（GB3838-2002）准Ⅳ类标准（即SS、粪大肠菌群数达到《城镇污水处理厂污染物排放标准》（GB18918-2002）中的一级A出水标准，其它主要污染指标达到地表水Ⅳ类标准，TN放宽至10mg/L）。项目尾水回用去向主要包括水质净化厂自用、园区内城市绿化、道路清扫和冲厕，回用水水质执行《城市污水再生利用 城市杂用水水质》（GB/T18920-2020）。相关标准见下。</w:t>
      </w:r>
    </w:p>
    <w:p>
      <w:pPr>
        <w:adjustRightInd w:val="0"/>
        <w:snapToGrid w:val="0"/>
        <w:spacing w:beforeLines="50" w:afterLines="50"/>
        <w:jc w:val="center"/>
        <w:rPr>
          <w:b/>
          <w:color w:val="auto"/>
          <w:sz w:val="24"/>
          <w:szCs w:val="24"/>
        </w:rPr>
      </w:pPr>
      <w:bookmarkStart w:id="46" w:name="_Hlk483994304"/>
      <w:r>
        <w:rPr>
          <w:rFonts w:hint="eastAsia"/>
          <w:b/>
          <w:color w:val="auto"/>
          <w:sz w:val="24"/>
          <w:szCs w:val="24"/>
        </w:rPr>
        <w:t xml:space="preserve">  表2-6-8   出水排放标准指标   </w:t>
      </w:r>
      <w:r>
        <w:rPr>
          <w:b/>
          <w:color w:val="auto"/>
          <w:sz w:val="24"/>
          <w:szCs w:val="24"/>
        </w:rPr>
        <w:t>单位：mg/L</w:t>
      </w:r>
      <w:r>
        <w:rPr>
          <w:rFonts w:hint="eastAsia"/>
          <w:b/>
          <w:color w:val="auto"/>
          <w:sz w:val="24"/>
          <w:szCs w:val="24"/>
        </w:rPr>
        <w:t>，注明除外</w:t>
      </w:r>
    </w:p>
    <w:tbl>
      <w:tblPr>
        <w:tblStyle w:val="28"/>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3"/>
        <w:gridCol w:w="880"/>
        <w:gridCol w:w="851"/>
        <w:gridCol w:w="708"/>
        <w:gridCol w:w="851"/>
        <w:gridCol w:w="709"/>
        <w:gridCol w:w="1377"/>
        <w:gridCol w:w="850"/>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53" w:type="dxa"/>
            <w:vAlign w:val="center"/>
          </w:tcPr>
          <w:p>
            <w:pPr>
              <w:jc w:val="center"/>
              <w:rPr>
                <w:b/>
                <w:iCs/>
                <w:color w:val="auto"/>
                <w:sz w:val="21"/>
                <w:szCs w:val="21"/>
              </w:rPr>
            </w:pPr>
            <w:r>
              <w:rPr>
                <w:rFonts w:hint="eastAsia"/>
                <w:b/>
                <w:iCs/>
                <w:color w:val="auto"/>
                <w:sz w:val="21"/>
                <w:szCs w:val="21"/>
              </w:rPr>
              <w:t>污染物指标</w:t>
            </w:r>
          </w:p>
        </w:tc>
        <w:tc>
          <w:tcPr>
            <w:tcW w:w="880" w:type="dxa"/>
            <w:vAlign w:val="center"/>
          </w:tcPr>
          <w:p>
            <w:pPr>
              <w:jc w:val="center"/>
              <w:rPr>
                <w:b/>
                <w:iCs/>
                <w:color w:val="auto"/>
                <w:sz w:val="21"/>
                <w:szCs w:val="21"/>
              </w:rPr>
            </w:pPr>
            <w:r>
              <w:rPr>
                <w:b/>
                <w:iCs/>
                <w:color w:val="auto"/>
                <w:sz w:val="21"/>
                <w:szCs w:val="21"/>
              </w:rPr>
              <w:t>COD</w:t>
            </w:r>
            <w:r>
              <w:rPr>
                <w:b/>
                <w:iCs/>
                <w:color w:val="auto"/>
                <w:sz w:val="21"/>
                <w:szCs w:val="21"/>
                <w:vertAlign w:val="subscript"/>
              </w:rPr>
              <w:t>Cr</w:t>
            </w:r>
          </w:p>
        </w:tc>
        <w:tc>
          <w:tcPr>
            <w:tcW w:w="851" w:type="dxa"/>
            <w:vAlign w:val="center"/>
          </w:tcPr>
          <w:p>
            <w:pPr>
              <w:jc w:val="center"/>
              <w:rPr>
                <w:b/>
                <w:iCs/>
                <w:color w:val="auto"/>
                <w:sz w:val="21"/>
                <w:szCs w:val="21"/>
              </w:rPr>
            </w:pPr>
            <w:r>
              <w:rPr>
                <w:b/>
                <w:iCs/>
                <w:color w:val="auto"/>
                <w:sz w:val="21"/>
                <w:szCs w:val="21"/>
              </w:rPr>
              <w:t>BOD</w:t>
            </w:r>
            <w:r>
              <w:rPr>
                <w:b/>
                <w:iCs/>
                <w:color w:val="auto"/>
                <w:sz w:val="21"/>
                <w:szCs w:val="21"/>
                <w:vertAlign w:val="subscript"/>
              </w:rPr>
              <w:t>5</w:t>
            </w:r>
          </w:p>
        </w:tc>
        <w:tc>
          <w:tcPr>
            <w:tcW w:w="708" w:type="dxa"/>
            <w:vAlign w:val="center"/>
          </w:tcPr>
          <w:p>
            <w:pPr>
              <w:jc w:val="center"/>
              <w:rPr>
                <w:b/>
                <w:iCs/>
                <w:color w:val="auto"/>
                <w:sz w:val="21"/>
                <w:szCs w:val="21"/>
              </w:rPr>
            </w:pPr>
            <w:r>
              <w:rPr>
                <w:rFonts w:hint="eastAsia"/>
                <w:b/>
                <w:iCs/>
                <w:color w:val="auto"/>
                <w:sz w:val="21"/>
                <w:szCs w:val="21"/>
              </w:rPr>
              <w:t>TN</w:t>
            </w:r>
          </w:p>
        </w:tc>
        <w:tc>
          <w:tcPr>
            <w:tcW w:w="851" w:type="dxa"/>
            <w:vAlign w:val="center"/>
          </w:tcPr>
          <w:p>
            <w:pPr>
              <w:jc w:val="center"/>
              <w:rPr>
                <w:b/>
                <w:iCs/>
                <w:color w:val="auto"/>
                <w:sz w:val="21"/>
                <w:szCs w:val="21"/>
              </w:rPr>
            </w:pPr>
            <w:r>
              <w:rPr>
                <w:b/>
                <w:iCs/>
                <w:color w:val="auto"/>
                <w:sz w:val="21"/>
                <w:szCs w:val="21"/>
              </w:rPr>
              <w:t>NH</w:t>
            </w:r>
            <w:r>
              <w:rPr>
                <w:rFonts w:hint="eastAsia"/>
                <w:b/>
                <w:iCs/>
                <w:color w:val="auto"/>
                <w:sz w:val="21"/>
                <w:szCs w:val="21"/>
                <w:vertAlign w:val="subscript"/>
              </w:rPr>
              <w:t>3</w:t>
            </w:r>
            <w:r>
              <w:rPr>
                <w:b/>
                <w:iCs/>
                <w:color w:val="auto"/>
                <w:sz w:val="21"/>
                <w:szCs w:val="21"/>
              </w:rPr>
              <w:t>-N</w:t>
            </w:r>
          </w:p>
        </w:tc>
        <w:tc>
          <w:tcPr>
            <w:tcW w:w="709" w:type="dxa"/>
            <w:vAlign w:val="center"/>
          </w:tcPr>
          <w:p>
            <w:pPr>
              <w:snapToGrid w:val="0"/>
              <w:jc w:val="center"/>
              <w:rPr>
                <w:b/>
                <w:iCs/>
                <w:color w:val="auto"/>
                <w:sz w:val="21"/>
                <w:szCs w:val="21"/>
              </w:rPr>
            </w:pPr>
            <w:r>
              <w:rPr>
                <w:b/>
                <w:iCs/>
                <w:color w:val="auto"/>
                <w:sz w:val="21"/>
                <w:szCs w:val="21"/>
              </w:rPr>
              <w:t>TP</w:t>
            </w:r>
          </w:p>
        </w:tc>
        <w:tc>
          <w:tcPr>
            <w:tcW w:w="1377" w:type="dxa"/>
            <w:vAlign w:val="center"/>
          </w:tcPr>
          <w:p>
            <w:pPr>
              <w:jc w:val="center"/>
              <w:rPr>
                <w:b/>
                <w:iCs/>
                <w:color w:val="auto"/>
                <w:sz w:val="21"/>
                <w:szCs w:val="21"/>
              </w:rPr>
            </w:pPr>
            <w:r>
              <w:rPr>
                <w:rFonts w:hint="eastAsia"/>
                <w:b/>
                <w:iCs/>
                <w:color w:val="auto"/>
                <w:sz w:val="21"/>
                <w:szCs w:val="21"/>
              </w:rPr>
              <w:t>粪大肠菌群数（个</w:t>
            </w:r>
            <w:r>
              <w:rPr>
                <w:b/>
                <w:iCs/>
                <w:color w:val="auto"/>
                <w:sz w:val="21"/>
                <w:szCs w:val="21"/>
              </w:rPr>
              <w:t>/L</w:t>
            </w:r>
            <w:r>
              <w:rPr>
                <w:rFonts w:hint="eastAsia"/>
                <w:b/>
                <w:iCs/>
                <w:color w:val="auto"/>
                <w:sz w:val="21"/>
                <w:szCs w:val="21"/>
              </w:rPr>
              <w:t>）</w:t>
            </w:r>
          </w:p>
        </w:tc>
        <w:tc>
          <w:tcPr>
            <w:tcW w:w="850" w:type="dxa"/>
            <w:vAlign w:val="center"/>
          </w:tcPr>
          <w:p>
            <w:pPr>
              <w:jc w:val="center"/>
              <w:rPr>
                <w:b/>
                <w:iCs/>
                <w:color w:val="auto"/>
                <w:sz w:val="21"/>
                <w:szCs w:val="21"/>
              </w:rPr>
            </w:pPr>
            <w:r>
              <w:rPr>
                <w:rFonts w:hint="eastAsia"/>
                <w:b/>
                <w:iCs/>
                <w:color w:val="auto"/>
                <w:sz w:val="21"/>
                <w:szCs w:val="21"/>
              </w:rPr>
              <w:t>SS</w:t>
            </w:r>
          </w:p>
        </w:tc>
        <w:tc>
          <w:tcPr>
            <w:tcW w:w="959" w:type="dxa"/>
            <w:vAlign w:val="center"/>
          </w:tcPr>
          <w:p>
            <w:pPr>
              <w:jc w:val="center"/>
              <w:rPr>
                <w:b/>
                <w:iCs/>
                <w:color w:val="auto"/>
                <w:sz w:val="21"/>
                <w:szCs w:val="21"/>
              </w:rPr>
            </w:pPr>
            <w:r>
              <w:rPr>
                <w:b/>
                <w:iCs/>
                <w:color w:val="auto"/>
                <w:sz w:val="21"/>
                <w:szCs w:val="21"/>
              </w:rPr>
              <w:t>pH（无量纲）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453" w:type="dxa"/>
            <w:vAlign w:val="center"/>
          </w:tcPr>
          <w:p>
            <w:pPr>
              <w:jc w:val="center"/>
              <w:rPr>
                <w:iCs/>
                <w:color w:val="auto"/>
                <w:sz w:val="21"/>
                <w:szCs w:val="21"/>
              </w:rPr>
            </w:pPr>
            <w:r>
              <w:rPr>
                <w:color w:val="auto"/>
                <w:sz w:val="21"/>
                <w:szCs w:val="21"/>
              </w:rPr>
              <w:t>（GB3838-2002）</w:t>
            </w:r>
            <w:r>
              <w:rPr>
                <w:rFonts w:hint="eastAsia"/>
                <w:color w:val="auto"/>
                <w:sz w:val="21"/>
                <w:szCs w:val="21"/>
              </w:rPr>
              <w:t>准Ⅳ</w:t>
            </w:r>
            <w:r>
              <w:rPr>
                <w:color w:val="auto"/>
                <w:sz w:val="21"/>
                <w:szCs w:val="21"/>
              </w:rPr>
              <w:t>类</w:t>
            </w:r>
          </w:p>
        </w:tc>
        <w:tc>
          <w:tcPr>
            <w:tcW w:w="880" w:type="dxa"/>
            <w:vAlign w:val="center"/>
          </w:tcPr>
          <w:p>
            <w:pPr>
              <w:jc w:val="center"/>
              <w:rPr>
                <w:iCs/>
                <w:color w:val="auto"/>
                <w:sz w:val="21"/>
                <w:szCs w:val="21"/>
              </w:rPr>
            </w:pPr>
            <w:r>
              <w:rPr>
                <w:rFonts w:hint="eastAsia"/>
                <w:iCs/>
                <w:color w:val="auto"/>
                <w:sz w:val="21"/>
                <w:szCs w:val="21"/>
              </w:rPr>
              <w:t>≤3</w:t>
            </w:r>
            <w:r>
              <w:rPr>
                <w:iCs/>
                <w:color w:val="auto"/>
                <w:sz w:val="21"/>
                <w:szCs w:val="21"/>
              </w:rPr>
              <w:t>0</w:t>
            </w:r>
          </w:p>
        </w:tc>
        <w:tc>
          <w:tcPr>
            <w:tcW w:w="851" w:type="dxa"/>
            <w:vAlign w:val="center"/>
          </w:tcPr>
          <w:p>
            <w:pPr>
              <w:jc w:val="center"/>
              <w:rPr>
                <w:iCs/>
                <w:color w:val="auto"/>
                <w:sz w:val="21"/>
                <w:szCs w:val="21"/>
              </w:rPr>
            </w:pPr>
            <w:r>
              <w:rPr>
                <w:rFonts w:hint="eastAsia"/>
                <w:iCs/>
                <w:color w:val="auto"/>
                <w:sz w:val="21"/>
                <w:szCs w:val="21"/>
              </w:rPr>
              <w:t>≤6</w:t>
            </w:r>
          </w:p>
        </w:tc>
        <w:tc>
          <w:tcPr>
            <w:tcW w:w="708" w:type="dxa"/>
            <w:vAlign w:val="center"/>
          </w:tcPr>
          <w:p>
            <w:pPr>
              <w:jc w:val="center"/>
              <w:rPr>
                <w:iCs/>
                <w:color w:val="auto"/>
                <w:sz w:val="21"/>
                <w:szCs w:val="21"/>
              </w:rPr>
            </w:pPr>
            <w:r>
              <w:rPr>
                <w:rFonts w:hint="eastAsia"/>
                <w:iCs/>
                <w:color w:val="auto"/>
                <w:sz w:val="21"/>
                <w:szCs w:val="21"/>
              </w:rPr>
              <w:t>≤10</w:t>
            </w:r>
          </w:p>
        </w:tc>
        <w:tc>
          <w:tcPr>
            <w:tcW w:w="851" w:type="dxa"/>
            <w:vAlign w:val="center"/>
          </w:tcPr>
          <w:p>
            <w:pPr>
              <w:jc w:val="center"/>
              <w:rPr>
                <w:iCs/>
                <w:color w:val="auto"/>
                <w:sz w:val="21"/>
                <w:szCs w:val="21"/>
              </w:rPr>
            </w:pPr>
            <w:r>
              <w:rPr>
                <w:rFonts w:hint="eastAsia"/>
                <w:iCs/>
                <w:color w:val="auto"/>
                <w:sz w:val="21"/>
                <w:szCs w:val="21"/>
              </w:rPr>
              <w:t>≤1.5</w:t>
            </w:r>
          </w:p>
        </w:tc>
        <w:tc>
          <w:tcPr>
            <w:tcW w:w="709" w:type="dxa"/>
            <w:vAlign w:val="center"/>
          </w:tcPr>
          <w:p>
            <w:pPr>
              <w:jc w:val="center"/>
              <w:rPr>
                <w:iCs/>
                <w:color w:val="auto"/>
                <w:sz w:val="21"/>
                <w:szCs w:val="21"/>
              </w:rPr>
            </w:pPr>
            <w:r>
              <w:rPr>
                <w:rFonts w:hint="eastAsia"/>
                <w:iCs/>
                <w:color w:val="auto"/>
                <w:sz w:val="21"/>
                <w:szCs w:val="21"/>
              </w:rPr>
              <w:t>≤</w:t>
            </w:r>
            <w:r>
              <w:rPr>
                <w:iCs/>
                <w:color w:val="auto"/>
                <w:sz w:val="21"/>
                <w:szCs w:val="21"/>
              </w:rPr>
              <w:t>0.</w:t>
            </w:r>
            <w:r>
              <w:rPr>
                <w:rFonts w:hint="eastAsia"/>
                <w:iCs/>
                <w:color w:val="auto"/>
                <w:sz w:val="21"/>
                <w:szCs w:val="21"/>
              </w:rPr>
              <w:t>3</w:t>
            </w:r>
          </w:p>
        </w:tc>
        <w:tc>
          <w:tcPr>
            <w:tcW w:w="1377" w:type="dxa"/>
            <w:vAlign w:val="center"/>
          </w:tcPr>
          <w:p>
            <w:pPr>
              <w:jc w:val="center"/>
              <w:rPr>
                <w:iCs/>
                <w:color w:val="auto"/>
                <w:sz w:val="21"/>
                <w:szCs w:val="21"/>
              </w:rPr>
            </w:pPr>
            <w:r>
              <w:rPr>
                <w:rFonts w:hint="eastAsia"/>
                <w:iCs/>
                <w:color w:val="auto"/>
                <w:sz w:val="21"/>
                <w:szCs w:val="21"/>
              </w:rPr>
              <w:t>≤1000</w:t>
            </w:r>
          </w:p>
        </w:tc>
        <w:tc>
          <w:tcPr>
            <w:tcW w:w="850" w:type="dxa"/>
            <w:vAlign w:val="center"/>
          </w:tcPr>
          <w:p>
            <w:pPr>
              <w:jc w:val="center"/>
              <w:rPr>
                <w:iCs/>
                <w:color w:val="auto"/>
                <w:sz w:val="21"/>
                <w:szCs w:val="21"/>
              </w:rPr>
            </w:pPr>
            <w:r>
              <w:rPr>
                <w:rFonts w:hint="eastAsia"/>
                <w:iCs/>
                <w:color w:val="auto"/>
                <w:sz w:val="21"/>
                <w:szCs w:val="21"/>
              </w:rPr>
              <w:t>≤10</w:t>
            </w:r>
          </w:p>
        </w:tc>
        <w:tc>
          <w:tcPr>
            <w:tcW w:w="959" w:type="dxa"/>
            <w:vAlign w:val="center"/>
          </w:tcPr>
          <w:p>
            <w:pPr>
              <w:jc w:val="center"/>
              <w:rPr>
                <w:iCs/>
                <w:color w:val="auto"/>
                <w:sz w:val="21"/>
                <w:szCs w:val="21"/>
              </w:rPr>
            </w:pPr>
            <w:r>
              <w:rPr>
                <w:iCs/>
                <w:color w:val="auto"/>
                <w:sz w:val="21"/>
                <w:szCs w:val="21"/>
              </w:rPr>
              <w:t>6</w:t>
            </w:r>
            <w:r>
              <w:rPr>
                <w:rFonts w:hint="eastAsia"/>
                <w:iCs/>
                <w:color w:val="auto"/>
                <w:sz w:val="21"/>
                <w:szCs w:val="21"/>
              </w:rPr>
              <w:t>～</w:t>
            </w:r>
            <w:r>
              <w:rPr>
                <w:iCs/>
                <w:color w:val="auto"/>
                <w:sz w:val="21"/>
                <w:szCs w:val="21"/>
              </w:rPr>
              <w:t>9</w:t>
            </w:r>
          </w:p>
        </w:tc>
      </w:tr>
      <w:bookmarkEnd w:id="46"/>
    </w:tbl>
    <w:p>
      <w:pPr>
        <w:adjustRightInd w:val="0"/>
        <w:snapToGrid w:val="0"/>
        <w:spacing w:beforeLines="50" w:afterLines="50"/>
        <w:jc w:val="center"/>
        <w:rPr>
          <w:b/>
          <w:color w:val="auto"/>
          <w:sz w:val="24"/>
          <w:szCs w:val="24"/>
        </w:rPr>
      </w:pPr>
      <w:r>
        <w:rPr>
          <w:rFonts w:hint="eastAsia"/>
          <w:b/>
          <w:color w:val="auto"/>
          <w:sz w:val="24"/>
          <w:szCs w:val="24"/>
        </w:rPr>
        <w:t>表2-6-9    城市杂用水水质基本项目及限值</w:t>
      </w:r>
    </w:p>
    <w:tbl>
      <w:tblPr>
        <w:tblStyle w:val="28"/>
        <w:tblW w:w="8805"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0"/>
        <w:gridCol w:w="2689"/>
        <w:gridCol w:w="2649"/>
        <w:gridCol w:w="2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b/>
                <w:iCs/>
                <w:color w:val="auto"/>
                <w:sz w:val="21"/>
                <w:szCs w:val="21"/>
              </w:rPr>
            </w:pPr>
            <w:r>
              <w:rPr>
                <w:b/>
                <w:iCs/>
                <w:color w:val="auto"/>
                <w:sz w:val="21"/>
                <w:szCs w:val="21"/>
              </w:rPr>
              <w:t>序号</w:t>
            </w:r>
          </w:p>
        </w:tc>
        <w:tc>
          <w:tcPr>
            <w:tcW w:w="2689" w:type="dxa"/>
            <w:shd w:val="clear" w:color="auto" w:fill="FFFFFF"/>
            <w:vAlign w:val="center"/>
          </w:tcPr>
          <w:p>
            <w:pPr>
              <w:adjustRightInd w:val="0"/>
              <w:snapToGrid w:val="0"/>
              <w:jc w:val="center"/>
              <w:rPr>
                <w:b/>
                <w:iCs/>
                <w:color w:val="auto"/>
                <w:sz w:val="21"/>
                <w:szCs w:val="21"/>
              </w:rPr>
            </w:pPr>
            <w:r>
              <w:rPr>
                <w:b/>
                <w:iCs/>
                <w:color w:val="auto"/>
                <w:sz w:val="21"/>
                <w:szCs w:val="21"/>
              </w:rPr>
              <w:t>项目</w:t>
            </w:r>
          </w:p>
        </w:tc>
        <w:tc>
          <w:tcPr>
            <w:tcW w:w="2649" w:type="dxa"/>
            <w:shd w:val="clear" w:color="auto" w:fill="FFFFFF"/>
            <w:vAlign w:val="center"/>
          </w:tcPr>
          <w:p>
            <w:pPr>
              <w:adjustRightInd w:val="0"/>
              <w:snapToGrid w:val="0"/>
              <w:jc w:val="center"/>
              <w:rPr>
                <w:b/>
                <w:iCs/>
                <w:color w:val="auto"/>
                <w:sz w:val="21"/>
                <w:szCs w:val="21"/>
              </w:rPr>
            </w:pPr>
            <w:r>
              <w:rPr>
                <w:rFonts w:hint="eastAsia"/>
                <w:b/>
                <w:iCs/>
                <w:color w:val="auto"/>
                <w:sz w:val="21"/>
                <w:szCs w:val="21"/>
              </w:rPr>
              <w:t>冲厕</w:t>
            </w:r>
          </w:p>
        </w:tc>
        <w:tc>
          <w:tcPr>
            <w:tcW w:w="2917" w:type="dxa"/>
            <w:shd w:val="clear" w:color="auto" w:fill="FFFFFF"/>
            <w:vAlign w:val="center"/>
          </w:tcPr>
          <w:p>
            <w:pPr>
              <w:adjustRightInd w:val="0"/>
              <w:snapToGrid w:val="0"/>
              <w:jc w:val="center"/>
              <w:rPr>
                <w:b/>
                <w:iCs/>
                <w:color w:val="auto"/>
                <w:sz w:val="21"/>
                <w:szCs w:val="21"/>
              </w:rPr>
            </w:pPr>
            <w:r>
              <w:rPr>
                <w:rFonts w:hint="eastAsia"/>
                <w:b/>
                <w:iCs/>
                <w:color w:val="auto"/>
                <w:sz w:val="21"/>
                <w:szCs w:val="21"/>
              </w:rPr>
              <w:t>城市绿化、道路清扫、建筑施工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1</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PH</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6.0~9.0</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6.0~9.0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2</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色度，铂钴色度单位≤</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15</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3</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嗅</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无不快感</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无不快感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4</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浊度/NTU≤</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5</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5</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五日生化需氧量 (BOD</w:t>
            </w:r>
            <w:r>
              <w:rPr>
                <w:iCs/>
                <w:color w:val="auto"/>
                <w:sz w:val="21"/>
                <w:szCs w:val="21"/>
                <w:vertAlign w:val="subscript"/>
              </w:rPr>
              <w:t>5</w:t>
            </w:r>
            <w:r>
              <w:rPr>
                <w:iCs/>
                <w:color w:val="auto"/>
                <w:sz w:val="21"/>
                <w:szCs w:val="21"/>
              </w:rPr>
              <w:t>) / (mg/L) ≤</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6</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氨氮/ (mg/L) ≤</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5</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7</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阴离子表面活性剂/ (mg/L) ≤</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0.5</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8</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铁/ (mg/L) ≤</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0.3</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9</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锰/ ( mg/L) ≤</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0.1</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10</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溶解性总固体/ (mg/L) ≤</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1000（2000）</w:t>
            </w:r>
            <w:r>
              <w:rPr>
                <w:rFonts w:hint="eastAsia"/>
                <w:iCs/>
                <w:color w:val="auto"/>
                <w:sz w:val="21"/>
                <w:szCs w:val="21"/>
                <w:vertAlign w:val="superscript"/>
              </w:rPr>
              <w:t>a</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1000（2000）</w:t>
            </w:r>
            <w:r>
              <w:rPr>
                <w:rFonts w:hint="eastAsia"/>
                <w:iCs/>
                <w:color w:val="auto"/>
                <w:sz w:val="21"/>
                <w:szCs w:val="21"/>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rFonts w:hint="eastAsia"/>
                <w:iCs/>
                <w:color w:val="auto"/>
                <w:sz w:val="21"/>
                <w:szCs w:val="21"/>
              </w:rPr>
              <w:t>11</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 xml:space="preserve">溶解氧/ (mg/L) </w:t>
            </w:r>
            <w:r>
              <w:rPr>
                <w:color w:val="auto"/>
                <w:sz w:val="21"/>
                <w:szCs w:val="21"/>
                <w:shd w:val="clear" w:color="auto" w:fill="FFFFFF"/>
              </w:rPr>
              <w:t>≥</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2.0</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1</w:t>
            </w:r>
            <w:r>
              <w:rPr>
                <w:rFonts w:hint="eastAsia"/>
                <w:iCs/>
                <w:color w:val="auto"/>
                <w:sz w:val="21"/>
                <w:szCs w:val="21"/>
              </w:rPr>
              <w:t>2</w:t>
            </w:r>
          </w:p>
        </w:tc>
        <w:tc>
          <w:tcPr>
            <w:tcW w:w="2689" w:type="dxa"/>
            <w:shd w:val="clear" w:color="auto" w:fill="FFFFFF"/>
            <w:vAlign w:val="center"/>
          </w:tcPr>
          <w:p>
            <w:pPr>
              <w:adjustRightInd w:val="0"/>
              <w:snapToGrid w:val="0"/>
              <w:jc w:val="center"/>
              <w:rPr>
                <w:iCs/>
                <w:color w:val="auto"/>
                <w:sz w:val="21"/>
                <w:szCs w:val="21"/>
              </w:rPr>
            </w:pPr>
            <w:r>
              <w:rPr>
                <w:iCs/>
                <w:color w:val="auto"/>
                <w:sz w:val="21"/>
                <w:szCs w:val="21"/>
              </w:rPr>
              <w:t>总</w:t>
            </w:r>
            <w:r>
              <w:rPr>
                <w:rFonts w:hint="eastAsia"/>
                <w:iCs/>
                <w:color w:val="auto"/>
                <w:sz w:val="21"/>
                <w:szCs w:val="21"/>
              </w:rPr>
              <w:t>氯</w:t>
            </w:r>
            <w:r>
              <w:rPr>
                <w:iCs/>
                <w:color w:val="auto"/>
                <w:sz w:val="21"/>
                <w:szCs w:val="21"/>
              </w:rPr>
              <w:t>(mg/L)</w:t>
            </w:r>
            <w:r>
              <w:rPr>
                <w:color w:val="auto"/>
                <w:sz w:val="21"/>
                <w:szCs w:val="21"/>
                <w:shd w:val="clear" w:color="auto" w:fill="FFFFFF"/>
              </w:rPr>
              <w:t xml:space="preserve"> ≥</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1.0（出厂），0.2（管网末端）</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1.0（出厂），0.2</w:t>
            </w:r>
            <w:r>
              <w:rPr>
                <w:rFonts w:hint="eastAsia"/>
                <w:iCs/>
                <w:color w:val="auto"/>
                <w:sz w:val="21"/>
                <w:szCs w:val="21"/>
                <w:vertAlign w:val="superscript"/>
              </w:rPr>
              <w:t>b</w:t>
            </w:r>
            <w:r>
              <w:rPr>
                <w:rFonts w:hint="eastAsia"/>
                <w:iCs/>
                <w:color w:val="auto"/>
                <w:sz w:val="21"/>
                <w:szCs w:val="21"/>
              </w:rPr>
              <w:t>（管网末端）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50" w:type="dxa"/>
            <w:shd w:val="clear" w:color="auto" w:fill="FFFFFF"/>
            <w:vAlign w:val="center"/>
          </w:tcPr>
          <w:p>
            <w:pPr>
              <w:adjustRightInd w:val="0"/>
              <w:snapToGrid w:val="0"/>
              <w:jc w:val="center"/>
              <w:rPr>
                <w:iCs/>
                <w:color w:val="auto"/>
                <w:sz w:val="21"/>
                <w:szCs w:val="21"/>
              </w:rPr>
            </w:pPr>
            <w:r>
              <w:rPr>
                <w:iCs/>
                <w:color w:val="auto"/>
                <w:sz w:val="21"/>
                <w:szCs w:val="21"/>
              </w:rPr>
              <w:t>1</w:t>
            </w:r>
            <w:r>
              <w:rPr>
                <w:rFonts w:hint="eastAsia"/>
                <w:iCs/>
                <w:color w:val="auto"/>
                <w:sz w:val="21"/>
                <w:szCs w:val="21"/>
              </w:rPr>
              <w:t>3</w:t>
            </w:r>
          </w:p>
        </w:tc>
        <w:tc>
          <w:tcPr>
            <w:tcW w:w="2689" w:type="dxa"/>
            <w:shd w:val="clear" w:color="auto" w:fill="FFFFFF"/>
            <w:vAlign w:val="center"/>
          </w:tcPr>
          <w:p>
            <w:pPr>
              <w:adjustRightInd w:val="0"/>
              <w:snapToGrid w:val="0"/>
              <w:jc w:val="center"/>
              <w:rPr>
                <w:iCs/>
                <w:color w:val="auto"/>
                <w:sz w:val="21"/>
                <w:szCs w:val="21"/>
              </w:rPr>
            </w:pPr>
            <w:r>
              <w:rPr>
                <w:rFonts w:hint="eastAsia"/>
                <w:iCs/>
                <w:color w:val="auto"/>
                <w:sz w:val="21"/>
                <w:szCs w:val="21"/>
              </w:rPr>
              <w:t>大肠埃希氏菌</w:t>
            </w:r>
            <w:r>
              <w:rPr>
                <w:iCs/>
                <w:color w:val="auto"/>
                <w:sz w:val="21"/>
                <w:szCs w:val="21"/>
              </w:rPr>
              <w:t>（</w:t>
            </w:r>
            <w:r>
              <w:rPr>
                <w:rFonts w:hint="eastAsia"/>
                <w:iCs/>
                <w:color w:val="auto"/>
                <w:sz w:val="21"/>
                <w:szCs w:val="21"/>
              </w:rPr>
              <w:t>MPN/100mL或CFU/100mL</w:t>
            </w:r>
            <w:r>
              <w:rPr>
                <w:iCs/>
                <w:color w:val="auto"/>
                <w:sz w:val="21"/>
                <w:szCs w:val="21"/>
              </w:rPr>
              <w:t>)</w:t>
            </w:r>
          </w:p>
        </w:tc>
        <w:tc>
          <w:tcPr>
            <w:tcW w:w="2649" w:type="dxa"/>
            <w:shd w:val="clear" w:color="auto" w:fill="FFFFFF"/>
            <w:vAlign w:val="center"/>
          </w:tcPr>
          <w:p>
            <w:pPr>
              <w:adjustRightInd w:val="0"/>
              <w:snapToGrid w:val="0"/>
              <w:jc w:val="center"/>
              <w:rPr>
                <w:iCs/>
                <w:color w:val="auto"/>
                <w:sz w:val="21"/>
                <w:szCs w:val="21"/>
              </w:rPr>
            </w:pPr>
            <w:r>
              <w:rPr>
                <w:rFonts w:hint="eastAsia"/>
                <w:iCs/>
                <w:color w:val="auto"/>
                <w:sz w:val="21"/>
                <w:szCs w:val="21"/>
              </w:rPr>
              <w:t>无</w:t>
            </w:r>
            <w:r>
              <w:rPr>
                <w:rFonts w:hint="eastAsia"/>
                <w:iCs/>
                <w:color w:val="auto"/>
                <w:sz w:val="21"/>
                <w:szCs w:val="21"/>
                <w:vertAlign w:val="superscript"/>
              </w:rPr>
              <w:t>c</w:t>
            </w:r>
          </w:p>
        </w:tc>
        <w:tc>
          <w:tcPr>
            <w:tcW w:w="2917" w:type="dxa"/>
            <w:shd w:val="clear" w:color="auto" w:fill="FFFFFF"/>
            <w:vAlign w:val="center"/>
          </w:tcPr>
          <w:p>
            <w:pPr>
              <w:adjustRightInd w:val="0"/>
              <w:snapToGrid w:val="0"/>
              <w:jc w:val="center"/>
              <w:rPr>
                <w:iCs/>
                <w:color w:val="auto"/>
                <w:sz w:val="21"/>
                <w:szCs w:val="21"/>
              </w:rPr>
            </w:pPr>
            <w:r>
              <w:rPr>
                <w:rFonts w:hint="eastAsia"/>
                <w:iCs/>
                <w:color w:val="auto"/>
                <w:sz w:val="21"/>
                <w:szCs w:val="21"/>
              </w:rPr>
              <w:t>无</w:t>
            </w:r>
            <w:r>
              <w:rPr>
                <w:rFonts w:hint="eastAsia"/>
                <w:iCs/>
                <w:color w:val="auto"/>
                <w:sz w:val="21"/>
                <w:szCs w:val="21"/>
                <w:vertAlign w:val="superscript"/>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trPr>
        <w:tc>
          <w:tcPr>
            <w:tcW w:w="5888" w:type="dxa"/>
            <w:gridSpan w:val="3"/>
            <w:shd w:val="clear" w:color="auto" w:fill="FFFFFF"/>
            <w:vAlign w:val="center"/>
          </w:tcPr>
          <w:p>
            <w:pPr>
              <w:adjustRightInd w:val="0"/>
              <w:snapToGrid w:val="0"/>
              <w:jc w:val="left"/>
              <w:rPr>
                <w:iCs/>
                <w:color w:val="auto"/>
                <w:sz w:val="21"/>
                <w:szCs w:val="21"/>
              </w:rPr>
            </w:pPr>
            <w:r>
              <w:rPr>
                <w:rFonts w:hint="eastAsia"/>
                <w:iCs/>
                <w:color w:val="auto"/>
                <w:sz w:val="21"/>
                <w:szCs w:val="21"/>
              </w:rPr>
              <w:t>注：“-”表示对此项无要求。</w:t>
            </w:r>
          </w:p>
        </w:tc>
        <w:tc>
          <w:tcPr>
            <w:tcW w:w="2917" w:type="dxa"/>
            <w:shd w:val="clear" w:color="auto" w:fill="FFFFFF"/>
            <w:vAlign w:val="center"/>
          </w:tcPr>
          <w:p>
            <w:pPr>
              <w:adjustRightInd w:val="0"/>
              <w:snapToGrid w:val="0"/>
              <w:jc w:val="left"/>
              <w:rPr>
                <w:i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8805" w:type="dxa"/>
            <w:gridSpan w:val="4"/>
            <w:shd w:val="clear" w:color="auto" w:fill="FFFFFF"/>
            <w:vAlign w:val="center"/>
          </w:tcPr>
          <w:p>
            <w:pPr>
              <w:adjustRightInd w:val="0"/>
              <w:snapToGrid w:val="0"/>
              <w:jc w:val="left"/>
              <w:rPr>
                <w:iCs/>
                <w:color w:val="auto"/>
                <w:sz w:val="21"/>
                <w:szCs w:val="21"/>
              </w:rPr>
            </w:pPr>
            <w:r>
              <w:rPr>
                <w:iCs/>
                <w:color w:val="auto"/>
                <w:sz w:val="21"/>
                <w:szCs w:val="21"/>
              </w:rPr>
              <w:t>a</w:t>
            </w:r>
            <w:r>
              <w:rPr>
                <w:rFonts w:hint="eastAsia"/>
                <w:iCs/>
                <w:color w:val="auto"/>
                <w:sz w:val="21"/>
                <w:szCs w:val="21"/>
              </w:rPr>
              <w:t>括号内指标值为沿海及本地水源中溶解性固体含量较高的区域的指标。</w:t>
            </w:r>
          </w:p>
          <w:p>
            <w:pPr>
              <w:adjustRightInd w:val="0"/>
              <w:snapToGrid w:val="0"/>
              <w:jc w:val="left"/>
              <w:rPr>
                <w:iCs/>
                <w:color w:val="auto"/>
                <w:sz w:val="21"/>
                <w:szCs w:val="21"/>
              </w:rPr>
            </w:pPr>
            <w:r>
              <w:rPr>
                <w:iCs/>
                <w:color w:val="auto"/>
                <w:sz w:val="21"/>
                <w:szCs w:val="21"/>
              </w:rPr>
              <w:t>B</w:t>
            </w:r>
            <w:r>
              <w:rPr>
                <w:rFonts w:hint="eastAsia"/>
                <w:iCs/>
                <w:color w:val="auto"/>
                <w:sz w:val="21"/>
                <w:szCs w:val="21"/>
              </w:rPr>
              <w:t>用于城市绿化时，不应超过2.5mg/L。</w:t>
            </w:r>
          </w:p>
          <w:p>
            <w:pPr>
              <w:adjustRightInd w:val="0"/>
              <w:snapToGrid w:val="0"/>
              <w:jc w:val="left"/>
              <w:rPr>
                <w:iCs/>
                <w:color w:val="auto"/>
                <w:sz w:val="21"/>
                <w:szCs w:val="21"/>
              </w:rPr>
            </w:pPr>
            <w:r>
              <w:rPr>
                <w:rFonts w:hint="eastAsia"/>
                <w:iCs/>
                <w:color w:val="auto"/>
                <w:sz w:val="21"/>
                <w:szCs w:val="21"/>
              </w:rPr>
              <w:t>c大肠埃希氏菌不应检出。</w:t>
            </w:r>
          </w:p>
        </w:tc>
      </w:tr>
    </w:tbl>
    <w:p>
      <w:pPr>
        <w:spacing w:line="360" w:lineRule="auto"/>
        <w:ind w:firstLine="482" w:firstLineChars="200"/>
        <w:rPr>
          <w:b/>
          <w:color w:val="auto"/>
          <w:sz w:val="24"/>
          <w:szCs w:val="24"/>
        </w:rPr>
      </w:pPr>
      <w:r>
        <w:rPr>
          <w:rFonts w:hint="eastAsia"/>
          <w:b/>
          <w:color w:val="auto"/>
          <w:sz w:val="24"/>
          <w:szCs w:val="24"/>
        </w:rPr>
        <w:t>2、</w:t>
      </w:r>
      <w:r>
        <w:rPr>
          <w:b/>
          <w:color w:val="auto"/>
          <w:sz w:val="24"/>
          <w:szCs w:val="24"/>
        </w:rPr>
        <w:t>废气排放标准</w:t>
      </w:r>
    </w:p>
    <w:p>
      <w:pPr>
        <w:spacing w:line="360" w:lineRule="auto"/>
        <w:ind w:firstLine="480" w:firstLineChars="200"/>
        <w:rPr>
          <w:color w:val="auto"/>
          <w:sz w:val="24"/>
          <w:szCs w:val="24"/>
        </w:rPr>
      </w:pPr>
      <w:r>
        <w:rPr>
          <w:rFonts w:hint="eastAsia"/>
          <w:color w:val="auto"/>
          <w:sz w:val="24"/>
          <w:szCs w:val="24"/>
        </w:rPr>
        <w:t>施工期主要大气污染物为施工扬尘、施工机械及设备废气，执行广东省地方标准《大气污染物排放限值》（DB44/T 27-2001）第二时段无组织排放监控浓度限值：</w:t>
      </w:r>
    </w:p>
    <w:p>
      <w:pPr>
        <w:spacing w:line="360" w:lineRule="auto"/>
        <w:jc w:val="center"/>
        <w:rPr>
          <w:b/>
          <w:color w:val="auto"/>
          <w:sz w:val="24"/>
          <w:szCs w:val="24"/>
        </w:rPr>
      </w:pPr>
      <w:r>
        <w:rPr>
          <w:rFonts w:hint="eastAsia"/>
          <w:b/>
          <w:color w:val="auto"/>
        </w:rPr>
        <w:t xml:space="preserve"> </w:t>
      </w:r>
      <w:r>
        <w:rPr>
          <w:rFonts w:hint="eastAsia"/>
          <w:b/>
          <w:color w:val="auto"/>
          <w:sz w:val="24"/>
          <w:szCs w:val="24"/>
        </w:rPr>
        <w:t xml:space="preserve"> 表2-6-10      施工期废气排放标准一览表</w:t>
      </w:r>
    </w:p>
    <w:tbl>
      <w:tblPr>
        <w:tblStyle w:val="28"/>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1"/>
        <w:gridCol w:w="2008"/>
        <w:gridCol w:w="3487"/>
        <w:gridCol w:w="1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931" w:type="dxa"/>
            <w:vMerge w:val="restart"/>
            <w:vAlign w:val="center"/>
          </w:tcPr>
          <w:p>
            <w:pPr>
              <w:jc w:val="center"/>
              <w:rPr>
                <w:b/>
                <w:iCs/>
                <w:color w:val="auto"/>
                <w:sz w:val="21"/>
                <w:szCs w:val="22"/>
              </w:rPr>
            </w:pPr>
            <w:bookmarkStart w:id="47" w:name="_Hlk483995296"/>
            <w:r>
              <w:rPr>
                <w:rFonts w:hint="eastAsia"/>
                <w:b/>
                <w:iCs/>
                <w:color w:val="auto"/>
                <w:sz w:val="21"/>
                <w:szCs w:val="22"/>
              </w:rPr>
              <w:t>污染物</w:t>
            </w:r>
          </w:p>
        </w:tc>
        <w:tc>
          <w:tcPr>
            <w:tcW w:w="2008" w:type="dxa"/>
            <w:vMerge w:val="restart"/>
            <w:vAlign w:val="center"/>
          </w:tcPr>
          <w:p>
            <w:pPr>
              <w:jc w:val="center"/>
              <w:rPr>
                <w:b/>
                <w:iCs/>
                <w:color w:val="auto"/>
                <w:sz w:val="21"/>
                <w:szCs w:val="22"/>
              </w:rPr>
            </w:pPr>
            <w:r>
              <w:rPr>
                <w:rFonts w:hint="eastAsia"/>
                <w:b/>
                <w:iCs/>
                <w:color w:val="auto"/>
                <w:sz w:val="21"/>
                <w:szCs w:val="22"/>
              </w:rPr>
              <w:t>最高允许排放浓度mg</w:t>
            </w:r>
            <w:r>
              <w:rPr>
                <w:b/>
                <w:iCs/>
                <w:color w:val="auto"/>
                <w:sz w:val="21"/>
                <w:szCs w:val="22"/>
              </w:rPr>
              <w:t>/</w:t>
            </w:r>
            <w:r>
              <w:rPr>
                <w:rFonts w:hint="eastAsia"/>
                <w:b/>
                <w:iCs/>
                <w:color w:val="auto"/>
                <w:sz w:val="21"/>
                <w:szCs w:val="22"/>
              </w:rPr>
              <w:t>m</w:t>
            </w:r>
            <w:r>
              <w:rPr>
                <w:b/>
                <w:iCs/>
                <w:color w:val="auto"/>
                <w:sz w:val="21"/>
                <w:szCs w:val="22"/>
                <w:vertAlign w:val="superscript"/>
              </w:rPr>
              <w:t>3</w:t>
            </w:r>
          </w:p>
        </w:tc>
        <w:tc>
          <w:tcPr>
            <w:tcW w:w="5326" w:type="dxa"/>
            <w:gridSpan w:val="2"/>
            <w:vAlign w:val="center"/>
          </w:tcPr>
          <w:p>
            <w:pPr>
              <w:jc w:val="center"/>
              <w:rPr>
                <w:b/>
                <w:iCs/>
                <w:color w:val="auto"/>
                <w:sz w:val="21"/>
                <w:szCs w:val="22"/>
              </w:rPr>
            </w:pPr>
            <w:r>
              <w:rPr>
                <w:rFonts w:hint="eastAsia"/>
                <w:b/>
                <w:iCs/>
                <w:color w:val="auto"/>
                <w:sz w:val="21"/>
                <w:szCs w:val="22"/>
              </w:rPr>
              <w:t>无组织</w:t>
            </w:r>
            <w:r>
              <w:rPr>
                <w:b/>
                <w:iCs/>
                <w:color w:val="auto"/>
                <w:sz w:val="21"/>
                <w:szCs w:val="22"/>
              </w:rPr>
              <w:t>排放监控浓度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31" w:type="dxa"/>
            <w:vMerge w:val="continue"/>
            <w:vAlign w:val="center"/>
          </w:tcPr>
          <w:p>
            <w:pPr>
              <w:jc w:val="center"/>
              <w:rPr>
                <w:b/>
                <w:iCs/>
                <w:color w:val="auto"/>
                <w:sz w:val="21"/>
                <w:szCs w:val="22"/>
              </w:rPr>
            </w:pPr>
          </w:p>
        </w:tc>
        <w:tc>
          <w:tcPr>
            <w:tcW w:w="2008" w:type="dxa"/>
            <w:vMerge w:val="continue"/>
            <w:vAlign w:val="center"/>
          </w:tcPr>
          <w:p>
            <w:pPr>
              <w:jc w:val="center"/>
              <w:rPr>
                <w:b/>
                <w:iCs/>
                <w:color w:val="auto"/>
                <w:sz w:val="21"/>
                <w:szCs w:val="22"/>
              </w:rPr>
            </w:pPr>
          </w:p>
        </w:tc>
        <w:tc>
          <w:tcPr>
            <w:tcW w:w="3487" w:type="dxa"/>
            <w:vAlign w:val="center"/>
          </w:tcPr>
          <w:p>
            <w:pPr>
              <w:jc w:val="center"/>
              <w:rPr>
                <w:b/>
                <w:iCs/>
                <w:color w:val="auto"/>
                <w:sz w:val="21"/>
                <w:szCs w:val="22"/>
              </w:rPr>
            </w:pPr>
            <w:r>
              <w:rPr>
                <w:rFonts w:hint="eastAsia"/>
                <w:b/>
                <w:iCs/>
                <w:color w:val="auto"/>
                <w:sz w:val="21"/>
                <w:szCs w:val="22"/>
              </w:rPr>
              <w:t>监控点</w:t>
            </w:r>
          </w:p>
        </w:tc>
        <w:tc>
          <w:tcPr>
            <w:tcW w:w="1839" w:type="dxa"/>
            <w:vAlign w:val="center"/>
          </w:tcPr>
          <w:p>
            <w:pPr>
              <w:jc w:val="center"/>
              <w:rPr>
                <w:b/>
                <w:iCs/>
                <w:color w:val="auto"/>
                <w:sz w:val="21"/>
                <w:szCs w:val="22"/>
              </w:rPr>
            </w:pPr>
            <w:r>
              <w:rPr>
                <w:rFonts w:hint="eastAsia"/>
                <w:b/>
                <w:iCs/>
                <w:color w:val="auto"/>
                <w:sz w:val="21"/>
                <w:szCs w:val="22"/>
              </w:rPr>
              <w:t>浓度mg</w:t>
            </w:r>
            <w:r>
              <w:rPr>
                <w:b/>
                <w:iCs/>
                <w:color w:val="auto"/>
                <w:sz w:val="21"/>
                <w:szCs w:val="22"/>
              </w:rPr>
              <w:t>/</w:t>
            </w:r>
            <w:r>
              <w:rPr>
                <w:rFonts w:hint="eastAsia"/>
                <w:b/>
                <w:iCs/>
                <w:color w:val="auto"/>
                <w:sz w:val="21"/>
                <w:szCs w:val="22"/>
              </w:rPr>
              <w:t>m</w:t>
            </w:r>
            <w:r>
              <w:rPr>
                <w:b/>
                <w:iCs/>
                <w:color w:val="auto"/>
                <w:sz w:val="21"/>
                <w:szCs w:val="22"/>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31" w:type="dxa"/>
            <w:vAlign w:val="center"/>
          </w:tcPr>
          <w:p>
            <w:pPr>
              <w:jc w:val="center"/>
              <w:rPr>
                <w:iCs/>
                <w:color w:val="auto"/>
                <w:sz w:val="21"/>
                <w:szCs w:val="22"/>
              </w:rPr>
            </w:pPr>
            <w:r>
              <w:rPr>
                <w:rFonts w:hint="eastAsia"/>
                <w:iCs/>
                <w:color w:val="auto"/>
                <w:sz w:val="21"/>
                <w:szCs w:val="22"/>
              </w:rPr>
              <w:t>颗粒物</w:t>
            </w:r>
          </w:p>
        </w:tc>
        <w:tc>
          <w:tcPr>
            <w:tcW w:w="2008" w:type="dxa"/>
            <w:vAlign w:val="center"/>
          </w:tcPr>
          <w:p>
            <w:pPr>
              <w:jc w:val="center"/>
              <w:rPr>
                <w:iCs/>
                <w:color w:val="auto"/>
                <w:sz w:val="21"/>
                <w:szCs w:val="22"/>
              </w:rPr>
            </w:pPr>
            <w:r>
              <w:rPr>
                <w:rFonts w:hint="eastAsia"/>
                <w:iCs/>
                <w:color w:val="auto"/>
                <w:sz w:val="21"/>
                <w:szCs w:val="22"/>
              </w:rPr>
              <w:t xml:space="preserve">120 </w:t>
            </w:r>
          </w:p>
        </w:tc>
        <w:tc>
          <w:tcPr>
            <w:tcW w:w="3487" w:type="dxa"/>
            <w:vAlign w:val="center"/>
          </w:tcPr>
          <w:p>
            <w:pPr>
              <w:jc w:val="center"/>
              <w:rPr>
                <w:iCs/>
                <w:color w:val="auto"/>
                <w:sz w:val="21"/>
                <w:szCs w:val="22"/>
              </w:rPr>
            </w:pPr>
            <w:r>
              <w:rPr>
                <w:rFonts w:hint="eastAsia"/>
                <w:iCs/>
                <w:color w:val="auto"/>
                <w:sz w:val="21"/>
                <w:szCs w:val="22"/>
              </w:rPr>
              <w:t>周界外浓度最高点</w:t>
            </w:r>
          </w:p>
        </w:tc>
        <w:tc>
          <w:tcPr>
            <w:tcW w:w="1839" w:type="dxa"/>
            <w:vAlign w:val="center"/>
          </w:tcPr>
          <w:p>
            <w:pPr>
              <w:jc w:val="center"/>
              <w:rPr>
                <w:iCs/>
                <w:color w:val="auto"/>
                <w:sz w:val="21"/>
                <w:szCs w:val="22"/>
              </w:rPr>
            </w:pPr>
            <w:r>
              <w:rPr>
                <w:rFonts w:hint="eastAsia"/>
                <w:iCs/>
                <w:color w:val="auto"/>
                <w:sz w:val="21"/>
                <w:szCs w:val="22"/>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31" w:type="dxa"/>
            <w:vAlign w:val="center"/>
          </w:tcPr>
          <w:p>
            <w:pPr>
              <w:jc w:val="center"/>
              <w:rPr>
                <w:iCs/>
                <w:color w:val="auto"/>
                <w:sz w:val="21"/>
                <w:szCs w:val="22"/>
              </w:rPr>
            </w:pPr>
            <w:r>
              <w:rPr>
                <w:rFonts w:hint="eastAsia"/>
                <w:iCs/>
                <w:color w:val="auto"/>
                <w:sz w:val="21"/>
                <w:szCs w:val="22"/>
              </w:rPr>
              <w:t>二氧化硫</w:t>
            </w:r>
          </w:p>
        </w:tc>
        <w:tc>
          <w:tcPr>
            <w:tcW w:w="2008" w:type="dxa"/>
            <w:vAlign w:val="center"/>
          </w:tcPr>
          <w:p>
            <w:pPr>
              <w:jc w:val="center"/>
              <w:rPr>
                <w:iCs/>
                <w:color w:val="auto"/>
                <w:sz w:val="21"/>
                <w:szCs w:val="22"/>
              </w:rPr>
            </w:pPr>
            <w:r>
              <w:rPr>
                <w:rFonts w:hint="eastAsia"/>
                <w:iCs/>
                <w:color w:val="auto"/>
                <w:sz w:val="21"/>
                <w:szCs w:val="22"/>
              </w:rPr>
              <w:t>500</w:t>
            </w:r>
          </w:p>
        </w:tc>
        <w:tc>
          <w:tcPr>
            <w:tcW w:w="3487" w:type="dxa"/>
            <w:vAlign w:val="center"/>
          </w:tcPr>
          <w:p>
            <w:pPr>
              <w:jc w:val="center"/>
              <w:rPr>
                <w:iCs/>
                <w:color w:val="auto"/>
                <w:sz w:val="21"/>
                <w:szCs w:val="22"/>
              </w:rPr>
            </w:pPr>
            <w:r>
              <w:rPr>
                <w:rFonts w:hint="eastAsia"/>
                <w:iCs/>
                <w:color w:val="auto"/>
                <w:sz w:val="21"/>
                <w:szCs w:val="22"/>
              </w:rPr>
              <w:t>周界外浓度最高点</w:t>
            </w:r>
          </w:p>
        </w:tc>
        <w:tc>
          <w:tcPr>
            <w:tcW w:w="1839" w:type="dxa"/>
            <w:vAlign w:val="center"/>
          </w:tcPr>
          <w:p>
            <w:pPr>
              <w:jc w:val="center"/>
              <w:rPr>
                <w:iCs/>
                <w:color w:val="auto"/>
                <w:sz w:val="21"/>
                <w:szCs w:val="22"/>
              </w:rPr>
            </w:pPr>
            <w:r>
              <w:rPr>
                <w:rFonts w:hint="eastAsia"/>
                <w:iCs/>
                <w:color w:val="auto"/>
                <w:sz w:val="21"/>
                <w:szCs w:val="22"/>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31" w:type="dxa"/>
            <w:vAlign w:val="center"/>
          </w:tcPr>
          <w:p>
            <w:pPr>
              <w:jc w:val="center"/>
              <w:rPr>
                <w:iCs/>
                <w:color w:val="auto"/>
                <w:sz w:val="21"/>
                <w:szCs w:val="22"/>
              </w:rPr>
            </w:pPr>
            <w:r>
              <w:rPr>
                <w:rFonts w:hint="eastAsia"/>
                <w:iCs/>
                <w:color w:val="auto"/>
                <w:sz w:val="21"/>
                <w:szCs w:val="22"/>
              </w:rPr>
              <w:t>氮氧化物</w:t>
            </w:r>
          </w:p>
        </w:tc>
        <w:tc>
          <w:tcPr>
            <w:tcW w:w="2008" w:type="dxa"/>
            <w:vAlign w:val="center"/>
          </w:tcPr>
          <w:p>
            <w:pPr>
              <w:jc w:val="center"/>
              <w:rPr>
                <w:iCs/>
                <w:color w:val="auto"/>
                <w:sz w:val="21"/>
                <w:szCs w:val="22"/>
              </w:rPr>
            </w:pPr>
            <w:r>
              <w:rPr>
                <w:rFonts w:hint="eastAsia"/>
                <w:iCs/>
                <w:color w:val="auto"/>
                <w:sz w:val="21"/>
                <w:szCs w:val="22"/>
              </w:rPr>
              <w:t>120</w:t>
            </w:r>
          </w:p>
        </w:tc>
        <w:tc>
          <w:tcPr>
            <w:tcW w:w="3487" w:type="dxa"/>
            <w:vAlign w:val="center"/>
          </w:tcPr>
          <w:p>
            <w:pPr>
              <w:jc w:val="center"/>
              <w:rPr>
                <w:iCs/>
                <w:color w:val="auto"/>
                <w:sz w:val="21"/>
                <w:szCs w:val="22"/>
              </w:rPr>
            </w:pPr>
            <w:r>
              <w:rPr>
                <w:rFonts w:hint="eastAsia"/>
                <w:iCs/>
                <w:color w:val="auto"/>
                <w:sz w:val="21"/>
                <w:szCs w:val="22"/>
              </w:rPr>
              <w:t>周界外浓度最高点</w:t>
            </w:r>
          </w:p>
        </w:tc>
        <w:tc>
          <w:tcPr>
            <w:tcW w:w="1839" w:type="dxa"/>
            <w:vAlign w:val="center"/>
          </w:tcPr>
          <w:p>
            <w:pPr>
              <w:jc w:val="center"/>
              <w:rPr>
                <w:iCs/>
                <w:color w:val="auto"/>
                <w:sz w:val="21"/>
                <w:szCs w:val="22"/>
              </w:rPr>
            </w:pPr>
            <w:r>
              <w:rPr>
                <w:rFonts w:hint="eastAsia"/>
                <w:iCs/>
                <w:color w:val="auto"/>
                <w:sz w:val="21"/>
                <w:szCs w:val="22"/>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31" w:type="dxa"/>
            <w:vAlign w:val="center"/>
          </w:tcPr>
          <w:p>
            <w:pPr>
              <w:jc w:val="center"/>
              <w:rPr>
                <w:iCs/>
                <w:color w:val="auto"/>
                <w:sz w:val="21"/>
                <w:szCs w:val="22"/>
              </w:rPr>
            </w:pPr>
            <w:r>
              <w:rPr>
                <w:rFonts w:hint="eastAsia"/>
                <w:iCs/>
                <w:color w:val="auto"/>
                <w:sz w:val="21"/>
                <w:szCs w:val="22"/>
              </w:rPr>
              <w:t>一氧化碳</w:t>
            </w:r>
          </w:p>
        </w:tc>
        <w:tc>
          <w:tcPr>
            <w:tcW w:w="2008" w:type="dxa"/>
            <w:vAlign w:val="center"/>
          </w:tcPr>
          <w:p>
            <w:pPr>
              <w:jc w:val="center"/>
              <w:rPr>
                <w:iCs/>
                <w:color w:val="auto"/>
                <w:sz w:val="21"/>
                <w:szCs w:val="22"/>
              </w:rPr>
            </w:pPr>
            <w:r>
              <w:rPr>
                <w:rFonts w:hint="eastAsia"/>
                <w:iCs/>
                <w:color w:val="auto"/>
                <w:sz w:val="21"/>
                <w:szCs w:val="22"/>
              </w:rPr>
              <w:t>1000</w:t>
            </w:r>
          </w:p>
        </w:tc>
        <w:tc>
          <w:tcPr>
            <w:tcW w:w="3487" w:type="dxa"/>
            <w:vAlign w:val="center"/>
          </w:tcPr>
          <w:p>
            <w:pPr>
              <w:jc w:val="center"/>
              <w:rPr>
                <w:iCs/>
                <w:color w:val="auto"/>
                <w:sz w:val="21"/>
                <w:szCs w:val="22"/>
              </w:rPr>
            </w:pPr>
            <w:r>
              <w:rPr>
                <w:rFonts w:hint="eastAsia"/>
                <w:iCs/>
                <w:color w:val="auto"/>
                <w:sz w:val="21"/>
                <w:szCs w:val="22"/>
              </w:rPr>
              <w:t>周界外浓度最高点</w:t>
            </w:r>
          </w:p>
        </w:tc>
        <w:tc>
          <w:tcPr>
            <w:tcW w:w="1839" w:type="dxa"/>
            <w:vAlign w:val="center"/>
          </w:tcPr>
          <w:p>
            <w:pPr>
              <w:jc w:val="center"/>
              <w:rPr>
                <w:iCs/>
                <w:color w:val="auto"/>
                <w:sz w:val="21"/>
                <w:szCs w:val="22"/>
              </w:rPr>
            </w:pPr>
            <w:r>
              <w:rPr>
                <w:rFonts w:hint="eastAsia"/>
                <w:iCs/>
                <w:color w:val="auto"/>
                <w:sz w:val="21"/>
                <w:szCs w:val="22"/>
              </w:rPr>
              <w:t>8</w:t>
            </w:r>
          </w:p>
        </w:tc>
      </w:tr>
      <w:bookmarkEnd w:id="47"/>
    </w:tbl>
    <w:p>
      <w:pPr>
        <w:spacing w:line="360" w:lineRule="auto"/>
        <w:ind w:firstLine="480" w:firstLineChars="200"/>
        <w:rPr>
          <w:color w:val="auto"/>
          <w:sz w:val="24"/>
          <w:szCs w:val="24"/>
        </w:rPr>
      </w:pPr>
      <w:r>
        <w:rPr>
          <w:rFonts w:hint="eastAsia"/>
          <w:color w:val="auto"/>
          <w:sz w:val="24"/>
          <w:szCs w:val="24"/>
        </w:rPr>
        <w:t>本项目运营期恶臭污染物无组织排放执行《城镇污水处理厂污染物排放标准》（</w:t>
      </w:r>
      <w:r>
        <w:rPr>
          <w:color w:val="auto"/>
          <w:sz w:val="24"/>
          <w:szCs w:val="24"/>
        </w:rPr>
        <w:t>GB18918-2002</w:t>
      </w:r>
      <w:r>
        <w:rPr>
          <w:rFonts w:hint="eastAsia"/>
          <w:color w:val="auto"/>
          <w:sz w:val="24"/>
          <w:szCs w:val="24"/>
        </w:rPr>
        <w:t>）及其修改单中表</w:t>
      </w:r>
      <w:r>
        <w:rPr>
          <w:color w:val="auto"/>
          <w:sz w:val="24"/>
          <w:szCs w:val="24"/>
        </w:rPr>
        <w:t>4“</w:t>
      </w:r>
      <w:r>
        <w:rPr>
          <w:rFonts w:hint="eastAsia"/>
          <w:color w:val="auto"/>
          <w:sz w:val="24"/>
          <w:szCs w:val="24"/>
        </w:rPr>
        <w:t>厂界（防护带边缘）废气排放最高允许浓度</w:t>
      </w:r>
      <w:r>
        <w:rPr>
          <w:color w:val="auto"/>
          <w:sz w:val="24"/>
          <w:szCs w:val="24"/>
        </w:rPr>
        <w:t>”</w:t>
      </w:r>
      <w:r>
        <w:rPr>
          <w:rFonts w:hint="eastAsia"/>
          <w:color w:val="auto"/>
          <w:sz w:val="24"/>
          <w:szCs w:val="24"/>
        </w:rPr>
        <w:t>二级标准限值；有组织排放执行《恶臭污染物排放标准》（</w:t>
      </w:r>
      <w:r>
        <w:rPr>
          <w:color w:val="auto"/>
          <w:sz w:val="24"/>
          <w:szCs w:val="24"/>
        </w:rPr>
        <w:t>GB 14554-93</w:t>
      </w:r>
      <w:r>
        <w:rPr>
          <w:rFonts w:hint="eastAsia"/>
          <w:color w:val="auto"/>
          <w:sz w:val="24"/>
          <w:szCs w:val="24"/>
        </w:rPr>
        <w:t>）表</w:t>
      </w:r>
      <w:r>
        <w:rPr>
          <w:color w:val="auto"/>
          <w:sz w:val="24"/>
          <w:szCs w:val="24"/>
        </w:rPr>
        <w:t>2</w:t>
      </w:r>
      <w:r>
        <w:rPr>
          <w:rFonts w:hint="eastAsia"/>
          <w:color w:val="auto"/>
          <w:sz w:val="24"/>
          <w:szCs w:val="24"/>
        </w:rPr>
        <w:t>排放标准限值，详</w:t>
      </w:r>
      <w:r>
        <w:rPr>
          <w:color w:val="auto"/>
          <w:sz w:val="24"/>
          <w:szCs w:val="24"/>
        </w:rPr>
        <w:t>见</w:t>
      </w:r>
      <w:r>
        <w:rPr>
          <w:rFonts w:hint="eastAsia"/>
          <w:color w:val="auto"/>
          <w:sz w:val="24"/>
          <w:szCs w:val="24"/>
        </w:rPr>
        <w:t>下表</w:t>
      </w:r>
      <w:r>
        <w:rPr>
          <w:color w:val="auto"/>
          <w:sz w:val="24"/>
          <w:szCs w:val="24"/>
        </w:rPr>
        <w:t>。</w:t>
      </w:r>
    </w:p>
    <w:p>
      <w:pPr>
        <w:spacing w:line="360" w:lineRule="auto"/>
        <w:jc w:val="center"/>
        <w:rPr>
          <w:b/>
          <w:color w:val="auto"/>
          <w:sz w:val="24"/>
          <w:szCs w:val="24"/>
        </w:rPr>
      </w:pPr>
      <w:r>
        <w:rPr>
          <w:rFonts w:hint="eastAsia"/>
          <w:b/>
          <w:color w:val="auto"/>
        </w:rPr>
        <w:t xml:space="preserve"> </w:t>
      </w:r>
      <w:r>
        <w:rPr>
          <w:rFonts w:hint="eastAsia"/>
          <w:b/>
          <w:color w:val="auto"/>
          <w:sz w:val="24"/>
          <w:szCs w:val="24"/>
        </w:rPr>
        <w:t xml:space="preserve"> 表2-6-11恶臭污染物无组织排放标准一览表</w:t>
      </w:r>
    </w:p>
    <w:tbl>
      <w:tblPr>
        <w:tblStyle w:val="28"/>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9"/>
        <w:gridCol w:w="1984"/>
        <w:gridCol w:w="2057"/>
        <w:gridCol w:w="1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9" w:type="dxa"/>
            <w:tcBorders>
              <w:tl2br w:val="single" w:color="auto" w:sz="4" w:space="0"/>
            </w:tcBorders>
            <w:vAlign w:val="center"/>
          </w:tcPr>
          <w:p>
            <w:pPr>
              <w:jc w:val="center"/>
              <w:rPr>
                <w:b/>
                <w:iCs/>
                <w:color w:val="auto"/>
                <w:sz w:val="21"/>
                <w:szCs w:val="21"/>
              </w:rPr>
            </w:pPr>
            <w:r>
              <w:rPr>
                <w:rFonts w:hint="eastAsia"/>
                <w:b/>
                <w:iCs/>
                <w:color w:val="auto"/>
                <w:sz w:val="21"/>
                <w:szCs w:val="21"/>
              </w:rPr>
              <w:t xml:space="preserve">             污染物</w:t>
            </w:r>
          </w:p>
          <w:p>
            <w:pPr>
              <w:rPr>
                <w:b/>
                <w:iCs/>
                <w:color w:val="auto"/>
                <w:sz w:val="21"/>
                <w:szCs w:val="21"/>
              </w:rPr>
            </w:pPr>
            <w:r>
              <w:rPr>
                <w:rFonts w:hint="eastAsia"/>
                <w:b/>
                <w:iCs/>
                <w:color w:val="auto"/>
                <w:sz w:val="21"/>
                <w:szCs w:val="21"/>
              </w:rPr>
              <w:t>执行标准</w:t>
            </w:r>
          </w:p>
        </w:tc>
        <w:tc>
          <w:tcPr>
            <w:tcW w:w="1984" w:type="dxa"/>
            <w:vAlign w:val="center"/>
          </w:tcPr>
          <w:p>
            <w:pPr>
              <w:jc w:val="center"/>
              <w:rPr>
                <w:b/>
                <w:iCs/>
                <w:color w:val="auto"/>
                <w:sz w:val="21"/>
                <w:szCs w:val="21"/>
              </w:rPr>
            </w:pPr>
            <w:r>
              <w:rPr>
                <w:rFonts w:hint="eastAsia"/>
                <w:b/>
                <w:iCs/>
                <w:color w:val="auto"/>
                <w:sz w:val="21"/>
                <w:szCs w:val="21"/>
              </w:rPr>
              <w:t>NH</w:t>
            </w:r>
            <w:r>
              <w:rPr>
                <w:b/>
                <w:iCs/>
                <w:color w:val="auto"/>
                <w:sz w:val="21"/>
                <w:szCs w:val="21"/>
                <w:vertAlign w:val="subscript"/>
              </w:rPr>
              <w:t>3</w:t>
            </w:r>
          </w:p>
        </w:tc>
        <w:tc>
          <w:tcPr>
            <w:tcW w:w="2057" w:type="dxa"/>
            <w:vAlign w:val="center"/>
          </w:tcPr>
          <w:p>
            <w:pPr>
              <w:jc w:val="center"/>
              <w:rPr>
                <w:b/>
                <w:iCs/>
                <w:color w:val="auto"/>
                <w:sz w:val="21"/>
                <w:szCs w:val="21"/>
              </w:rPr>
            </w:pPr>
            <w:r>
              <w:rPr>
                <w:rFonts w:hint="eastAsia"/>
                <w:b/>
                <w:iCs/>
                <w:color w:val="auto"/>
                <w:sz w:val="21"/>
                <w:szCs w:val="21"/>
              </w:rPr>
              <w:t>H</w:t>
            </w:r>
            <w:r>
              <w:rPr>
                <w:b/>
                <w:iCs/>
                <w:color w:val="auto"/>
                <w:sz w:val="21"/>
                <w:szCs w:val="21"/>
                <w:vertAlign w:val="subscript"/>
              </w:rPr>
              <w:t>2</w:t>
            </w:r>
            <w:r>
              <w:rPr>
                <w:rFonts w:hint="eastAsia"/>
                <w:b/>
                <w:iCs/>
                <w:color w:val="auto"/>
                <w:sz w:val="21"/>
                <w:szCs w:val="21"/>
              </w:rPr>
              <w:t>S</w:t>
            </w:r>
          </w:p>
        </w:tc>
        <w:tc>
          <w:tcPr>
            <w:tcW w:w="1636" w:type="dxa"/>
            <w:vAlign w:val="center"/>
          </w:tcPr>
          <w:p>
            <w:pPr>
              <w:jc w:val="center"/>
              <w:rPr>
                <w:b/>
                <w:iCs/>
                <w:color w:val="auto"/>
                <w:sz w:val="21"/>
                <w:szCs w:val="21"/>
              </w:rPr>
            </w:pPr>
            <w:r>
              <w:rPr>
                <w:rFonts w:hint="eastAsia"/>
                <w:b/>
                <w:iCs/>
                <w:color w:val="auto"/>
                <w:sz w:val="21"/>
                <w:szCs w:val="21"/>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9" w:type="dxa"/>
            <w:vAlign w:val="center"/>
          </w:tcPr>
          <w:p>
            <w:pPr>
              <w:jc w:val="center"/>
              <w:rPr>
                <w:iCs/>
                <w:color w:val="auto"/>
                <w:sz w:val="21"/>
                <w:szCs w:val="21"/>
              </w:rPr>
            </w:pPr>
            <w:r>
              <w:rPr>
                <w:rFonts w:hint="eastAsia"/>
                <w:color w:val="auto"/>
                <w:sz w:val="21"/>
                <w:szCs w:val="21"/>
              </w:rPr>
              <w:t>《城镇污水处理厂污染物排放标准》（</w:t>
            </w:r>
            <w:r>
              <w:rPr>
                <w:color w:val="auto"/>
                <w:sz w:val="21"/>
                <w:szCs w:val="21"/>
              </w:rPr>
              <w:t>GB18918-2002</w:t>
            </w:r>
            <w:r>
              <w:rPr>
                <w:rFonts w:hint="eastAsia"/>
                <w:color w:val="auto"/>
                <w:sz w:val="21"/>
                <w:szCs w:val="21"/>
              </w:rPr>
              <w:t>）及其修改单</w:t>
            </w:r>
          </w:p>
        </w:tc>
        <w:tc>
          <w:tcPr>
            <w:tcW w:w="1984" w:type="dxa"/>
            <w:vAlign w:val="center"/>
          </w:tcPr>
          <w:p>
            <w:pPr>
              <w:jc w:val="center"/>
              <w:rPr>
                <w:iCs/>
                <w:color w:val="auto"/>
                <w:sz w:val="21"/>
                <w:szCs w:val="21"/>
              </w:rPr>
            </w:pPr>
            <w:r>
              <w:rPr>
                <w:rFonts w:hint="eastAsia"/>
                <w:iCs/>
                <w:color w:val="auto"/>
                <w:sz w:val="21"/>
                <w:szCs w:val="21"/>
              </w:rPr>
              <w:t>1.5mg/m</w:t>
            </w:r>
            <w:r>
              <w:rPr>
                <w:rFonts w:hint="eastAsia"/>
                <w:iCs/>
                <w:color w:val="auto"/>
                <w:sz w:val="21"/>
                <w:szCs w:val="21"/>
                <w:vertAlign w:val="superscript"/>
              </w:rPr>
              <w:t>3</w:t>
            </w:r>
          </w:p>
        </w:tc>
        <w:tc>
          <w:tcPr>
            <w:tcW w:w="2057" w:type="dxa"/>
            <w:vAlign w:val="center"/>
          </w:tcPr>
          <w:p>
            <w:pPr>
              <w:jc w:val="center"/>
              <w:rPr>
                <w:iCs/>
                <w:color w:val="auto"/>
                <w:sz w:val="21"/>
                <w:szCs w:val="21"/>
              </w:rPr>
            </w:pPr>
            <w:r>
              <w:rPr>
                <w:rFonts w:hint="eastAsia"/>
                <w:iCs/>
                <w:color w:val="auto"/>
                <w:sz w:val="21"/>
                <w:szCs w:val="21"/>
              </w:rPr>
              <w:t>0.06 mg/m</w:t>
            </w:r>
            <w:r>
              <w:rPr>
                <w:rFonts w:hint="eastAsia"/>
                <w:iCs/>
                <w:color w:val="auto"/>
                <w:sz w:val="21"/>
                <w:szCs w:val="21"/>
                <w:vertAlign w:val="superscript"/>
              </w:rPr>
              <w:t>3</w:t>
            </w:r>
          </w:p>
        </w:tc>
        <w:tc>
          <w:tcPr>
            <w:tcW w:w="1636" w:type="dxa"/>
            <w:vAlign w:val="center"/>
          </w:tcPr>
          <w:p>
            <w:pPr>
              <w:jc w:val="center"/>
              <w:rPr>
                <w:iCs/>
                <w:color w:val="auto"/>
                <w:sz w:val="21"/>
                <w:szCs w:val="21"/>
              </w:rPr>
            </w:pPr>
            <w:r>
              <w:rPr>
                <w:rFonts w:hint="eastAsia"/>
                <w:iCs/>
                <w:color w:val="auto"/>
                <w:sz w:val="21"/>
                <w:szCs w:val="21"/>
              </w:rPr>
              <w:t>20（无量纲）</w:t>
            </w:r>
          </w:p>
        </w:tc>
      </w:tr>
    </w:tbl>
    <w:p>
      <w:pPr>
        <w:spacing w:line="360" w:lineRule="auto"/>
        <w:jc w:val="center"/>
        <w:rPr>
          <w:b/>
          <w:color w:val="auto"/>
          <w:sz w:val="24"/>
          <w:szCs w:val="24"/>
        </w:rPr>
      </w:pPr>
      <w:r>
        <w:rPr>
          <w:rFonts w:hint="eastAsia"/>
          <w:b/>
          <w:color w:val="auto"/>
          <w:sz w:val="24"/>
          <w:szCs w:val="24"/>
        </w:rPr>
        <w:t xml:space="preserve">表2-6-12 恶臭污染物有组织排放标准一览表   </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979"/>
        <w:gridCol w:w="2552"/>
        <w:gridCol w:w="2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jc w:val="center"/>
              <w:rPr>
                <w:b/>
                <w:iCs/>
                <w:color w:val="auto"/>
                <w:sz w:val="21"/>
                <w:szCs w:val="22"/>
              </w:rPr>
            </w:pPr>
            <w:r>
              <w:rPr>
                <w:rFonts w:hint="eastAsia"/>
                <w:b/>
                <w:iCs/>
                <w:color w:val="auto"/>
                <w:sz w:val="21"/>
                <w:szCs w:val="22"/>
              </w:rPr>
              <w:t>污染物</w:t>
            </w:r>
          </w:p>
        </w:tc>
        <w:tc>
          <w:tcPr>
            <w:tcW w:w="2979" w:type="dxa"/>
            <w:vAlign w:val="center"/>
          </w:tcPr>
          <w:p>
            <w:pPr>
              <w:jc w:val="center"/>
              <w:rPr>
                <w:b/>
                <w:iCs/>
                <w:color w:val="auto"/>
                <w:sz w:val="21"/>
                <w:szCs w:val="22"/>
              </w:rPr>
            </w:pPr>
            <w:r>
              <w:rPr>
                <w:rFonts w:hint="eastAsia"/>
                <w:b/>
                <w:iCs/>
                <w:color w:val="auto"/>
                <w:sz w:val="21"/>
                <w:szCs w:val="22"/>
              </w:rPr>
              <w:t>排气筒高度（m）</w:t>
            </w:r>
          </w:p>
        </w:tc>
        <w:tc>
          <w:tcPr>
            <w:tcW w:w="2552" w:type="dxa"/>
            <w:vAlign w:val="center"/>
          </w:tcPr>
          <w:p>
            <w:pPr>
              <w:jc w:val="center"/>
              <w:rPr>
                <w:b/>
                <w:iCs/>
                <w:color w:val="auto"/>
                <w:sz w:val="21"/>
                <w:szCs w:val="22"/>
              </w:rPr>
            </w:pPr>
            <w:r>
              <w:rPr>
                <w:rFonts w:hint="eastAsia"/>
                <w:b/>
                <w:iCs/>
                <w:color w:val="auto"/>
                <w:sz w:val="21"/>
                <w:szCs w:val="22"/>
              </w:rPr>
              <w:t>排放速率限值（kg/h）</w:t>
            </w:r>
          </w:p>
        </w:tc>
        <w:tc>
          <w:tcPr>
            <w:tcW w:w="2654" w:type="dxa"/>
            <w:vAlign w:val="center"/>
          </w:tcPr>
          <w:p>
            <w:pPr>
              <w:jc w:val="center"/>
              <w:rPr>
                <w:b/>
                <w:iCs/>
                <w:color w:val="auto"/>
                <w:sz w:val="21"/>
                <w:szCs w:val="22"/>
              </w:rPr>
            </w:pPr>
            <w:r>
              <w:rPr>
                <w:rFonts w:hint="eastAsia"/>
                <w:b/>
                <w:iCs/>
                <w:color w:val="auto"/>
                <w:sz w:val="21"/>
                <w:szCs w:val="22"/>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jc w:val="center"/>
              <w:rPr>
                <w:iCs/>
                <w:color w:val="auto"/>
                <w:sz w:val="21"/>
                <w:szCs w:val="22"/>
              </w:rPr>
            </w:pPr>
            <w:r>
              <w:rPr>
                <w:rFonts w:hint="eastAsia"/>
                <w:iCs/>
                <w:color w:val="auto"/>
                <w:sz w:val="21"/>
                <w:szCs w:val="22"/>
              </w:rPr>
              <w:t>NH</w:t>
            </w:r>
            <w:r>
              <w:rPr>
                <w:iCs/>
                <w:color w:val="auto"/>
                <w:sz w:val="21"/>
                <w:szCs w:val="22"/>
                <w:vertAlign w:val="subscript"/>
              </w:rPr>
              <w:t>3</w:t>
            </w:r>
          </w:p>
        </w:tc>
        <w:tc>
          <w:tcPr>
            <w:tcW w:w="2979" w:type="dxa"/>
            <w:vMerge w:val="restart"/>
            <w:vAlign w:val="center"/>
          </w:tcPr>
          <w:p>
            <w:pPr>
              <w:jc w:val="center"/>
              <w:rPr>
                <w:iCs/>
                <w:color w:val="auto"/>
                <w:sz w:val="21"/>
                <w:szCs w:val="22"/>
              </w:rPr>
            </w:pPr>
            <w:r>
              <w:rPr>
                <w:rFonts w:hint="eastAsia"/>
                <w:iCs/>
                <w:color w:val="auto"/>
                <w:sz w:val="21"/>
                <w:szCs w:val="22"/>
              </w:rPr>
              <w:t>15</w:t>
            </w:r>
          </w:p>
        </w:tc>
        <w:tc>
          <w:tcPr>
            <w:tcW w:w="2552" w:type="dxa"/>
            <w:vAlign w:val="center"/>
          </w:tcPr>
          <w:p>
            <w:pPr>
              <w:jc w:val="center"/>
              <w:rPr>
                <w:iCs/>
                <w:color w:val="auto"/>
                <w:sz w:val="21"/>
                <w:szCs w:val="22"/>
              </w:rPr>
            </w:pPr>
            <w:r>
              <w:rPr>
                <w:rFonts w:hint="eastAsia"/>
                <w:iCs/>
                <w:color w:val="auto"/>
                <w:sz w:val="21"/>
                <w:szCs w:val="22"/>
              </w:rPr>
              <w:t>4.9</w:t>
            </w:r>
          </w:p>
        </w:tc>
        <w:tc>
          <w:tcPr>
            <w:tcW w:w="2654" w:type="dxa"/>
            <w:vMerge w:val="restart"/>
            <w:vAlign w:val="center"/>
          </w:tcPr>
          <w:p>
            <w:pPr>
              <w:jc w:val="center"/>
              <w:rPr>
                <w:iCs/>
                <w:color w:val="auto"/>
                <w:sz w:val="21"/>
                <w:szCs w:val="22"/>
              </w:rPr>
            </w:pPr>
            <w:r>
              <w:rPr>
                <w:rFonts w:hint="eastAsia"/>
                <w:color w:val="auto"/>
                <w:sz w:val="23"/>
                <w:szCs w:val="23"/>
              </w:rPr>
              <w:t>《恶臭污染物排放标准》（</w:t>
            </w:r>
            <w:r>
              <w:rPr>
                <w:color w:val="auto"/>
                <w:sz w:val="23"/>
                <w:szCs w:val="23"/>
              </w:rPr>
              <w:t>GB 14554-93</w:t>
            </w:r>
            <w:r>
              <w:rPr>
                <w:rFonts w:hint="eastAsia"/>
                <w:color w:val="auto"/>
                <w:sz w:val="23"/>
                <w:szCs w:val="2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jc w:val="center"/>
              <w:rPr>
                <w:iCs/>
                <w:color w:val="auto"/>
                <w:sz w:val="21"/>
                <w:szCs w:val="22"/>
              </w:rPr>
            </w:pPr>
            <w:r>
              <w:rPr>
                <w:rFonts w:hint="eastAsia"/>
                <w:iCs/>
                <w:color w:val="auto"/>
                <w:sz w:val="21"/>
                <w:szCs w:val="22"/>
              </w:rPr>
              <w:t>H</w:t>
            </w:r>
            <w:r>
              <w:rPr>
                <w:iCs/>
                <w:color w:val="auto"/>
                <w:sz w:val="21"/>
                <w:szCs w:val="22"/>
                <w:vertAlign w:val="subscript"/>
              </w:rPr>
              <w:t>2</w:t>
            </w:r>
            <w:r>
              <w:rPr>
                <w:rFonts w:hint="eastAsia"/>
                <w:iCs/>
                <w:color w:val="auto"/>
                <w:sz w:val="21"/>
                <w:szCs w:val="22"/>
              </w:rPr>
              <w:t>S</w:t>
            </w:r>
          </w:p>
        </w:tc>
        <w:tc>
          <w:tcPr>
            <w:tcW w:w="2979" w:type="dxa"/>
            <w:vMerge w:val="continue"/>
            <w:vAlign w:val="center"/>
          </w:tcPr>
          <w:p>
            <w:pPr>
              <w:jc w:val="center"/>
              <w:rPr>
                <w:iCs/>
                <w:color w:val="auto"/>
                <w:sz w:val="21"/>
                <w:szCs w:val="22"/>
              </w:rPr>
            </w:pPr>
          </w:p>
        </w:tc>
        <w:tc>
          <w:tcPr>
            <w:tcW w:w="2552" w:type="dxa"/>
            <w:vAlign w:val="center"/>
          </w:tcPr>
          <w:p>
            <w:pPr>
              <w:jc w:val="center"/>
              <w:rPr>
                <w:iCs/>
                <w:color w:val="auto"/>
                <w:sz w:val="21"/>
                <w:szCs w:val="22"/>
              </w:rPr>
            </w:pPr>
            <w:r>
              <w:rPr>
                <w:rFonts w:hint="eastAsia"/>
                <w:iCs/>
                <w:color w:val="auto"/>
                <w:sz w:val="21"/>
                <w:szCs w:val="22"/>
              </w:rPr>
              <w:t>0.33</w:t>
            </w:r>
          </w:p>
        </w:tc>
        <w:tc>
          <w:tcPr>
            <w:tcW w:w="2654" w:type="dxa"/>
            <w:vMerge w:val="continue"/>
            <w:vAlign w:val="center"/>
          </w:tcPr>
          <w:p>
            <w:pPr>
              <w:jc w:val="center"/>
              <w:rPr>
                <w:iCs/>
                <w:color w:val="auto"/>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jc w:val="center"/>
              <w:rPr>
                <w:iCs/>
                <w:color w:val="auto"/>
                <w:sz w:val="21"/>
                <w:szCs w:val="22"/>
              </w:rPr>
            </w:pPr>
            <w:r>
              <w:rPr>
                <w:rFonts w:hint="eastAsia"/>
                <w:iCs/>
                <w:color w:val="auto"/>
                <w:sz w:val="21"/>
                <w:szCs w:val="22"/>
              </w:rPr>
              <w:t>臭气浓度</w:t>
            </w:r>
          </w:p>
        </w:tc>
        <w:tc>
          <w:tcPr>
            <w:tcW w:w="2979" w:type="dxa"/>
            <w:vMerge w:val="continue"/>
            <w:vAlign w:val="center"/>
          </w:tcPr>
          <w:p>
            <w:pPr>
              <w:jc w:val="center"/>
              <w:rPr>
                <w:iCs/>
                <w:color w:val="auto"/>
                <w:sz w:val="21"/>
                <w:szCs w:val="22"/>
              </w:rPr>
            </w:pPr>
          </w:p>
        </w:tc>
        <w:tc>
          <w:tcPr>
            <w:tcW w:w="2552" w:type="dxa"/>
            <w:vAlign w:val="center"/>
          </w:tcPr>
          <w:p>
            <w:pPr>
              <w:jc w:val="center"/>
              <w:rPr>
                <w:iCs/>
                <w:color w:val="auto"/>
                <w:sz w:val="21"/>
                <w:szCs w:val="22"/>
              </w:rPr>
            </w:pPr>
            <w:r>
              <w:rPr>
                <w:rFonts w:hint="eastAsia"/>
                <w:iCs/>
                <w:color w:val="auto"/>
                <w:sz w:val="21"/>
                <w:szCs w:val="22"/>
              </w:rPr>
              <w:t>2000（无量纲）</w:t>
            </w:r>
          </w:p>
        </w:tc>
        <w:tc>
          <w:tcPr>
            <w:tcW w:w="2654" w:type="dxa"/>
            <w:vMerge w:val="continue"/>
            <w:vAlign w:val="center"/>
          </w:tcPr>
          <w:p>
            <w:pPr>
              <w:jc w:val="center"/>
              <w:rPr>
                <w:iCs/>
                <w:color w:val="auto"/>
                <w:sz w:val="21"/>
                <w:szCs w:val="22"/>
              </w:rPr>
            </w:pPr>
          </w:p>
        </w:tc>
      </w:tr>
    </w:tbl>
    <w:p>
      <w:pPr>
        <w:spacing w:line="360" w:lineRule="auto"/>
        <w:ind w:firstLine="480" w:firstLineChars="200"/>
        <w:rPr>
          <w:rFonts w:hAnsi="Arial"/>
          <w:color w:val="auto"/>
          <w:sz w:val="24"/>
          <w:szCs w:val="24"/>
        </w:rPr>
      </w:pPr>
      <w:r>
        <w:rPr>
          <w:rFonts w:hAnsi="Arial"/>
          <w:color w:val="auto"/>
          <w:sz w:val="24"/>
          <w:szCs w:val="24"/>
        </w:rPr>
        <w:t>厨房油烟</w:t>
      </w:r>
      <w:r>
        <w:rPr>
          <w:rFonts w:hint="eastAsia" w:hAnsi="Arial"/>
          <w:color w:val="auto"/>
          <w:sz w:val="24"/>
          <w:szCs w:val="24"/>
        </w:rPr>
        <w:t>排放参照</w:t>
      </w:r>
      <w:r>
        <w:rPr>
          <w:rFonts w:hAnsi="Arial"/>
          <w:color w:val="auto"/>
          <w:sz w:val="24"/>
          <w:szCs w:val="24"/>
        </w:rPr>
        <w:t>执行《饮食业油烟排放标准</w:t>
      </w:r>
      <w:r>
        <w:rPr>
          <w:rFonts w:hint="eastAsia" w:hAnsi="Arial"/>
          <w:color w:val="auto"/>
          <w:sz w:val="24"/>
          <w:szCs w:val="24"/>
        </w:rPr>
        <w:t>（试行）</w:t>
      </w:r>
      <w:r>
        <w:rPr>
          <w:rFonts w:hAnsi="Arial"/>
          <w:color w:val="auto"/>
          <w:sz w:val="24"/>
          <w:szCs w:val="24"/>
        </w:rPr>
        <w:t>》（</w:t>
      </w:r>
      <w:r>
        <w:rPr>
          <w:color w:val="auto"/>
          <w:sz w:val="24"/>
          <w:szCs w:val="24"/>
        </w:rPr>
        <w:t>GB18483—2001</w:t>
      </w:r>
      <w:r>
        <w:rPr>
          <w:rFonts w:hAnsi="Arial"/>
          <w:color w:val="auto"/>
          <w:sz w:val="24"/>
          <w:szCs w:val="24"/>
        </w:rPr>
        <w:t>）的小型项目标准，见</w:t>
      </w:r>
      <w:r>
        <w:rPr>
          <w:rFonts w:hint="eastAsia" w:hAnsi="Arial"/>
          <w:color w:val="auto"/>
          <w:sz w:val="24"/>
          <w:szCs w:val="24"/>
        </w:rPr>
        <w:t>下表</w:t>
      </w:r>
      <w:r>
        <w:rPr>
          <w:rFonts w:hAnsi="Arial"/>
          <w:color w:val="auto"/>
          <w:sz w:val="24"/>
          <w:szCs w:val="24"/>
        </w:rPr>
        <w:t>。</w:t>
      </w:r>
    </w:p>
    <w:p>
      <w:pPr>
        <w:spacing w:line="360" w:lineRule="auto"/>
        <w:jc w:val="center"/>
        <w:rPr>
          <w:b/>
          <w:color w:val="auto"/>
          <w:sz w:val="24"/>
          <w:szCs w:val="24"/>
        </w:rPr>
      </w:pPr>
      <w:r>
        <w:rPr>
          <w:b/>
          <w:color w:val="auto"/>
          <w:sz w:val="24"/>
          <w:szCs w:val="24"/>
        </w:rPr>
        <w:t>表</w:t>
      </w:r>
      <w:r>
        <w:rPr>
          <w:rFonts w:hint="eastAsia"/>
          <w:b/>
          <w:color w:val="auto"/>
          <w:sz w:val="24"/>
          <w:szCs w:val="24"/>
        </w:rPr>
        <w:t xml:space="preserve">2-6-13   </w:t>
      </w:r>
      <w:r>
        <w:rPr>
          <w:b/>
          <w:color w:val="auto"/>
          <w:sz w:val="24"/>
          <w:szCs w:val="24"/>
        </w:rPr>
        <w:t>《饮食业</w:t>
      </w:r>
      <w:r>
        <w:rPr>
          <w:rFonts w:hint="eastAsia"/>
          <w:b/>
          <w:color w:val="auto"/>
          <w:sz w:val="24"/>
          <w:szCs w:val="24"/>
        </w:rPr>
        <w:t>油烟排放标准（试行）》（</w:t>
      </w:r>
      <w:r>
        <w:rPr>
          <w:b/>
          <w:color w:val="auto"/>
          <w:sz w:val="24"/>
          <w:szCs w:val="24"/>
        </w:rPr>
        <w:t>GB18483-2001）摘录</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108" w:type="dxa"/>
          <w:bottom w:w="57" w:type="dxa"/>
          <w:right w:w="108" w:type="dxa"/>
        </w:tblCellMar>
      </w:tblPr>
      <w:tblGrid>
        <w:gridCol w:w="3474"/>
        <w:gridCol w:w="1866"/>
        <w:gridCol w:w="2050"/>
        <w:gridCol w:w="189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trHeight w:val="18" w:hRule="atLeast"/>
          <w:jc w:val="center"/>
        </w:trPr>
        <w:tc>
          <w:tcPr>
            <w:tcW w:w="3474" w:type="dxa"/>
            <w:tcBorders>
              <w:top w:val="single" w:color="auto" w:sz="4" w:space="0"/>
              <w:bottom w:val="single" w:color="auto" w:sz="4" w:space="0"/>
              <w:right w:val="single" w:color="auto" w:sz="4" w:space="0"/>
            </w:tcBorders>
            <w:vAlign w:val="center"/>
          </w:tcPr>
          <w:p>
            <w:pPr>
              <w:adjustRightInd w:val="0"/>
              <w:snapToGrid w:val="0"/>
              <w:jc w:val="center"/>
              <w:rPr>
                <w:b/>
                <w:iCs/>
                <w:color w:val="auto"/>
                <w:sz w:val="21"/>
                <w:szCs w:val="22"/>
              </w:rPr>
            </w:pPr>
            <w:r>
              <w:rPr>
                <w:b/>
                <w:iCs/>
                <w:color w:val="auto"/>
                <w:sz w:val="21"/>
                <w:szCs w:val="22"/>
              </w:rPr>
              <w:t>规模</w:t>
            </w:r>
          </w:p>
        </w:tc>
        <w:tc>
          <w:tcPr>
            <w:tcW w:w="18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iCs/>
                <w:color w:val="auto"/>
                <w:sz w:val="21"/>
                <w:szCs w:val="22"/>
              </w:rPr>
            </w:pPr>
            <w:r>
              <w:rPr>
                <w:b/>
                <w:iCs/>
                <w:color w:val="auto"/>
                <w:sz w:val="21"/>
                <w:szCs w:val="22"/>
              </w:rPr>
              <w:t>小型</w:t>
            </w:r>
          </w:p>
        </w:tc>
        <w:tc>
          <w:tcPr>
            <w:tcW w:w="205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iCs/>
                <w:color w:val="auto"/>
                <w:sz w:val="21"/>
                <w:szCs w:val="22"/>
              </w:rPr>
            </w:pPr>
            <w:r>
              <w:rPr>
                <w:b/>
                <w:iCs/>
                <w:color w:val="auto"/>
                <w:sz w:val="21"/>
                <w:szCs w:val="22"/>
              </w:rPr>
              <w:t>中型</w:t>
            </w:r>
          </w:p>
        </w:tc>
        <w:tc>
          <w:tcPr>
            <w:tcW w:w="189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iCs/>
                <w:color w:val="auto"/>
                <w:sz w:val="21"/>
                <w:szCs w:val="22"/>
              </w:rPr>
            </w:pPr>
            <w:r>
              <w:rPr>
                <w:b/>
                <w:iCs/>
                <w:color w:val="auto"/>
                <w:sz w:val="21"/>
                <w:szCs w:val="22"/>
              </w:rPr>
              <w:t>大型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jc w:val="center"/>
        </w:trPr>
        <w:tc>
          <w:tcPr>
            <w:tcW w:w="3474" w:type="dxa"/>
            <w:tcBorders>
              <w:top w:val="single" w:color="auto" w:sz="4" w:space="0"/>
            </w:tcBorders>
            <w:vAlign w:val="center"/>
          </w:tcPr>
          <w:p>
            <w:pPr>
              <w:adjustRightInd w:val="0"/>
              <w:snapToGrid w:val="0"/>
              <w:jc w:val="center"/>
              <w:rPr>
                <w:iCs/>
                <w:color w:val="auto"/>
                <w:sz w:val="21"/>
                <w:szCs w:val="22"/>
              </w:rPr>
            </w:pPr>
            <w:r>
              <w:rPr>
                <w:iCs/>
                <w:color w:val="auto"/>
                <w:sz w:val="21"/>
                <w:szCs w:val="22"/>
              </w:rPr>
              <w:t>基准炉头数</w:t>
            </w:r>
          </w:p>
        </w:tc>
        <w:tc>
          <w:tcPr>
            <w:tcW w:w="1866" w:type="dxa"/>
            <w:tcBorders>
              <w:top w:val="single" w:color="auto" w:sz="4" w:space="0"/>
            </w:tcBorders>
            <w:vAlign w:val="center"/>
          </w:tcPr>
          <w:p>
            <w:pPr>
              <w:adjustRightInd w:val="0"/>
              <w:snapToGrid w:val="0"/>
              <w:jc w:val="center"/>
              <w:rPr>
                <w:iCs/>
                <w:color w:val="auto"/>
                <w:sz w:val="21"/>
                <w:szCs w:val="22"/>
              </w:rPr>
            </w:pPr>
            <w:r>
              <w:rPr>
                <w:iCs/>
                <w:color w:val="auto"/>
                <w:sz w:val="21"/>
                <w:szCs w:val="22"/>
              </w:rPr>
              <w:t>≥1，＜3</w:t>
            </w:r>
          </w:p>
        </w:tc>
        <w:tc>
          <w:tcPr>
            <w:tcW w:w="2050" w:type="dxa"/>
            <w:tcBorders>
              <w:top w:val="single" w:color="auto" w:sz="4" w:space="0"/>
            </w:tcBorders>
            <w:vAlign w:val="center"/>
          </w:tcPr>
          <w:p>
            <w:pPr>
              <w:adjustRightInd w:val="0"/>
              <w:snapToGrid w:val="0"/>
              <w:jc w:val="center"/>
              <w:rPr>
                <w:iCs/>
                <w:color w:val="auto"/>
                <w:sz w:val="21"/>
                <w:szCs w:val="22"/>
              </w:rPr>
            </w:pPr>
            <w:r>
              <w:rPr>
                <w:iCs/>
                <w:color w:val="auto"/>
                <w:sz w:val="21"/>
                <w:szCs w:val="22"/>
              </w:rPr>
              <w:t>≥3，＜6</w:t>
            </w:r>
          </w:p>
        </w:tc>
        <w:tc>
          <w:tcPr>
            <w:tcW w:w="1896" w:type="dxa"/>
            <w:tcBorders>
              <w:top w:val="single" w:color="auto" w:sz="4" w:space="0"/>
              <w:right w:val="single" w:color="auto" w:sz="4" w:space="0"/>
            </w:tcBorders>
            <w:vAlign w:val="center"/>
          </w:tcPr>
          <w:p>
            <w:pPr>
              <w:adjustRightInd w:val="0"/>
              <w:snapToGrid w:val="0"/>
              <w:jc w:val="center"/>
              <w:rPr>
                <w:iCs/>
                <w:color w:val="auto"/>
                <w:sz w:val="21"/>
                <w:szCs w:val="22"/>
              </w:rPr>
            </w:pPr>
            <w:r>
              <w:rPr>
                <w:iCs/>
                <w:color w:val="auto"/>
                <w:sz w:val="21"/>
                <w:szCs w:val="22"/>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jc w:val="center"/>
        </w:trPr>
        <w:tc>
          <w:tcPr>
            <w:tcW w:w="3474" w:type="dxa"/>
            <w:vAlign w:val="center"/>
          </w:tcPr>
          <w:p>
            <w:pPr>
              <w:adjustRightInd w:val="0"/>
              <w:snapToGrid w:val="0"/>
              <w:jc w:val="center"/>
              <w:rPr>
                <w:iCs/>
                <w:color w:val="auto"/>
                <w:sz w:val="21"/>
                <w:szCs w:val="22"/>
              </w:rPr>
            </w:pPr>
            <w:r>
              <w:rPr>
                <w:iCs/>
                <w:color w:val="auto"/>
                <w:sz w:val="21"/>
                <w:szCs w:val="22"/>
              </w:rPr>
              <w:t>最高允许排放浓度（mg/m</w:t>
            </w:r>
            <w:r>
              <w:rPr>
                <w:iCs/>
                <w:color w:val="auto"/>
                <w:sz w:val="21"/>
                <w:szCs w:val="22"/>
                <w:vertAlign w:val="superscript"/>
              </w:rPr>
              <w:t>3</w:t>
            </w:r>
            <w:r>
              <w:rPr>
                <w:iCs/>
                <w:color w:val="auto"/>
                <w:sz w:val="21"/>
                <w:szCs w:val="22"/>
              </w:rPr>
              <w:t>）</w:t>
            </w:r>
          </w:p>
        </w:tc>
        <w:tc>
          <w:tcPr>
            <w:tcW w:w="5812" w:type="dxa"/>
            <w:gridSpan w:val="3"/>
            <w:tcBorders>
              <w:right w:val="single" w:color="auto" w:sz="4" w:space="0"/>
            </w:tcBorders>
            <w:vAlign w:val="center"/>
          </w:tcPr>
          <w:p>
            <w:pPr>
              <w:adjustRightInd w:val="0"/>
              <w:snapToGrid w:val="0"/>
              <w:jc w:val="center"/>
              <w:rPr>
                <w:iCs/>
                <w:color w:val="auto"/>
                <w:sz w:val="21"/>
                <w:szCs w:val="22"/>
              </w:rPr>
            </w:pPr>
            <w:r>
              <w:rPr>
                <w:iCs/>
                <w:color w:val="auto"/>
                <w:sz w:val="21"/>
                <w:szCs w:val="22"/>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jc w:val="center"/>
        </w:trPr>
        <w:tc>
          <w:tcPr>
            <w:tcW w:w="3474" w:type="dxa"/>
            <w:vAlign w:val="center"/>
          </w:tcPr>
          <w:p>
            <w:pPr>
              <w:adjustRightInd w:val="0"/>
              <w:snapToGrid w:val="0"/>
              <w:jc w:val="center"/>
              <w:rPr>
                <w:iCs/>
                <w:color w:val="auto"/>
                <w:sz w:val="21"/>
                <w:szCs w:val="22"/>
              </w:rPr>
            </w:pPr>
            <w:r>
              <w:rPr>
                <w:iCs/>
                <w:color w:val="auto"/>
                <w:sz w:val="21"/>
                <w:szCs w:val="22"/>
              </w:rPr>
              <w:t>净化设施最低去除效率（％）</w:t>
            </w:r>
          </w:p>
        </w:tc>
        <w:tc>
          <w:tcPr>
            <w:tcW w:w="1866" w:type="dxa"/>
            <w:vAlign w:val="center"/>
          </w:tcPr>
          <w:p>
            <w:pPr>
              <w:adjustRightInd w:val="0"/>
              <w:snapToGrid w:val="0"/>
              <w:jc w:val="center"/>
              <w:rPr>
                <w:iCs/>
                <w:color w:val="auto"/>
                <w:sz w:val="21"/>
                <w:szCs w:val="22"/>
              </w:rPr>
            </w:pPr>
            <w:r>
              <w:rPr>
                <w:iCs/>
                <w:color w:val="auto"/>
                <w:sz w:val="21"/>
                <w:szCs w:val="22"/>
              </w:rPr>
              <w:t>60</w:t>
            </w:r>
          </w:p>
        </w:tc>
        <w:tc>
          <w:tcPr>
            <w:tcW w:w="2050" w:type="dxa"/>
            <w:vAlign w:val="center"/>
          </w:tcPr>
          <w:p>
            <w:pPr>
              <w:adjustRightInd w:val="0"/>
              <w:snapToGrid w:val="0"/>
              <w:jc w:val="center"/>
              <w:rPr>
                <w:iCs/>
                <w:color w:val="auto"/>
                <w:sz w:val="21"/>
                <w:szCs w:val="22"/>
              </w:rPr>
            </w:pPr>
            <w:r>
              <w:rPr>
                <w:iCs/>
                <w:color w:val="auto"/>
                <w:sz w:val="21"/>
                <w:szCs w:val="22"/>
              </w:rPr>
              <w:t>75</w:t>
            </w:r>
          </w:p>
        </w:tc>
        <w:tc>
          <w:tcPr>
            <w:tcW w:w="1896" w:type="dxa"/>
            <w:tcBorders>
              <w:right w:val="single" w:color="auto" w:sz="4" w:space="0"/>
            </w:tcBorders>
            <w:vAlign w:val="center"/>
          </w:tcPr>
          <w:p>
            <w:pPr>
              <w:adjustRightInd w:val="0"/>
              <w:snapToGrid w:val="0"/>
              <w:jc w:val="center"/>
              <w:rPr>
                <w:iCs/>
                <w:color w:val="auto"/>
                <w:sz w:val="21"/>
                <w:szCs w:val="22"/>
              </w:rPr>
            </w:pPr>
            <w:r>
              <w:rPr>
                <w:iCs/>
                <w:color w:val="auto"/>
                <w:sz w:val="21"/>
                <w:szCs w:val="22"/>
              </w:rPr>
              <w:t>85</w:t>
            </w:r>
          </w:p>
        </w:tc>
      </w:tr>
    </w:tbl>
    <w:p>
      <w:pPr>
        <w:spacing w:line="360" w:lineRule="auto"/>
        <w:ind w:firstLine="482" w:firstLineChars="200"/>
        <w:rPr>
          <w:b/>
          <w:color w:val="auto"/>
          <w:sz w:val="24"/>
          <w:szCs w:val="24"/>
        </w:rPr>
      </w:pPr>
      <w:r>
        <w:rPr>
          <w:rFonts w:hint="eastAsia"/>
          <w:b/>
          <w:color w:val="auto"/>
          <w:sz w:val="24"/>
          <w:szCs w:val="24"/>
        </w:rPr>
        <w:t>3、</w:t>
      </w:r>
      <w:r>
        <w:rPr>
          <w:b/>
          <w:color w:val="auto"/>
          <w:sz w:val="24"/>
          <w:szCs w:val="24"/>
        </w:rPr>
        <w:t>噪声排放标准</w:t>
      </w:r>
    </w:p>
    <w:p>
      <w:pPr>
        <w:spacing w:line="360" w:lineRule="auto"/>
        <w:ind w:firstLine="480" w:firstLineChars="200"/>
        <w:rPr>
          <w:color w:val="auto"/>
          <w:szCs w:val="22"/>
        </w:rPr>
      </w:pPr>
      <w:r>
        <w:rPr>
          <w:color w:val="auto"/>
          <w:sz w:val="24"/>
          <w:szCs w:val="24"/>
        </w:rPr>
        <w:t>施工期噪声执行《</w:t>
      </w:r>
      <w:r>
        <w:rPr>
          <w:rFonts w:hint="eastAsia"/>
          <w:color w:val="auto"/>
          <w:sz w:val="24"/>
          <w:szCs w:val="24"/>
        </w:rPr>
        <w:t>建筑施工场界环境噪声排放标准</w:t>
      </w:r>
      <w:r>
        <w:rPr>
          <w:color w:val="auto"/>
          <w:sz w:val="24"/>
          <w:szCs w:val="24"/>
        </w:rPr>
        <w:t>》(GB12523-2011)，见</w:t>
      </w:r>
      <w:r>
        <w:rPr>
          <w:rFonts w:hint="eastAsia"/>
          <w:color w:val="auto"/>
          <w:sz w:val="24"/>
          <w:szCs w:val="24"/>
        </w:rPr>
        <w:t>下表</w:t>
      </w:r>
      <w:r>
        <w:rPr>
          <w:color w:val="auto"/>
          <w:sz w:val="24"/>
          <w:szCs w:val="24"/>
        </w:rPr>
        <w:t>。</w:t>
      </w:r>
    </w:p>
    <w:p>
      <w:pPr>
        <w:spacing w:line="360" w:lineRule="auto"/>
        <w:jc w:val="center"/>
        <w:rPr>
          <w:b/>
          <w:color w:val="auto"/>
          <w:sz w:val="24"/>
          <w:szCs w:val="24"/>
        </w:rPr>
      </w:pPr>
      <w:r>
        <w:rPr>
          <w:b/>
          <w:color w:val="auto"/>
          <w:sz w:val="24"/>
          <w:szCs w:val="24"/>
        </w:rPr>
        <w:t>表</w:t>
      </w:r>
      <w:r>
        <w:rPr>
          <w:rFonts w:hint="eastAsia"/>
          <w:b/>
          <w:color w:val="auto"/>
          <w:sz w:val="24"/>
          <w:szCs w:val="24"/>
        </w:rPr>
        <w:t>2-6-14  施工期噪声排放标准  单位：</w:t>
      </w:r>
      <w:r>
        <w:rPr>
          <w:b/>
          <w:color w:val="auto"/>
          <w:sz w:val="24"/>
          <w:szCs w:val="24"/>
        </w:rPr>
        <w:t>[dB（A）]</w:t>
      </w:r>
    </w:p>
    <w:tbl>
      <w:tblPr>
        <w:tblStyle w:val="28"/>
        <w:tblW w:w="917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108" w:type="dxa"/>
          <w:bottom w:w="57" w:type="dxa"/>
          <w:right w:w="108" w:type="dxa"/>
        </w:tblCellMar>
      </w:tblPr>
      <w:tblGrid>
        <w:gridCol w:w="4673"/>
        <w:gridCol w:w="45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trHeight w:val="86" w:hRule="atLeast"/>
          <w:jc w:val="center"/>
        </w:trPr>
        <w:tc>
          <w:tcPr>
            <w:tcW w:w="4673" w:type="dxa"/>
            <w:tcBorders>
              <w:top w:val="single" w:color="auto" w:sz="4" w:space="0"/>
              <w:bottom w:val="single" w:color="auto" w:sz="4" w:space="0"/>
              <w:right w:val="single" w:color="auto" w:sz="4" w:space="0"/>
            </w:tcBorders>
            <w:vAlign w:val="center"/>
          </w:tcPr>
          <w:p>
            <w:pPr>
              <w:jc w:val="center"/>
              <w:rPr>
                <w:b/>
                <w:iCs/>
                <w:color w:val="auto"/>
                <w:sz w:val="21"/>
                <w:szCs w:val="22"/>
              </w:rPr>
            </w:pPr>
            <w:r>
              <w:rPr>
                <w:rFonts w:hint="eastAsia"/>
                <w:b/>
                <w:iCs/>
                <w:color w:val="auto"/>
                <w:sz w:val="21"/>
                <w:szCs w:val="22"/>
              </w:rPr>
              <w:t>昼间</w:t>
            </w:r>
          </w:p>
        </w:tc>
        <w:tc>
          <w:tcPr>
            <w:tcW w:w="4505" w:type="dxa"/>
            <w:tcBorders>
              <w:top w:val="single" w:color="auto" w:sz="4" w:space="0"/>
              <w:left w:val="single" w:color="auto" w:sz="4" w:space="0"/>
              <w:bottom w:val="single" w:color="auto" w:sz="4" w:space="0"/>
            </w:tcBorders>
            <w:vAlign w:val="center"/>
          </w:tcPr>
          <w:p>
            <w:pPr>
              <w:jc w:val="center"/>
              <w:rPr>
                <w:b/>
                <w:iCs/>
                <w:color w:val="auto"/>
                <w:sz w:val="21"/>
                <w:szCs w:val="22"/>
              </w:rPr>
            </w:pPr>
            <w:r>
              <w:rPr>
                <w:b/>
                <w:iCs/>
                <w:color w:val="auto"/>
                <w:sz w:val="21"/>
                <w:szCs w:val="22"/>
              </w:rPr>
              <w:t>夜间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trHeight w:val="158" w:hRule="atLeast"/>
          <w:jc w:val="center"/>
        </w:trPr>
        <w:tc>
          <w:tcPr>
            <w:tcW w:w="4673" w:type="dxa"/>
            <w:tcBorders>
              <w:top w:val="single" w:color="auto" w:sz="4" w:space="0"/>
            </w:tcBorders>
            <w:vAlign w:val="center"/>
          </w:tcPr>
          <w:p>
            <w:pPr>
              <w:jc w:val="center"/>
              <w:rPr>
                <w:iCs/>
                <w:color w:val="auto"/>
                <w:sz w:val="21"/>
                <w:szCs w:val="22"/>
              </w:rPr>
            </w:pPr>
            <w:r>
              <w:rPr>
                <w:iCs/>
                <w:color w:val="auto"/>
                <w:sz w:val="21"/>
                <w:szCs w:val="22"/>
              </w:rPr>
              <w:t>70</w:t>
            </w:r>
          </w:p>
        </w:tc>
        <w:tc>
          <w:tcPr>
            <w:tcW w:w="4505" w:type="dxa"/>
            <w:tcBorders>
              <w:top w:val="single" w:color="auto" w:sz="4" w:space="0"/>
            </w:tcBorders>
            <w:vAlign w:val="center"/>
          </w:tcPr>
          <w:p>
            <w:pPr>
              <w:jc w:val="center"/>
              <w:rPr>
                <w:iCs/>
                <w:color w:val="auto"/>
                <w:sz w:val="21"/>
                <w:szCs w:val="22"/>
              </w:rPr>
            </w:pPr>
            <w:r>
              <w:rPr>
                <w:iCs/>
                <w:color w:val="auto"/>
                <w:sz w:val="21"/>
                <w:szCs w:val="22"/>
              </w:rPr>
              <w:t>55</w:t>
            </w:r>
          </w:p>
        </w:tc>
      </w:tr>
    </w:tbl>
    <w:p>
      <w:pPr>
        <w:spacing w:line="360" w:lineRule="auto"/>
        <w:ind w:firstLine="480" w:firstLineChars="200"/>
        <w:rPr>
          <w:color w:val="auto"/>
          <w:sz w:val="24"/>
          <w:szCs w:val="24"/>
        </w:rPr>
      </w:pPr>
      <w:r>
        <w:rPr>
          <w:color w:val="auto"/>
          <w:sz w:val="24"/>
          <w:szCs w:val="24"/>
        </w:rPr>
        <w:t>项目运营期间</w:t>
      </w:r>
      <w:r>
        <w:rPr>
          <w:rFonts w:hint="eastAsia"/>
          <w:color w:val="auto"/>
          <w:sz w:val="24"/>
          <w:szCs w:val="24"/>
        </w:rPr>
        <w:t>边</w:t>
      </w:r>
      <w:r>
        <w:rPr>
          <w:color w:val="auto"/>
          <w:sz w:val="24"/>
          <w:szCs w:val="24"/>
        </w:rPr>
        <w:t>界噪声执行《工业企业厂界环境噪声排放标准》(GB12348-2008)中的</w:t>
      </w:r>
      <w:r>
        <w:rPr>
          <w:rFonts w:hint="eastAsia"/>
          <w:color w:val="auto"/>
          <w:sz w:val="24"/>
          <w:szCs w:val="24"/>
        </w:rPr>
        <w:t>2</w:t>
      </w:r>
      <w:r>
        <w:rPr>
          <w:color w:val="auto"/>
          <w:sz w:val="24"/>
          <w:szCs w:val="24"/>
        </w:rPr>
        <w:t>类标准</w:t>
      </w:r>
      <w:r>
        <w:rPr>
          <w:rFonts w:hint="eastAsia"/>
          <w:color w:val="auto"/>
          <w:sz w:val="24"/>
          <w:szCs w:val="24"/>
        </w:rPr>
        <w:t>限值</w:t>
      </w:r>
      <w:r>
        <w:rPr>
          <w:color w:val="auto"/>
          <w:sz w:val="24"/>
          <w:szCs w:val="24"/>
        </w:rPr>
        <w:t>，见</w:t>
      </w:r>
      <w:r>
        <w:rPr>
          <w:rFonts w:hint="eastAsia"/>
          <w:color w:val="auto"/>
          <w:sz w:val="24"/>
          <w:szCs w:val="24"/>
        </w:rPr>
        <w:t>下表</w:t>
      </w:r>
      <w:r>
        <w:rPr>
          <w:color w:val="auto"/>
          <w:sz w:val="24"/>
          <w:szCs w:val="24"/>
        </w:rPr>
        <w:t>。</w:t>
      </w:r>
    </w:p>
    <w:p>
      <w:pPr>
        <w:spacing w:line="360" w:lineRule="auto"/>
        <w:jc w:val="center"/>
        <w:rPr>
          <w:b/>
          <w:color w:val="auto"/>
          <w:sz w:val="24"/>
          <w:szCs w:val="24"/>
        </w:rPr>
      </w:pPr>
      <w:r>
        <w:rPr>
          <w:b/>
          <w:color w:val="auto"/>
          <w:sz w:val="24"/>
          <w:szCs w:val="24"/>
        </w:rPr>
        <w:t>表</w:t>
      </w:r>
      <w:r>
        <w:rPr>
          <w:rFonts w:hint="eastAsia"/>
          <w:b/>
          <w:color w:val="auto"/>
          <w:sz w:val="24"/>
          <w:szCs w:val="24"/>
        </w:rPr>
        <w:t>2-6-15      运营期噪声排放标准</w:t>
      </w:r>
    </w:p>
    <w:tbl>
      <w:tblPr>
        <w:tblStyle w:val="28"/>
        <w:tblW w:w="91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108" w:type="dxa"/>
          <w:bottom w:w="57" w:type="dxa"/>
          <w:right w:w="108" w:type="dxa"/>
        </w:tblCellMar>
      </w:tblPr>
      <w:tblGrid>
        <w:gridCol w:w="2739"/>
        <w:gridCol w:w="2648"/>
        <w:gridCol w:w="377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trHeight w:val="62" w:hRule="atLeast"/>
          <w:jc w:val="center"/>
        </w:trPr>
        <w:tc>
          <w:tcPr>
            <w:tcW w:w="2739" w:type="dxa"/>
            <w:vMerge w:val="restart"/>
            <w:tcBorders>
              <w:top w:val="single" w:color="auto" w:sz="4" w:space="0"/>
              <w:bottom w:val="single" w:color="auto" w:sz="4" w:space="0"/>
              <w:right w:val="single" w:color="auto" w:sz="4" w:space="0"/>
            </w:tcBorders>
            <w:vAlign w:val="center"/>
          </w:tcPr>
          <w:p>
            <w:pPr>
              <w:adjustRightInd w:val="0"/>
              <w:snapToGrid w:val="0"/>
              <w:jc w:val="center"/>
              <w:rPr>
                <w:b/>
                <w:iCs/>
                <w:color w:val="auto"/>
                <w:sz w:val="21"/>
                <w:szCs w:val="22"/>
              </w:rPr>
            </w:pPr>
            <w:r>
              <w:rPr>
                <w:rFonts w:hint="eastAsia"/>
                <w:b/>
                <w:iCs/>
                <w:color w:val="auto"/>
                <w:sz w:val="21"/>
                <w:szCs w:val="22"/>
              </w:rPr>
              <w:t>边</w:t>
            </w:r>
            <w:r>
              <w:rPr>
                <w:b/>
                <w:iCs/>
                <w:color w:val="auto"/>
                <w:sz w:val="21"/>
                <w:szCs w:val="22"/>
              </w:rPr>
              <w:t>界外声环境功能区类别</w:t>
            </w:r>
          </w:p>
        </w:tc>
        <w:tc>
          <w:tcPr>
            <w:tcW w:w="6419" w:type="dxa"/>
            <w:gridSpan w:val="2"/>
            <w:tcBorders>
              <w:top w:val="single" w:color="auto" w:sz="4" w:space="0"/>
              <w:left w:val="single" w:color="auto" w:sz="4" w:space="0"/>
              <w:bottom w:val="single" w:color="auto" w:sz="4" w:space="0"/>
            </w:tcBorders>
            <w:vAlign w:val="center"/>
          </w:tcPr>
          <w:p>
            <w:pPr>
              <w:adjustRightInd w:val="0"/>
              <w:snapToGrid w:val="0"/>
              <w:jc w:val="center"/>
              <w:rPr>
                <w:b/>
                <w:iCs/>
                <w:color w:val="auto"/>
                <w:sz w:val="21"/>
                <w:szCs w:val="22"/>
              </w:rPr>
            </w:pPr>
            <w:r>
              <w:rPr>
                <w:b/>
                <w:iCs/>
                <w:color w:val="auto"/>
                <w:sz w:val="21"/>
                <w:szCs w:val="22"/>
              </w:rPr>
              <w:t>时段[dB（A）]</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trHeight w:val="20" w:hRule="atLeast"/>
          <w:jc w:val="center"/>
        </w:trPr>
        <w:tc>
          <w:tcPr>
            <w:tcW w:w="2739" w:type="dxa"/>
            <w:vMerge w:val="continue"/>
            <w:tcBorders>
              <w:top w:val="single" w:color="auto" w:sz="4" w:space="0"/>
              <w:bottom w:val="single" w:color="auto" w:sz="4" w:space="0"/>
              <w:right w:val="single" w:color="auto" w:sz="4" w:space="0"/>
            </w:tcBorders>
            <w:vAlign w:val="center"/>
          </w:tcPr>
          <w:p>
            <w:pPr>
              <w:adjustRightInd w:val="0"/>
              <w:snapToGrid w:val="0"/>
              <w:jc w:val="center"/>
              <w:rPr>
                <w:b/>
                <w:iCs/>
                <w:color w:val="auto"/>
                <w:sz w:val="21"/>
                <w:szCs w:val="22"/>
              </w:rPr>
            </w:pPr>
          </w:p>
        </w:tc>
        <w:tc>
          <w:tcPr>
            <w:tcW w:w="26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iCs/>
                <w:color w:val="auto"/>
                <w:sz w:val="21"/>
                <w:szCs w:val="22"/>
              </w:rPr>
            </w:pPr>
            <w:r>
              <w:rPr>
                <w:b/>
                <w:iCs/>
                <w:color w:val="auto"/>
                <w:sz w:val="21"/>
                <w:szCs w:val="22"/>
              </w:rPr>
              <w:t>昼间</w:t>
            </w:r>
          </w:p>
        </w:tc>
        <w:tc>
          <w:tcPr>
            <w:tcW w:w="3771" w:type="dxa"/>
            <w:tcBorders>
              <w:top w:val="single" w:color="auto" w:sz="4" w:space="0"/>
              <w:left w:val="single" w:color="auto" w:sz="4" w:space="0"/>
              <w:bottom w:val="single" w:color="auto" w:sz="4" w:space="0"/>
            </w:tcBorders>
            <w:vAlign w:val="center"/>
          </w:tcPr>
          <w:p>
            <w:pPr>
              <w:adjustRightInd w:val="0"/>
              <w:snapToGrid w:val="0"/>
              <w:jc w:val="center"/>
              <w:rPr>
                <w:b/>
                <w:iCs/>
                <w:color w:val="auto"/>
                <w:sz w:val="21"/>
                <w:szCs w:val="22"/>
              </w:rPr>
            </w:pPr>
            <w:r>
              <w:rPr>
                <w:b/>
                <w:iCs/>
                <w:color w:val="auto"/>
                <w:sz w:val="21"/>
                <w:szCs w:val="22"/>
              </w:rPr>
              <w:t>夜间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57" w:type="dxa"/>
            <w:right w:w="108" w:type="dxa"/>
          </w:tblCellMar>
        </w:tblPrEx>
        <w:trPr>
          <w:trHeight w:val="46" w:hRule="atLeast"/>
          <w:jc w:val="center"/>
        </w:trPr>
        <w:tc>
          <w:tcPr>
            <w:tcW w:w="2739" w:type="dxa"/>
            <w:tcBorders>
              <w:top w:val="single" w:color="auto" w:sz="4" w:space="0"/>
            </w:tcBorders>
            <w:vAlign w:val="center"/>
          </w:tcPr>
          <w:p>
            <w:pPr>
              <w:adjustRightInd w:val="0"/>
              <w:snapToGrid w:val="0"/>
              <w:jc w:val="center"/>
              <w:rPr>
                <w:iCs/>
                <w:color w:val="auto"/>
                <w:sz w:val="21"/>
                <w:szCs w:val="22"/>
              </w:rPr>
            </w:pPr>
            <w:r>
              <w:rPr>
                <w:rFonts w:hint="eastAsia"/>
                <w:iCs/>
                <w:color w:val="auto"/>
                <w:sz w:val="21"/>
                <w:szCs w:val="22"/>
              </w:rPr>
              <w:t>2</w:t>
            </w:r>
          </w:p>
        </w:tc>
        <w:tc>
          <w:tcPr>
            <w:tcW w:w="2648" w:type="dxa"/>
            <w:tcBorders>
              <w:top w:val="single" w:color="auto" w:sz="4" w:space="0"/>
            </w:tcBorders>
            <w:vAlign w:val="center"/>
          </w:tcPr>
          <w:p>
            <w:pPr>
              <w:adjustRightInd w:val="0"/>
              <w:snapToGrid w:val="0"/>
              <w:jc w:val="center"/>
              <w:rPr>
                <w:iCs/>
                <w:color w:val="auto"/>
                <w:sz w:val="21"/>
                <w:szCs w:val="22"/>
              </w:rPr>
            </w:pPr>
            <w:r>
              <w:rPr>
                <w:iCs/>
                <w:color w:val="auto"/>
                <w:sz w:val="21"/>
                <w:szCs w:val="22"/>
              </w:rPr>
              <w:t>6</w:t>
            </w:r>
            <w:r>
              <w:rPr>
                <w:rFonts w:hint="eastAsia"/>
                <w:iCs/>
                <w:color w:val="auto"/>
                <w:sz w:val="21"/>
                <w:szCs w:val="22"/>
              </w:rPr>
              <w:t>0</w:t>
            </w:r>
          </w:p>
        </w:tc>
        <w:tc>
          <w:tcPr>
            <w:tcW w:w="3771" w:type="dxa"/>
            <w:tcBorders>
              <w:top w:val="single" w:color="auto" w:sz="4" w:space="0"/>
            </w:tcBorders>
            <w:vAlign w:val="center"/>
          </w:tcPr>
          <w:p>
            <w:pPr>
              <w:adjustRightInd w:val="0"/>
              <w:snapToGrid w:val="0"/>
              <w:jc w:val="center"/>
              <w:rPr>
                <w:iCs/>
                <w:color w:val="auto"/>
                <w:sz w:val="21"/>
                <w:szCs w:val="22"/>
              </w:rPr>
            </w:pPr>
            <w:r>
              <w:rPr>
                <w:iCs/>
                <w:color w:val="auto"/>
                <w:sz w:val="21"/>
                <w:szCs w:val="22"/>
              </w:rPr>
              <w:t>5</w:t>
            </w:r>
            <w:r>
              <w:rPr>
                <w:rFonts w:hint="eastAsia"/>
                <w:iCs/>
                <w:color w:val="auto"/>
                <w:sz w:val="21"/>
                <w:szCs w:val="22"/>
              </w:rPr>
              <w:t>0</w:t>
            </w:r>
          </w:p>
        </w:tc>
      </w:tr>
    </w:tbl>
    <w:p>
      <w:pPr>
        <w:pStyle w:val="3"/>
        <w:rPr>
          <w:color w:val="auto"/>
        </w:rPr>
      </w:pPr>
      <w:bookmarkStart w:id="48" w:name="_Toc26276785"/>
      <w:bookmarkStart w:id="49" w:name="_Toc18011"/>
      <w:r>
        <w:rPr>
          <w:rFonts w:hint="eastAsia"/>
          <w:color w:val="auto"/>
        </w:rPr>
        <w:t>2.7评价工作等级</w:t>
      </w:r>
      <w:bookmarkEnd w:id="48"/>
      <w:bookmarkEnd w:id="49"/>
    </w:p>
    <w:p>
      <w:pPr>
        <w:pStyle w:val="4"/>
        <w:rPr>
          <w:color w:val="auto"/>
        </w:rPr>
      </w:pPr>
      <w:bookmarkStart w:id="50" w:name="_Toc26276786"/>
      <w:r>
        <w:rPr>
          <w:rFonts w:hint="eastAsia"/>
          <w:color w:val="auto"/>
        </w:rPr>
        <w:t>2.7.1大气环境评价等级划分</w:t>
      </w:r>
      <w:bookmarkEnd w:id="50"/>
    </w:p>
    <w:p>
      <w:pPr>
        <w:pStyle w:val="48"/>
        <w:ind w:firstLine="480"/>
        <w:rPr>
          <w:rFonts w:ascii="Times New Roman" w:hAnsi="Times New Roman" w:eastAsia="宋体"/>
          <w:color w:val="auto"/>
          <w:sz w:val="24"/>
        </w:rPr>
      </w:pPr>
      <w:r>
        <w:rPr>
          <w:rFonts w:ascii="Times New Roman" w:hAnsi="宋体" w:eastAsia="宋体"/>
          <w:color w:val="auto"/>
          <w:sz w:val="24"/>
        </w:rPr>
        <w:t>根据《环境影响评价技术导则</w:t>
      </w:r>
      <w:r>
        <w:rPr>
          <w:rFonts w:ascii="Times New Roman" w:hAnsi="Times New Roman" w:eastAsia="宋体"/>
          <w:color w:val="auto"/>
          <w:sz w:val="24"/>
        </w:rPr>
        <w:t xml:space="preserve"> </w:t>
      </w:r>
      <w:r>
        <w:rPr>
          <w:rFonts w:ascii="Times New Roman" w:hAnsi="宋体" w:eastAsia="宋体"/>
          <w:color w:val="auto"/>
          <w:sz w:val="24"/>
        </w:rPr>
        <w:t>大气环境》（</w:t>
      </w:r>
      <w:r>
        <w:rPr>
          <w:rFonts w:ascii="Times New Roman" w:hAnsi="Times New Roman" w:eastAsia="宋体"/>
          <w:color w:val="auto"/>
          <w:sz w:val="24"/>
        </w:rPr>
        <w:t>HJ2.2-2018</w:t>
      </w:r>
      <w:r>
        <w:rPr>
          <w:rFonts w:ascii="Times New Roman" w:hAnsi="宋体" w:eastAsia="宋体"/>
          <w:color w:val="auto"/>
          <w:sz w:val="24"/>
        </w:rPr>
        <w:t>）中</w:t>
      </w:r>
      <w:r>
        <w:rPr>
          <w:rFonts w:ascii="Times New Roman" w:hAnsi="Times New Roman" w:eastAsia="宋体"/>
          <w:color w:val="auto"/>
          <w:sz w:val="24"/>
        </w:rPr>
        <w:t xml:space="preserve">“5.3 </w:t>
      </w:r>
      <w:r>
        <w:rPr>
          <w:rFonts w:ascii="Times New Roman" w:hAnsi="宋体" w:eastAsia="宋体"/>
          <w:color w:val="auto"/>
          <w:sz w:val="24"/>
        </w:rPr>
        <w:t>评定等级判定</w:t>
      </w:r>
      <w:r>
        <w:rPr>
          <w:rFonts w:ascii="Times New Roman" w:hAnsi="Times New Roman" w:eastAsia="宋体"/>
          <w:color w:val="auto"/>
          <w:sz w:val="24"/>
        </w:rPr>
        <w:t>”</w:t>
      </w:r>
      <w:r>
        <w:rPr>
          <w:rFonts w:ascii="Times New Roman" w:hAnsi="宋体" w:eastAsia="宋体"/>
          <w:color w:val="auto"/>
          <w:sz w:val="24"/>
        </w:rPr>
        <w:t>，结合项目工程分析，需选择项目污染源正常排放的主要污染物及排放参数，采用附录</w:t>
      </w:r>
      <w:r>
        <w:rPr>
          <w:rFonts w:ascii="Times New Roman" w:hAnsi="Times New Roman" w:eastAsia="宋体"/>
          <w:color w:val="auto"/>
          <w:sz w:val="24"/>
        </w:rPr>
        <w:t xml:space="preserve">A </w:t>
      </w:r>
      <w:r>
        <w:rPr>
          <w:rFonts w:ascii="Times New Roman" w:hAnsi="宋体" w:eastAsia="宋体"/>
          <w:color w:val="auto"/>
          <w:sz w:val="24"/>
        </w:rPr>
        <w:t>推荐模型中估算模型分别计算项目污染源的最大环境影响，然后按评价工作分级判据进行分级。</w:t>
      </w:r>
    </w:p>
    <w:p>
      <w:pPr>
        <w:pStyle w:val="48"/>
        <w:ind w:firstLine="480"/>
        <w:rPr>
          <w:rFonts w:ascii="Times New Roman" w:hAnsi="Times New Roman" w:eastAsia="宋体"/>
          <w:color w:val="auto"/>
          <w:lang w:val="zh-CN"/>
        </w:rPr>
      </w:pPr>
      <w:r>
        <w:rPr>
          <w:rFonts w:ascii="Times New Roman" w:hAnsi="宋体" w:eastAsia="宋体"/>
          <w:color w:val="auto"/>
          <w:sz w:val="24"/>
          <w:lang w:val="zh-CN"/>
        </w:rPr>
        <w:t>分别计算每一种污染物的最大地面浓度占标率</w:t>
      </w:r>
      <w:r>
        <w:rPr>
          <w:rFonts w:ascii="Times New Roman" w:hAnsi="Times New Roman" w:eastAsia="宋体"/>
          <w:color w:val="auto"/>
          <w:sz w:val="24"/>
          <w:lang w:val="zh-CN"/>
        </w:rPr>
        <w:t>P</w:t>
      </w:r>
      <w:r>
        <w:rPr>
          <w:rFonts w:ascii="Times New Roman" w:hAnsi="Times New Roman" w:eastAsia="宋体"/>
          <w:color w:val="auto"/>
          <w:sz w:val="24"/>
          <w:vertAlign w:val="subscript"/>
          <w:lang w:val="zh-CN"/>
        </w:rPr>
        <w:t>i</w:t>
      </w:r>
      <w:r>
        <w:rPr>
          <w:rFonts w:ascii="Times New Roman" w:hAnsi="宋体" w:eastAsia="宋体"/>
          <w:color w:val="auto"/>
          <w:sz w:val="24"/>
          <w:lang w:val="zh-CN"/>
        </w:rPr>
        <w:t>（第</w:t>
      </w:r>
      <w:r>
        <w:rPr>
          <w:rFonts w:ascii="Times New Roman" w:hAnsi="Times New Roman" w:eastAsia="宋体"/>
          <w:color w:val="auto"/>
          <w:sz w:val="24"/>
          <w:lang w:val="zh-CN"/>
        </w:rPr>
        <w:t>i</w:t>
      </w:r>
      <w:r>
        <w:rPr>
          <w:rFonts w:ascii="Times New Roman" w:hAnsi="宋体" w:eastAsia="宋体"/>
          <w:color w:val="auto"/>
          <w:sz w:val="24"/>
          <w:lang w:val="zh-CN"/>
        </w:rPr>
        <w:t>个污染物），及第</w:t>
      </w:r>
      <w:r>
        <w:rPr>
          <w:rFonts w:ascii="Times New Roman" w:hAnsi="Times New Roman" w:eastAsia="宋体"/>
          <w:color w:val="auto"/>
          <w:sz w:val="24"/>
          <w:lang w:val="zh-CN"/>
        </w:rPr>
        <w:t>i</w:t>
      </w:r>
      <w:r>
        <w:rPr>
          <w:rFonts w:ascii="Times New Roman" w:hAnsi="宋体" w:eastAsia="宋体"/>
          <w:color w:val="auto"/>
          <w:sz w:val="24"/>
          <w:lang w:val="zh-CN"/>
        </w:rPr>
        <w:t>个污染物的地面浓度达标准限值</w:t>
      </w:r>
      <w:r>
        <w:rPr>
          <w:rFonts w:ascii="Times New Roman" w:hAnsi="Times New Roman" w:eastAsia="宋体"/>
          <w:color w:val="auto"/>
          <w:sz w:val="24"/>
          <w:lang w:val="zh-CN"/>
        </w:rPr>
        <w:t>10%</w:t>
      </w:r>
      <w:r>
        <w:rPr>
          <w:rFonts w:ascii="Times New Roman" w:hAnsi="宋体" w:eastAsia="宋体"/>
          <w:color w:val="auto"/>
          <w:sz w:val="24"/>
          <w:lang w:val="zh-CN"/>
        </w:rPr>
        <w:t>时所对应的最远距离</w:t>
      </w:r>
      <w:r>
        <w:rPr>
          <w:rFonts w:ascii="Times New Roman" w:hAnsi="Times New Roman" w:eastAsia="宋体"/>
          <w:color w:val="auto"/>
          <w:sz w:val="24"/>
          <w:lang w:val="zh-CN"/>
        </w:rPr>
        <w:t>D</w:t>
      </w:r>
      <w:r>
        <w:rPr>
          <w:rFonts w:ascii="Times New Roman" w:hAnsi="Times New Roman" w:eastAsia="宋体"/>
          <w:color w:val="auto"/>
          <w:sz w:val="24"/>
          <w:vertAlign w:val="subscript"/>
          <w:lang w:val="zh-CN"/>
        </w:rPr>
        <w:t>10%</w:t>
      </w:r>
      <w:r>
        <w:rPr>
          <w:rFonts w:ascii="Times New Roman" w:hAnsi="宋体" w:eastAsia="宋体"/>
          <w:color w:val="auto"/>
          <w:sz w:val="24"/>
          <w:lang w:val="zh-CN"/>
        </w:rPr>
        <w:t>。其中</w:t>
      </w:r>
      <w:r>
        <w:rPr>
          <w:rFonts w:ascii="Times New Roman" w:hAnsi="Times New Roman" w:eastAsia="宋体"/>
          <w:color w:val="auto"/>
          <w:sz w:val="24"/>
          <w:lang w:val="zh-CN"/>
        </w:rPr>
        <w:t>P</w:t>
      </w:r>
      <w:r>
        <w:rPr>
          <w:rFonts w:ascii="Times New Roman" w:hAnsi="Times New Roman" w:eastAsia="宋体"/>
          <w:color w:val="auto"/>
          <w:sz w:val="24"/>
          <w:vertAlign w:val="subscript"/>
          <w:lang w:val="zh-CN"/>
        </w:rPr>
        <w:t>i</w:t>
      </w:r>
      <w:r>
        <w:rPr>
          <w:rFonts w:ascii="Times New Roman" w:hAnsi="宋体" w:eastAsia="宋体"/>
          <w:color w:val="auto"/>
          <w:sz w:val="24"/>
          <w:lang w:val="zh-CN"/>
        </w:rPr>
        <w:t>定义为：</w:t>
      </w:r>
    </w:p>
    <w:p>
      <w:pPr>
        <w:pStyle w:val="48"/>
        <w:ind w:firstLine="0" w:firstLineChars="0"/>
        <w:jc w:val="center"/>
        <w:rPr>
          <w:rFonts w:ascii="Times New Roman" w:hAnsi="Times New Roman" w:eastAsia="宋体"/>
          <w:color w:val="auto"/>
        </w:rPr>
      </w:pPr>
      <w:r>
        <w:rPr>
          <w:rFonts w:ascii="Times New Roman" w:hAnsi="Times New Roman" w:eastAsia="宋体"/>
          <w:color w:val="auto"/>
          <w:sz w:val="24"/>
        </w:rPr>
        <w:object>
          <v:shape id="_x0000_i1025" o:spt="75" type="#_x0000_t75" style="height:34.9pt;width:81.25pt;" o:ole="t" filled="f" o:preferrelative="t" stroked="f" coordsize="21600,21600">
            <v:path/>
            <v:fill on="f" focussize="0,0"/>
            <v:stroke on="f" joinstyle="miter"/>
            <v:imagedata r:id="rId17" o:title=""/>
            <o:lock v:ext="edit" aspectratio="t"/>
            <w10:wrap type="none"/>
            <w10:anchorlock/>
          </v:shape>
          <o:OLEObject Type="Embed" ProgID="Equation.3" ShapeID="_x0000_i1025" DrawAspect="Content" ObjectID="_1468075725" r:id="rId16">
            <o:LockedField>false</o:LockedField>
          </o:OLEObject>
        </w:object>
      </w:r>
    </w:p>
    <w:p>
      <w:pPr>
        <w:pStyle w:val="48"/>
        <w:ind w:firstLine="480"/>
        <w:rPr>
          <w:rFonts w:ascii="Times New Roman" w:hAnsi="Times New Roman" w:eastAsia="宋体"/>
          <w:color w:val="auto"/>
          <w:sz w:val="24"/>
          <w:lang w:val="zh-CN"/>
        </w:rPr>
      </w:pPr>
      <w:r>
        <w:rPr>
          <w:rFonts w:ascii="Times New Roman" w:hAnsi="宋体" w:eastAsia="宋体"/>
          <w:color w:val="auto"/>
          <w:sz w:val="24"/>
          <w:lang w:val="zh-CN"/>
        </w:rPr>
        <w:t>式中：</w:t>
      </w:r>
      <w:r>
        <w:rPr>
          <w:rFonts w:ascii="Times New Roman" w:hAnsi="Times New Roman" w:eastAsia="宋体"/>
          <w:color w:val="auto"/>
          <w:sz w:val="24"/>
          <w:lang w:val="zh-CN"/>
        </w:rPr>
        <w:t>P</w:t>
      </w:r>
      <w:r>
        <w:rPr>
          <w:rFonts w:ascii="Times New Roman" w:hAnsi="Times New Roman" w:eastAsia="宋体"/>
          <w:color w:val="auto"/>
          <w:sz w:val="24"/>
          <w:vertAlign w:val="subscript"/>
          <w:lang w:val="zh-CN"/>
        </w:rPr>
        <w:t>i</w:t>
      </w:r>
      <w:r>
        <w:rPr>
          <w:rFonts w:ascii="Times New Roman" w:hAnsi="Times New Roman" w:eastAsia="宋体"/>
          <w:color w:val="auto"/>
          <w:sz w:val="24"/>
          <w:lang w:val="zh-CN"/>
        </w:rPr>
        <w:t>---</w:t>
      </w:r>
      <w:r>
        <w:rPr>
          <w:rFonts w:ascii="Times New Roman" w:hAnsi="宋体" w:eastAsia="宋体"/>
          <w:color w:val="auto"/>
          <w:sz w:val="24"/>
          <w:lang w:val="zh-CN"/>
        </w:rPr>
        <w:t>第</w:t>
      </w:r>
      <w:r>
        <w:rPr>
          <w:rFonts w:ascii="Times New Roman" w:hAnsi="Times New Roman" w:eastAsia="宋体"/>
          <w:color w:val="auto"/>
          <w:sz w:val="24"/>
          <w:lang w:val="zh-CN"/>
        </w:rPr>
        <w:t>i</w:t>
      </w:r>
      <w:r>
        <w:rPr>
          <w:rFonts w:ascii="Times New Roman" w:hAnsi="宋体" w:eastAsia="宋体"/>
          <w:color w:val="auto"/>
          <w:sz w:val="24"/>
          <w:lang w:val="zh-CN"/>
        </w:rPr>
        <w:t>个污染物的最大地面空气质量浓度占标率，</w:t>
      </w:r>
      <w:r>
        <w:rPr>
          <w:rFonts w:ascii="Times New Roman" w:hAnsi="Times New Roman" w:eastAsia="宋体"/>
          <w:color w:val="auto"/>
          <w:sz w:val="24"/>
          <w:lang w:val="zh-CN"/>
        </w:rPr>
        <w:t>%</w:t>
      </w:r>
      <w:r>
        <w:rPr>
          <w:rFonts w:ascii="Times New Roman" w:hAnsi="宋体" w:eastAsia="宋体"/>
          <w:color w:val="auto"/>
          <w:sz w:val="24"/>
          <w:lang w:val="zh-CN"/>
        </w:rPr>
        <w:t>；</w:t>
      </w:r>
    </w:p>
    <w:p>
      <w:pPr>
        <w:pStyle w:val="48"/>
        <w:ind w:firstLine="480"/>
        <w:rPr>
          <w:rFonts w:ascii="Times New Roman" w:hAnsi="Times New Roman" w:eastAsia="宋体"/>
          <w:color w:val="auto"/>
          <w:sz w:val="24"/>
          <w:lang w:val="zh-CN"/>
        </w:rPr>
      </w:pPr>
      <w:r>
        <w:rPr>
          <w:rFonts w:hint="eastAsia" w:ascii="Times New Roman" w:hAnsi="Times New Roman" w:eastAsia="宋体"/>
          <w:color w:val="auto"/>
          <w:sz w:val="24"/>
          <w:lang w:val="zh-CN"/>
        </w:rPr>
        <w:t>C</w:t>
      </w:r>
      <w:r>
        <w:rPr>
          <w:rFonts w:hint="eastAsia" w:ascii="Times New Roman" w:hAnsi="Times New Roman" w:eastAsia="宋体"/>
          <w:color w:val="auto"/>
          <w:sz w:val="24"/>
          <w:vertAlign w:val="subscript"/>
          <w:lang w:val="zh-CN"/>
        </w:rPr>
        <w:t>i</w:t>
      </w:r>
      <w:r>
        <w:rPr>
          <w:rFonts w:ascii="Times New Roman" w:hAnsi="Times New Roman" w:eastAsia="宋体"/>
          <w:color w:val="auto"/>
          <w:sz w:val="24"/>
          <w:lang w:val="zh-CN"/>
        </w:rPr>
        <w:t>--</w:t>
      </w:r>
      <w:r>
        <w:rPr>
          <w:rFonts w:ascii="Times New Roman" w:hAnsi="宋体" w:eastAsia="宋体"/>
          <w:color w:val="auto"/>
          <w:sz w:val="24"/>
          <w:lang w:val="zh-CN"/>
        </w:rPr>
        <w:t>采用估算模式计算出的第</w:t>
      </w:r>
      <w:r>
        <w:rPr>
          <w:rFonts w:ascii="Times New Roman" w:hAnsi="Times New Roman" w:eastAsia="宋体"/>
          <w:color w:val="auto"/>
          <w:sz w:val="24"/>
          <w:lang w:val="zh-CN"/>
        </w:rPr>
        <w:t>i</w:t>
      </w:r>
      <w:r>
        <w:rPr>
          <w:rFonts w:ascii="Times New Roman" w:hAnsi="宋体" w:eastAsia="宋体"/>
          <w:color w:val="auto"/>
          <w:sz w:val="24"/>
          <w:lang w:val="zh-CN"/>
        </w:rPr>
        <w:t>个污染物的最大</w:t>
      </w:r>
      <w:r>
        <w:rPr>
          <w:rFonts w:ascii="Times New Roman" w:hAnsi="Times New Roman" w:eastAsia="宋体"/>
          <w:color w:val="auto"/>
          <w:sz w:val="24"/>
        </w:rPr>
        <w:t>1h</w:t>
      </w:r>
      <w:r>
        <w:rPr>
          <w:rFonts w:ascii="Times New Roman" w:hAnsi="宋体" w:eastAsia="宋体"/>
          <w:color w:val="auto"/>
          <w:sz w:val="24"/>
          <w:lang w:val="zh-CN"/>
        </w:rPr>
        <w:t>地面空气质量浓度，</w:t>
      </w:r>
      <w:r>
        <w:rPr>
          <w:rFonts w:ascii="Times New Roman" w:hAnsi="Times New Roman" w:eastAsia="宋体"/>
          <w:color w:val="auto"/>
          <w:sz w:val="24"/>
          <w:lang w:val="zh-CN"/>
        </w:rPr>
        <w:t>μg/m</w:t>
      </w:r>
      <w:r>
        <w:rPr>
          <w:rFonts w:ascii="Times New Roman" w:hAnsi="Times New Roman" w:eastAsia="宋体"/>
          <w:color w:val="auto"/>
          <w:sz w:val="24"/>
          <w:vertAlign w:val="superscript"/>
          <w:lang w:val="zh-CN"/>
        </w:rPr>
        <w:t>3</w:t>
      </w:r>
      <w:r>
        <w:rPr>
          <w:rFonts w:ascii="Times New Roman" w:hAnsi="宋体" w:eastAsia="宋体"/>
          <w:color w:val="auto"/>
          <w:sz w:val="24"/>
          <w:lang w:val="zh-CN"/>
        </w:rPr>
        <w:t>；</w:t>
      </w:r>
    </w:p>
    <w:p>
      <w:pPr>
        <w:pStyle w:val="48"/>
        <w:ind w:firstLine="480"/>
        <w:rPr>
          <w:rFonts w:ascii="Times New Roman" w:hAnsi="Times New Roman" w:eastAsia="宋体"/>
          <w:color w:val="auto"/>
          <w:sz w:val="24"/>
          <w:lang w:val="zh-CN"/>
        </w:rPr>
      </w:pPr>
      <w:r>
        <w:rPr>
          <w:rFonts w:hint="eastAsia" w:ascii="Times New Roman" w:hAnsi="Times New Roman" w:eastAsia="宋体"/>
          <w:color w:val="auto"/>
          <w:sz w:val="24"/>
          <w:lang w:val="zh-CN"/>
        </w:rPr>
        <w:t>C</w:t>
      </w:r>
      <w:r>
        <w:rPr>
          <w:rFonts w:hint="eastAsia" w:ascii="Times New Roman" w:hAnsi="Times New Roman" w:eastAsia="宋体"/>
          <w:color w:val="auto"/>
          <w:sz w:val="24"/>
          <w:vertAlign w:val="subscript"/>
          <w:lang w:val="zh-CN"/>
        </w:rPr>
        <w:t>0i</w:t>
      </w:r>
      <w:r>
        <w:rPr>
          <w:rFonts w:ascii="Times New Roman" w:hAnsi="Times New Roman" w:eastAsia="宋体"/>
          <w:color w:val="auto"/>
          <w:sz w:val="24"/>
          <w:lang w:val="zh-CN"/>
        </w:rPr>
        <w:t>--</w:t>
      </w:r>
      <w:r>
        <w:rPr>
          <w:rFonts w:ascii="Times New Roman" w:hAnsi="宋体" w:eastAsia="宋体"/>
          <w:color w:val="auto"/>
          <w:sz w:val="24"/>
          <w:lang w:val="zh-CN"/>
        </w:rPr>
        <w:t>第</w:t>
      </w:r>
      <w:r>
        <w:rPr>
          <w:rFonts w:ascii="Times New Roman" w:hAnsi="Times New Roman" w:eastAsia="宋体"/>
          <w:color w:val="auto"/>
          <w:sz w:val="24"/>
          <w:lang w:val="zh-CN"/>
        </w:rPr>
        <w:t>i</w:t>
      </w:r>
      <w:r>
        <w:rPr>
          <w:rFonts w:ascii="Times New Roman" w:hAnsi="宋体" w:eastAsia="宋体"/>
          <w:color w:val="auto"/>
          <w:sz w:val="24"/>
          <w:lang w:val="zh-CN"/>
        </w:rPr>
        <w:t>个污染物的环境空气质量标准，</w:t>
      </w:r>
      <w:r>
        <w:rPr>
          <w:rFonts w:ascii="Times New Roman" w:hAnsi="Times New Roman" w:eastAsia="宋体"/>
          <w:color w:val="auto"/>
          <w:sz w:val="24"/>
          <w:lang w:val="zh-CN"/>
        </w:rPr>
        <w:t>μg/m</w:t>
      </w:r>
      <w:r>
        <w:rPr>
          <w:rFonts w:ascii="Times New Roman" w:hAnsi="Times New Roman" w:eastAsia="宋体"/>
          <w:color w:val="auto"/>
          <w:sz w:val="24"/>
          <w:vertAlign w:val="superscript"/>
          <w:lang w:val="zh-CN"/>
        </w:rPr>
        <w:t>3</w:t>
      </w:r>
      <w:r>
        <w:rPr>
          <w:rFonts w:ascii="Times New Roman" w:hAnsi="宋体" w:eastAsia="宋体"/>
          <w:color w:val="auto"/>
          <w:sz w:val="24"/>
          <w:lang w:val="zh-CN"/>
        </w:rPr>
        <w:t>。</w:t>
      </w:r>
    </w:p>
    <w:p>
      <w:pPr>
        <w:pStyle w:val="48"/>
        <w:ind w:firstLine="480"/>
        <w:rPr>
          <w:rFonts w:ascii="Times New Roman" w:hAnsi="宋体" w:eastAsia="宋体"/>
          <w:color w:val="auto"/>
          <w:sz w:val="24"/>
          <w:lang w:val="zh-CN"/>
        </w:rPr>
      </w:pPr>
      <w:r>
        <w:rPr>
          <w:rFonts w:ascii="Times New Roman" w:hAnsi="宋体" w:eastAsia="宋体"/>
          <w:color w:val="auto"/>
          <w:sz w:val="24"/>
          <w:lang w:val="zh-CN"/>
        </w:rPr>
        <w:t>评价工作等级按下表的分级判据进行划分，如污染物</w:t>
      </w:r>
      <w:r>
        <w:rPr>
          <w:rFonts w:ascii="Times New Roman" w:hAnsi="Times New Roman" w:eastAsia="宋体"/>
          <w:color w:val="auto"/>
          <w:sz w:val="24"/>
          <w:lang w:val="zh-CN"/>
        </w:rPr>
        <w:t>i</w:t>
      </w:r>
      <w:r>
        <w:rPr>
          <w:rFonts w:ascii="Times New Roman" w:hAnsi="宋体" w:eastAsia="宋体"/>
          <w:color w:val="auto"/>
          <w:sz w:val="24"/>
          <w:lang w:val="zh-CN"/>
        </w:rPr>
        <w:t>大于</w:t>
      </w:r>
      <w:r>
        <w:rPr>
          <w:rFonts w:ascii="Times New Roman" w:hAnsi="Times New Roman" w:eastAsia="宋体"/>
          <w:color w:val="auto"/>
          <w:sz w:val="24"/>
          <w:lang w:val="zh-CN"/>
        </w:rPr>
        <w:t>1</w:t>
      </w:r>
      <w:r>
        <w:rPr>
          <w:rFonts w:ascii="Times New Roman" w:hAnsi="宋体" w:eastAsia="宋体"/>
          <w:color w:val="auto"/>
          <w:sz w:val="24"/>
          <w:lang w:val="zh-CN"/>
        </w:rPr>
        <w:t>，取</w:t>
      </w:r>
      <w:r>
        <w:rPr>
          <w:rFonts w:ascii="Times New Roman" w:hAnsi="Times New Roman" w:eastAsia="宋体"/>
          <w:color w:val="auto"/>
          <w:sz w:val="24"/>
          <w:lang w:val="zh-CN"/>
        </w:rPr>
        <w:t>P</w:t>
      </w:r>
      <w:r>
        <w:rPr>
          <w:rFonts w:ascii="Times New Roman" w:hAnsi="Times New Roman" w:eastAsia="宋体"/>
          <w:color w:val="auto"/>
          <w:sz w:val="24"/>
          <w:vertAlign w:val="subscript"/>
          <w:lang w:val="zh-CN"/>
        </w:rPr>
        <w:t>i</w:t>
      </w:r>
      <w:r>
        <w:rPr>
          <w:rFonts w:ascii="Times New Roman" w:hAnsi="宋体" w:eastAsia="宋体"/>
          <w:color w:val="auto"/>
          <w:sz w:val="24"/>
          <w:lang w:val="zh-CN"/>
        </w:rPr>
        <w:t>值最大者</w:t>
      </w:r>
      <w:r>
        <w:rPr>
          <w:rFonts w:ascii="Times New Roman" w:hAnsi="Times New Roman" w:eastAsia="宋体"/>
          <w:color w:val="auto"/>
          <w:sz w:val="24"/>
          <w:lang w:val="zh-CN"/>
        </w:rPr>
        <w:t>(</w:t>
      </w:r>
      <w:r>
        <w:rPr>
          <w:rFonts w:hint="eastAsia" w:ascii="Times New Roman" w:hAnsi="Times New Roman" w:eastAsia="宋体"/>
          <w:color w:val="auto"/>
          <w:sz w:val="24"/>
          <w:lang w:val="zh-CN"/>
        </w:rPr>
        <w:t>P</w:t>
      </w:r>
      <w:r>
        <w:rPr>
          <w:rFonts w:hint="eastAsia" w:ascii="Times New Roman" w:hAnsi="Times New Roman" w:eastAsia="宋体"/>
          <w:color w:val="auto"/>
          <w:sz w:val="24"/>
          <w:vertAlign w:val="subscript"/>
          <w:lang w:val="zh-CN"/>
        </w:rPr>
        <w:t>max</w:t>
      </w:r>
      <w:r>
        <w:rPr>
          <w:rFonts w:ascii="Times New Roman" w:hAnsi="Times New Roman" w:eastAsia="宋体"/>
          <w:color w:val="auto"/>
          <w:sz w:val="24"/>
          <w:lang w:val="zh-CN"/>
        </w:rPr>
        <w:t>)</w:t>
      </w:r>
      <w:r>
        <w:rPr>
          <w:rFonts w:ascii="Times New Roman" w:hAnsi="宋体" w:eastAsia="宋体"/>
          <w:color w:val="auto"/>
          <w:sz w:val="24"/>
          <w:lang w:val="zh-CN"/>
        </w:rPr>
        <w:t>和其对应的</w:t>
      </w:r>
      <w:r>
        <w:rPr>
          <w:rFonts w:ascii="Times New Roman" w:hAnsi="Times New Roman" w:eastAsia="宋体"/>
          <w:color w:val="auto"/>
          <w:sz w:val="24"/>
          <w:lang w:val="zh-CN"/>
        </w:rPr>
        <w:t>D</w:t>
      </w:r>
      <w:r>
        <w:rPr>
          <w:rFonts w:ascii="Times New Roman" w:hAnsi="Times New Roman" w:eastAsia="宋体"/>
          <w:color w:val="auto"/>
          <w:sz w:val="24"/>
          <w:vertAlign w:val="subscript"/>
          <w:lang w:val="zh-CN"/>
        </w:rPr>
        <w:t>10%</w:t>
      </w:r>
      <w:r>
        <w:rPr>
          <w:rFonts w:ascii="Times New Roman" w:hAnsi="宋体" w:eastAsia="宋体"/>
          <w:color w:val="auto"/>
          <w:sz w:val="24"/>
          <w:lang w:val="zh-CN"/>
        </w:rPr>
        <w:t>。</w:t>
      </w:r>
    </w:p>
    <w:p>
      <w:pPr>
        <w:pStyle w:val="48"/>
        <w:ind w:firstLine="480"/>
        <w:rPr>
          <w:rFonts w:ascii="Times New Roman" w:hAnsi="宋体" w:eastAsia="宋体"/>
          <w:color w:val="auto"/>
          <w:sz w:val="24"/>
          <w:lang w:val="zh-CN"/>
        </w:rPr>
      </w:pPr>
    </w:p>
    <w:p>
      <w:pPr>
        <w:pStyle w:val="47"/>
        <w:rPr>
          <w:rFonts w:ascii="Times New Roman" w:hAnsi="Times New Roman" w:eastAsia="宋体"/>
          <w:b/>
          <w:color w:val="auto"/>
          <w:sz w:val="24"/>
        </w:rPr>
      </w:pPr>
      <w:r>
        <w:rPr>
          <w:rFonts w:hint="eastAsia" w:ascii="Times New Roman" w:hAnsi="宋体" w:eastAsia="宋体"/>
          <w:b/>
          <w:color w:val="auto"/>
          <w:sz w:val="24"/>
        </w:rPr>
        <w:t xml:space="preserve">表2-7-1   </w:t>
      </w:r>
      <w:r>
        <w:rPr>
          <w:rFonts w:ascii="Times New Roman" w:hAnsi="宋体" w:eastAsia="宋体"/>
          <w:b/>
          <w:color w:val="auto"/>
          <w:sz w:val="24"/>
        </w:rPr>
        <w:t>大气评价工作等级划分</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6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3261" w:type="dxa"/>
            <w:vAlign w:val="center"/>
          </w:tcPr>
          <w:p>
            <w:pPr>
              <w:pStyle w:val="49"/>
              <w:spacing w:line="240" w:lineRule="auto"/>
              <w:ind w:firstLine="422"/>
              <w:rPr>
                <w:rFonts w:ascii="Times New Roman" w:hAnsi="Times New Roman" w:eastAsia="宋体"/>
                <w:b/>
                <w:color w:val="auto"/>
                <w:sz w:val="21"/>
                <w:szCs w:val="21"/>
              </w:rPr>
            </w:pPr>
            <w:r>
              <w:rPr>
                <w:rFonts w:ascii="Times New Roman" w:hAnsi="宋体" w:eastAsia="宋体"/>
                <w:b/>
                <w:color w:val="auto"/>
                <w:sz w:val="21"/>
                <w:szCs w:val="21"/>
              </w:rPr>
              <w:t>评价工作等级</w:t>
            </w:r>
          </w:p>
        </w:tc>
        <w:tc>
          <w:tcPr>
            <w:tcW w:w="6039" w:type="dxa"/>
            <w:vAlign w:val="center"/>
          </w:tcPr>
          <w:p>
            <w:pPr>
              <w:pStyle w:val="49"/>
              <w:spacing w:line="240" w:lineRule="auto"/>
              <w:ind w:firstLine="422"/>
              <w:rPr>
                <w:rFonts w:ascii="Times New Roman" w:hAnsi="Times New Roman" w:eastAsia="宋体"/>
                <w:b/>
                <w:color w:val="auto"/>
                <w:sz w:val="21"/>
                <w:szCs w:val="21"/>
              </w:rPr>
            </w:pPr>
            <w:r>
              <w:rPr>
                <w:rFonts w:ascii="Times New Roman" w:hAnsi="宋体" w:eastAsia="宋体"/>
                <w:b/>
                <w:color w:val="auto"/>
                <w:sz w:val="21"/>
                <w:szCs w:val="21"/>
              </w:rPr>
              <w:t>评价工作分级判据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261" w:type="dxa"/>
            <w:vAlign w:val="center"/>
          </w:tcPr>
          <w:p>
            <w:pPr>
              <w:pStyle w:val="49"/>
              <w:spacing w:line="240" w:lineRule="auto"/>
              <w:ind w:firstLine="420"/>
              <w:rPr>
                <w:rFonts w:ascii="Times New Roman" w:hAnsi="Times New Roman" w:eastAsia="宋体"/>
                <w:color w:val="auto"/>
                <w:sz w:val="21"/>
                <w:szCs w:val="21"/>
              </w:rPr>
            </w:pPr>
            <w:r>
              <w:rPr>
                <w:rFonts w:ascii="Times New Roman" w:hAnsi="宋体" w:eastAsia="宋体"/>
                <w:color w:val="auto"/>
                <w:sz w:val="21"/>
                <w:szCs w:val="21"/>
              </w:rPr>
              <w:t>一级</w:t>
            </w:r>
          </w:p>
        </w:tc>
        <w:tc>
          <w:tcPr>
            <w:tcW w:w="6039" w:type="dxa"/>
            <w:vAlign w:val="center"/>
          </w:tcPr>
          <w:p>
            <w:pPr>
              <w:pStyle w:val="49"/>
              <w:spacing w:line="240" w:lineRule="auto"/>
              <w:ind w:firstLine="420"/>
              <w:rPr>
                <w:rFonts w:ascii="Times New Roman" w:hAnsi="Times New Roman" w:eastAsia="宋体"/>
                <w:color w:val="auto"/>
                <w:sz w:val="21"/>
                <w:szCs w:val="21"/>
              </w:rPr>
            </w:pPr>
            <w:r>
              <w:rPr>
                <w:rFonts w:ascii="Times New Roman" w:hAnsi="Times New Roman" w:eastAsia="宋体"/>
                <w:color w:val="auto"/>
                <w:sz w:val="21"/>
                <w:szCs w:val="21"/>
              </w:rPr>
              <w:t>P</w:t>
            </w:r>
            <w:r>
              <w:rPr>
                <w:rFonts w:ascii="Times New Roman" w:hAnsi="Times New Roman" w:eastAsia="宋体"/>
                <w:color w:val="auto"/>
                <w:sz w:val="21"/>
                <w:szCs w:val="21"/>
                <w:vertAlign w:val="subscript"/>
              </w:rPr>
              <w:t>max</w:t>
            </w:r>
            <w:r>
              <w:rPr>
                <w:rFonts w:ascii="Times New Roman" w:hAnsi="Times New Roman" w:eastAsia="宋体"/>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3261" w:type="dxa"/>
            <w:vAlign w:val="center"/>
          </w:tcPr>
          <w:p>
            <w:pPr>
              <w:pStyle w:val="49"/>
              <w:spacing w:line="240" w:lineRule="auto"/>
              <w:ind w:firstLine="420"/>
              <w:rPr>
                <w:rFonts w:ascii="Times New Roman" w:hAnsi="Times New Roman" w:eastAsia="宋体"/>
                <w:color w:val="auto"/>
                <w:sz w:val="21"/>
                <w:szCs w:val="21"/>
              </w:rPr>
            </w:pPr>
            <w:r>
              <w:rPr>
                <w:rFonts w:ascii="Times New Roman" w:hAnsi="宋体" w:eastAsia="宋体"/>
                <w:color w:val="auto"/>
                <w:sz w:val="21"/>
                <w:szCs w:val="21"/>
              </w:rPr>
              <w:t>二级</w:t>
            </w:r>
          </w:p>
        </w:tc>
        <w:tc>
          <w:tcPr>
            <w:tcW w:w="6039" w:type="dxa"/>
            <w:vAlign w:val="center"/>
          </w:tcPr>
          <w:p>
            <w:pPr>
              <w:pStyle w:val="49"/>
              <w:spacing w:line="240" w:lineRule="auto"/>
              <w:ind w:firstLine="420"/>
              <w:rPr>
                <w:rFonts w:ascii="Times New Roman" w:hAnsi="Times New Roman" w:eastAsia="宋体"/>
                <w:color w:val="auto"/>
                <w:sz w:val="21"/>
                <w:szCs w:val="21"/>
              </w:rPr>
            </w:pPr>
            <w:r>
              <w:rPr>
                <w:rFonts w:ascii="Times New Roman" w:hAnsi="Times New Roman" w:eastAsia="宋体"/>
                <w:color w:val="auto"/>
                <w:sz w:val="21"/>
                <w:szCs w:val="21"/>
              </w:rPr>
              <w:t>1%≤P</w:t>
            </w:r>
            <w:r>
              <w:rPr>
                <w:rFonts w:ascii="Times New Roman" w:hAnsi="Times New Roman" w:eastAsia="宋体"/>
                <w:color w:val="auto"/>
                <w:sz w:val="21"/>
                <w:szCs w:val="21"/>
                <w:vertAlign w:val="subscript"/>
              </w:rPr>
              <w:t>ma</w:t>
            </w:r>
            <w:r>
              <w:rPr>
                <w:rFonts w:hint="eastAsia" w:ascii="Times New Roman" w:hAnsi="Times New Roman" w:eastAsia="宋体"/>
                <w:color w:val="auto"/>
                <w:sz w:val="21"/>
                <w:szCs w:val="21"/>
                <w:vertAlign w:val="subscript"/>
              </w:rPr>
              <w:t>x</w:t>
            </w:r>
            <w:r>
              <w:rPr>
                <w:rFonts w:ascii="Times New Roman" w:hAnsi="宋体" w:eastAsia="宋体"/>
                <w:color w:val="auto"/>
                <w:sz w:val="21"/>
                <w:szCs w:val="21"/>
              </w:rPr>
              <w:t>＜</w:t>
            </w:r>
            <w:r>
              <w:rPr>
                <w:rFonts w:ascii="Times New Roman" w:hAnsi="Times New Roman" w:eastAsia="宋体"/>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261" w:type="dxa"/>
            <w:vAlign w:val="center"/>
          </w:tcPr>
          <w:p>
            <w:pPr>
              <w:pStyle w:val="49"/>
              <w:spacing w:line="240" w:lineRule="auto"/>
              <w:ind w:firstLine="420"/>
              <w:rPr>
                <w:rFonts w:ascii="Times New Roman" w:hAnsi="Times New Roman" w:eastAsia="宋体"/>
                <w:color w:val="auto"/>
                <w:sz w:val="21"/>
                <w:szCs w:val="21"/>
              </w:rPr>
            </w:pPr>
            <w:r>
              <w:rPr>
                <w:rFonts w:ascii="Times New Roman" w:hAnsi="宋体" w:eastAsia="宋体"/>
                <w:color w:val="auto"/>
                <w:sz w:val="21"/>
                <w:szCs w:val="21"/>
              </w:rPr>
              <w:t>三级</w:t>
            </w:r>
          </w:p>
        </w:tc>
        <w:tc>
          <w:tcPr>
            <w:tcW w:w="6039" w:type="dxa"/>
            <w:vAlign w:val="center"/>
          </w:tcPr>
          <w:p>
            <w:pPr>
              <w:pStyle w:val="49"/>
              <w:spacing w:line="240" w:lineRule="auto"/>
              <w:ind w:firstLine="420"/>
              <w:rPr>
                <w:rFonts w:ascii="Times New Roman" w:hAnsi="Times New Roman" w:eastAsia="宋体"/>
                <w:color w:val="auto"/>
                <w:sz w:val="21"/>
                <w:szCs w:val="21"/>
              </w:rPr>
            </w:pPr>
            <w:r>
              <w:rPr>
                <w:rFonts w:ascii="Times New Roman" w:hAnsi="Times New Roman" w:eastAsia="宋体"/>
                <w:color w:val="auto"/>
                <w:sz w:val="21"/>
                <w:szCs w:val="21"/>
              </w:rPr>
              <w:t>P</w:t>
            </w:r>
            <w:r>
              <w:rPr>
                <w:rFonts w:ascii="Times New Roman" w:hAnsi="Times New Roman" w:eastAsia="宋体"/>
                <w:color w:val="auto"/>
                <w:sz w:val="21"/>
                <w:szCs w:val="21"/>
                <w:vertAlign w:val="subscript"/>
              </w:rPr>
              <w:t>max</w:t>
            </w:r>
            <w:r>
              <w:rPr>
                <w:rFonts w:ascii="Times New Roman" w:hAnsi="宋体" w:eastAsia="宋体"/>
                <w:color w:val="auto"/>
                <w:sz w:val="21"/>
                <w:szCs w:val="21"/>
              </w:rPr>
              <w:t>＜</w:t>
            </w:r>
            <w:r>
              <w:rPr>
                <w:rFonts w:ascii="Times New Roman" w:hAnsi="Times New Roman" w:eastAsia="宋体"/>
                <w:color w:val="auto"/>
                <w:sz w:val="21"/>
                <w:szCs w:val="21"/>
              </w:rPr>
              <w:t>1%</w:t>
            </w:r>
          </w:p>
        </w:tc>
      </w:tr>
    </w:tbl>
    <w:p>
      <w:pPr>
        <w:pStyle w:val="48"/>
        <w:ind w:firstLine="480"/>
        <w:rPr>
          <w:rFonts w:ascii="Times New Roman" w:hAnsi="Times New Roman" w:eastAsia="宋体"/>
          <w:color w:val="auto"/>
          <w:lang w:val="zh-CN"/>
        </w:rPr>
      </w:pPr>
      <w:r>
        <w:rPr>
          <w:rFonts w:ascii="Times New Roman" w:hAnsi="宋体" w:eastAsia="宋体"/>
          <w:color w:val="auto"/>
          <w:sz w:val="24"/>
          <w:lang w:val="zh-CN"/>
        </w:rPr>
        <w:t>项目所在区属简单地形，本项目</w:t>
      </w:r>
      <w:r>
        <w:rPr>
          <w:rFonts w:hint="eastAsia" w:ascii="Times New Roman" w:hAnsi="宋体" w:eastAsia="宋体"/>
          <w:color w:val="auto"/>
          <w:sz w:val="24"/>
          <w:lang w:val="zh-CN"/>
        </w:rPr>
        <w:t>运营</w:t>
      </w:r>
      <w:r>
        <w:rPr>
          <w:rFonts w:ascii="Times New Roman" w:hAnsi="宋体" w:eastAsia="宋体"/>
          <w:color w:val="auto"/>
          <w:sz w:val="24"/>
          <w:lang w:val="zh-CN"/>
        </w:rPr>
        <w:t>期间产生的大气污染物主要为</w:t>
      </w:r>
      <w:r>
        <w:rPr>
          <w:rFonts w:hint="eastAsia" w:ascii="Times New Roman" w:hAnsi="宋体" w:eastAsia="宋体"/>
          <w:color w:val="auto"/>
          <w:sz w:val="24"/>
          <w:lang w:val="zh-CN"/>
        </w:rPr>
        <w:t>污水处理系统产生的恶臭（NH</w:t>
      </w:r>
      <w:r>
        <w:rPr>
          <w:rFonts w:hint="eastAsia" w:ascii="Times New Roman" w:hAnsi="宋体" w:eastAsia="宋体"/>
          <w:color w:val="auto"/>
          <w:sz w:val="24"/>
          <w:vertAlign w:val="subscript"/>
          <w:lang w:val="zh-CN"/>
        </w:rPr>
        <w:t>3</w:t>
      </w:r>
      <w:r>
        <w:rPr>
          <w:rFonts w:hint="eastAsia" w:ascii="Times New Roman" w:hAnsi="宋体" w:eastAsia="宋体"/>
          <w:color w:val="auto"/>
          <w:sz w:val="24"/>
          <w:lang w:val="zh-CN"/>
        </w:rPr>
        <w:t>、H</w:t>
      </w:r>
      <w:r>
        <w:rPr>
          <w:rFonts w:hint="eastAsia" w:ascii="Times New Roman" w:hAnsi="宋体" w:eastAsia="宋体"/>
          <w:color w:val="auto"/>
          <w:sz w:val="24"/>
          <w:vertAlign w:val="subscript"/>
          <w:lang w:val="zh-CN"/>
        </w:rPr>
        <w:t>2</w:t>
      </w:r>
      <w:r>
        <w:rPr>
          <w:rFonts w:hint="eastAsia" w:ascii="Times New Roman" w:hAnsi="宋体" w:eastAsia="宋体"/>
          <w:color w:val="auto"/>
          <w:sz w:val="24"/>
          <w:lang w:val="zh-CN"/>
        </w:rPr>
        <w:t>S）和职工食堂产生的油烟</w:t>
      </w:r>
      <w:r>
        <w:rPr>
          <w:rFonts w:ascii="Times New Roman" w:hAnsi="宋体" w:eastAsia="宋体"/>
          <w:color w:val="auto"/>
          <w:sz w:val="24"/>
          <w:lang w:val="zh-CN"/>
        </w:rPr>
        <w:t>。根据《环境影响评价技术导则</w:t>
      </w:r>
      <w:r>
        <w:rPr>
          <w:rFonts w:ascii="Times New Roman" w:hAnsi="Times New Roman" w:eastAsia="宋体"/>
          <w:color w:val="auto"/>
          <w:sz w:val="24"/>
          <w:lang w:val="zh-CN"/>
        </w:rPr>
        <w:t xml:space="preserve"> </w:t>
      </w:r>
      <w:r>
        <w:rPr>
          <w:rFonts w:ascii="Times New Roman" w:hAnsi="宋体" w:eastAsia="宋体"/>
          <w:color w:val="auto"/>
          <w:sz w:val="24"/>
          <w:lang w:val="zh-CN"/>
        </w:rPr>
        <w:t>大气环境》（</w:t>
      </w:r>
      <w:r>
        <w:rPr>
          <w:rFonts w:ascii="Times New Roman" w:hAnsi="Times New Roman" w:eastAsia="宋体"/>
          <w:color w:val="auto"/>
          <w:sz w:val="24"/>
          <w:lang w:val="zh-CN"/>
        </w:rPr>
        <w:t>HJ2.2-2018</w:t>
      </w:r>
      <w:r>
        <w:rPr>
          <w:rFonts w:ascii="Times New Roman" w:hAnsi="宋体" w:eastAsia="宋体"/>
          <w:color w:val="auto"/>
          <w:sz w:val="24"/>
          <w:lang w:val="zh-CN"/>
        </w:rPr>
        <w:t>），选择</w:t>
      </w:r>
      <w:r>
        <w:rPr>
          <w:rFonts w:hint="eastAsia" w:ascii="Times New Roman" w:hAnsi="宋体" w:eastAsia="宋体"/>
          <w:color w:val="auto"/>
          <w:sz w:val="24"/>
          <w:lang w:val="zh-CN"/>
        </w:rPr>
        <w:t>NH</w:t>
      </w:r>
      <w:r>
        <w:rPr>
          <w:rFonts w:hint="eastAsia" w:ascii="Times New Roman" w:hAnsi="宋体" w:eastAsia="宋体"/>
          <w:color w:val="auto"/>
          <w:sz w:val="24"/>
          <w:vertAlign w:val="subscript"/>
          <w:lang w:val="zh-CN"/>
        </w:rPr>
        <w:t>3</w:t>
      </w:r>
      <w:r>
        <w:rPr>
          <w:rFonts w:hint="eastAsia" w:ascii="Times New Roman" w:hAnsi="宋体" w:eastAsia="宋体"/>
          <w:color w:val="auto"/>
          <w:sz w:val="24"/>
          <w:lang w:val="zh-CN"/>
        </w:rPr>
        <w:t>、H</w:t>
      </w:r>
      <w:r>
        <w:rPr>
          <w:rFonts w:hint="eastAsia" w:ascii="Times New Roman" w:hAnsi="宋体" w:eastAsia="宋体"/>
          <w:color w:val="auto"/>
          <w:sz w:val="24"/>
          <w:vertAlign w:val="subscript"/>
          <w:lang w:val="zh-CN"/>
        </w:rPr>
        <w:t>2</w:t>
      </w:r>
      <w:r>
        <w:rPr>
          <w:rFonts w:hint="eastAsia" w:ascii="Times New Roman" w:hAnsi="宋体" w:eastAsia="宋体"/>
          <w:color w:val="auto"/>
          <w:sz w:val="24"/>
          <w:lang w:val="zh-CN"/>
        </w:rPr>
        <w:t>S</w:t>
      </w:r>
      <w:r>
        <w:rPr>
          <w:rFonts w:ascii="Times New Roman" w:hAnsi="宋体" w:eastAsia="宋体"/>
          <w:color w:val="auto"/>
          <w:sz w:val="24"/>
          <w:lang w:val="zh-CN"/>
        </w:rPr>
        <w:t>作为主要污染物评价因子计算最大地面浓度占标率，以确定项目评价工作等级。</w:t>
      </w:r>
    </w:p>
    <w:p>
      <w:pPr>
        <w:pStyle w:val="48"/>
        <w:ind w:left="420" w:firstLine="0" w:firstLineChars="0"/>
        <w:jc w:val="center"/>
        <w:rPr>
          <w:rFonts w:ascii="Times New Roman" w:hAnsi="宋体" w:eastAsia="宋体"/>
          <w:b/>
          <w:color w:val="auto"/>
          <w:sz w:val="24"/>
        </w:rPr>
      </w:pPr>
      <w:r>
        <w:rPr>
          <w:rFonts w:hint="eastAsia" w:ascii="Times New Roman" w:hAnsi="宋体" w:eastAsia="宋体"/>
          <w:b/>
          <w:color w:val="auto"/>
          <w:sz w:val="24"/>
        </w:rPr>
        <w:t xml:space="preserve">表2-7-2   </w:t>
      </w:r>
      <w:r>
        <w:rPr>
          <w:rFonts w:ascii="Times New Roman" w:hAnsi="宋体" w:eastAsia="宋体"/>
          <w:b/>
          <w:color w:val="auto"/>
          <w:sz w:val="24"/>
        </w:rPr>
        <w:t>评价因子和评价标准表</w:t>
      </w:r>
    </w:p>
    <w:tbl>
      <w:tblPr>
        <w:tblStyle w:val="28"/>
        <w:tblW w:w="9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76"/>
        <w:gridCol w:w="1984"/>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评价因子</w:t>
            </w:r>
          </w:p>
        </w:tc>
        <w:tc>
          <w:tcPr>
            <w:tcW w:w="1276"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平均时段</w:t>
            </w:r>
          </w:p>
        </w:tc>
        <w:tc>
          <w:tcPr>
            <w:tcW w:w="1984"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标准值（μ</w:t>
            </w:r>
            <w:r>
              <w:rPr>
                <w:rFonts w:ascii="Times New Roman" w:hAnsi="Times New Roman" w:eastAsia="宋体"/>
                <w:b/>
                <w:color w:val="auto"/>
                <w:sz w:val="21"/>
                <w:szCs w:val="21"/>
              </w:rPr>
              <w:t>g/m</w:t>
            </w:r>
            <w:r>
              <w:rPr>
                <w:rFonts w:ascii="Times New Roman" w:hAnsi="Times New Roman" w:eastAsia="宋体"/>
                <w:b/>
                <w:color w:val="auto"/>
                <w:sz w:val="21"/>
                <w:szCs w:val="21"/>
                <w:vertAlign w:val="superscript"/>
              </w:rPr>
              <w:t>3</w:t>
            </w:r>
            <w:r>
              <w:rPr>
                <w:rFonts w:hint="eastAsia" w:ascii="Times New Roman" w:hAnsi="Times New Roman" w:eastAsia="宋体"/>
                <w:b/>
                <w:color w:val="auto"/>
                <w:sz w:val="21"/>
                <w:szCs w:val="21"/>
              </w:rPr>
              <w:t>）</w:t>
            </w:r>
          </w:p>
        </w:tc>
        <w:tc>
          <w:tcPr>
            <w:tcW w:w="4040"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宋体" w:eastAsia="宋体"/>
                <w:color w:val="auto"/>
                <w:sz w:val="21"/>
                <w:szCs w:val="21"/>
                <w:lang w:val="zh-CN"/>
              </w:rPr>
              <w:t>NH</w:t>
            </w:r>
            <w:r>
              <w:rPr>
                <w:rFonts w:hint="eastAsia" w:ascii="Times New Roman" w:hAnsi="宋体" w:eastAsia="宋体"/>
                <w:color w:val="auto"/>
                <w:sz w:val="21"/>
                <w:szCs w:val="21"/>
                <w:vertAlign w:val="subscript"/>
                <w:lang w:val="zh-CN"/>
              </w:rPr>
              <w:t>3</w:t>
            </w:r>
          </w:p>
        </w:tc>
        <w:tc>
          <w:tcPr>
            <w:tcW w:w="1276"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1h</w:t>
            </w:r>
          </w:p>
        </w:tc>
        <w:tc>
          <w:tcPr>
            <w:tcW w:w="1984"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200</w:t>
            </w:r>
          </w:p>
        </w:tc>
        <w:tc>
          <w:tcPr>
            <w:tcW w:w="4040" w:type="dxa"/>
            <w:vMerge w:val="restart"/>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《环境影响评价技术导则 大气环境》（HJ2.2-2018）附录D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pPr>
              <w:pStyle w:val="48"/>
              <w:spacing w:line="240" w:lineRule="auto"/>
              <w:ind w:firstLine="0" w:firstLineChars="0"/>
              <w:jc w:val="center"/>
              <w:rPr>
                <w:rFonts w:ascii="Times New Roman" w:hAnsi="宋体" w:eastAsia="宋体"/>
                <w:color w:val="auto"/>
                <w:sz w:val="21"/>
                <w:szCs w:val="21"/>
                <w:lang w:val="zh-CN"/>
              </w:rPr>
            </w:pPr>
            <w:r>
              <w:rPr>
                <w:rFonts w:hint="eastAsia" w:ascii="Times New Roman" w:hAnsi="宋体" w:eastAsia="宋体"/>
                <w:color w:val="auto"/>
                <w:sz w:val="21"/>
                <w:szCs w:val="21"/>
                <w:lang w:val="zh-CN"/>
              </w:rPr>
              <w:t>H</w:t>
            </w:r>
            <w:r>
              <w:rPr>
                <w:rFonts w:hint="eastAsia" w:ascii="Times New Roman" w:hAnsi="宋体" w:eastAsia="宋体"/>
                <w:color w:val="auto"/>
                <w:sz w:val="21"/>
                <w:szCs w:val="21"/>
                <w:vertAlign w:val="subscript"/>
                <w:lang w:val="zh-CN"/>
              </w:rPr>
              <w:t>2</w:t>
            </w:r>
            <w:r>
              <w:rPr>
                <w:rFonts w:hint="eastAsia" w:ascii="Times New Roman" w:hAnsi="宋体" w:eastAsia="宋体"/>
                <w:color w:val="auto"/>
                <w:sz w:val="21"/>
                <w:szCs w:val="21"/>
                <w:lang w:val="zh-CN"/>
              </w:rPr>
              <w:t>S</w:t>
            </w:r>
          </w:p>
        </w:tc>
        <w:tc>
          <w:tcPr>
            <w:tcW w:w="1276"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1h</w:t>
            </w:r>
          </w:p>
        </w:tc>
        <w:tc>
          <w:tcPr>
            <w:tcW w:w="1984"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10</w:t>
            </w:r>
          </w:p>
        </w:tc>
        <w:tc>
          <w:tcPr>
            <w:tcW w:w="4040" w:type="dxa"/>
            <w:vMerge w:val="continue"/>
            <w:vAlign w:val="center"/>
          </w:tcPr>
          <w:p>
            <w:pPr>
              <w:pStyle w:val="48"/>
              <w:spacing w:line="240" w:lineRule="auto"/>
              <w:ind w:firstLine="0" w:firstLineChars="0"/>
              <w:jc w:val="center"/>
              <w:rPr>
                <w:rFonts w:ascii="Times New Roman" w:hAnsi="Times New Roman" w:eastAsia="宋体"/>
                <w:color w:val="auto"/>
                <w:sz w:val="21"/>
                <w:szCs w:val="21"/>
              </w:rPr>
            </w:pPr>
          </w:p>
        </w:tc>
      </w:tr>
    </w:tbl>
    <w:p>
      <w:pPr>
        <w:spacing w:line="360" w:lineRule="auto"/>
        <w:ind w:firstLine="480" w:firstLineChars="200"/>
        <w:rPr>
          <w:color w:val="auto"/>
        </w:rPr>
      </w:pPr>
      <w:r>
        <w:rPr>
          <w:rFonts w:hint="eastAsia"/>
          <w:color w:val="auto"/>
          <w:sz w:val="24"/>
          <w:szCs w:val="24"/>
        </w:rPr>
        <w:t>根据《环境影响评价技术导则 大气环境》（HJ2.2-2018）推荐的估算模式计算出本项目大气污染因子最大地面浓度及最大地面浓度占标率见表2-7-4。估算模型参数表见表2-7-3。</w:t>
      </w:r>
    </w:p>
    <w:p>
      <w:pPr>
        <w:pStyle w:val="47"/>
        <w:ind w:firstLine="482"/>
        <w:rPr>
          <w:rFonts w:ascii="Times New Roman" w:hAnsi="Times New Roman" w:eastAsia="宋体"/>
          <w:b/>
          <w:color w:val="auto"/>
          <w:sz w:val="24"/>
        </w:rPr>
      </w:pPr>
      <w:r>
        <w:rPr>
          <w:rFonts w:hint="eastAsia" w:ascii="Times New Roman" w:hAnsi="宋体" w:eastAsia="宋体"/>
          <w:b/>
          <w:color w:val="auto"/>
          <w:sz w:val="24"/>
        </w:rPr>
        <w:t xml:space="preserve">表2-7-3   </w:t>
      </w:r>
      <w:r>
        <w:rPr>
          <w:rFonts w:ascii="Times New Roman" w:hAnsi="宋体" w:eastAsia="宋体"/>
          <w:b/>
          <w:color w:val="auto"/>
          <w:sz w:val="24"/>
        </w:rPr>
        <w:t>估算模型参数表</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73"/>
        <w:gridCol w:w="2522"/>
        <w:gridCol w:w="4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2"/>
              <w:rPr>
                <w:rFonts w:ascii="Times New Roman" w:hAnsi="Times New Roman" w:eastAsia="宋体"/>
                <w:b/>
                <w:color w:val="auto"/>
                <w:sz w:val="21"/>
                <w:szCs w:val="21"/>
              </w:rPr>
            </w:pPr>
            <w:r>
              <w:rPr>
                <w:rFonts w:ascii="Times New Roman" w:hAnsi="宋体" w:eastAsia="宋体"/>
                <w:b/>
                <w:color w:val="auto"/>
                <w:sz w:val="21"/>
                <w:szCs w:val="21"/>
              </w:rPr>
              <w:t>参数</w:t>
            </w:r>
          </w:p>
        </w:tc>
        <w:tc>
          <w:tcPr>
            <w:tcW w:w="4648" w:type="dxa"/>
            <w:vAlign w:val="center"/>
          </w:tcPr>
          <w:p>
            <w:pPr>
              <w:pStyle w:val="49"/>
              <w:ind w:firstLine="422"/>
              <w:rPr>
                <w:rFonts w:ascii="Times New Roman" w:hAnsi="Times New Roman" w:eastAsia="宋体"/>
                <w:b/>
                <w:color w:val="auto"/>
                <w:sz w:val="21"/>
                <w:szCs w:val="21"/>
              </w:rPr>
            </w:pPr>
            <w:r>
              <w:rPr>
                <w:rFonts w:ascii="Times New Roman" w:hAnsi="宋体" w:eastAsia="宋体"/>
                <w:b/>
                <w:color w:val="auto"/>
                <w:sz w:val="21"/>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7" w:type="dxa"/>
            <w:vMerge w:val="restart"/>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城市</w:t>
            </w:r>
            <w:r>
              <w:rPr>
                <w:rFonts w:ascii="Times New Roman" w:hAnsi="Times New Roman" w:eastAsia="宋体"/>
                <w:color w:val="auto"/>
                <w:sz w:val="21"/>
                <w:szCs w:val="21"/>
              </w:rPr>
              <w:t>/</w:t>
            </w:r>
            <w:r>
              <w:rPr>
                <w:rFonts w:ascii="Times New Roman" w:hAnsi="宋体" w:eastAsia="宋体"/>
                <w:color w:val="auto"/>
                <w:sz w:val="21"/>
                <w:szCs w:val="21"/>
              </w:rPr>
              <w:t>农村选项</w:t>
            </w:r>
          </w:p>
        </w:tc>
        <w:tc>
          <w:tcPr>
            <w:tcW w:w="2595" w:type="dxa"/>
            <w:gridSpan w:val="2"/>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城市</w:t>
            </w:r>
            <w:r>
              <w:rPr>
                <w:rFonts w:ascii="Times New Roman" w:hAnsi="Times New Roman" w:eastAsia="宋体"/>
                <w:color w:val="auto"/>
                <w:sz w:val="21"/>
                <w:szCs w:val="21"/>
              </w:rPr>
              <w:t>/</w:t>
            </w:r>
            <w:r>
              <w:rPr>
                <w:rFonts w:ascii="Times New Roman" w:hAnsi="宋体" w:eastAsia="宋体"/>
                <w:color w:val="auto"/>
                <w:sz w:val="21"/>
                <w:szCs w:val="21"/>
              </w:rPr>
              <w:t>农村</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宋体" w:eastAsia="宋体"/>
                <w:color w:val="auto"/>
                <w:sz w:val="21"/>
                <w:szCs w:val="21"/>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7" w:type="dxa"/>
            <w:vMerge w:val="continue"/>
            <w:vAlign w:val="center"/>
          </w:tcPr>
          <w:p>
            <w:pPr>
              <w:pStyle w:val="49"/>
              <w:ind w:firstLine="420"/>
              <w:rPr>
                <w:rFonts w:ascii="Times New Roman" w:hAnsi="Times New Roman" w:eastAsia="宋体"/>
                <w:color w:val="auto"/>
                <w:sz w:val="21"/>
                <w:szCs w:val="21"/>
              </w:rPr>
            </w:pPr>
          </w:p>
        </w:tc>
        <w:tc>
          <w:tcPr>
            <w:tcW w:w="2595" w:type="dxa"/>
            <w:gridSpan w:val="2"/>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人口数（城市选项时）</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最高环境温度</w:t>
            </w:r>
            <w:r>
              <w:rPr>
                <w:rFonts w:ascii="Times New Roman" w:hAnsi="Times New Roman" w:eastAsia="宋体"/>
                <w:color w:val="auto"/>
                <w:sz w:val="21"/>
                <w:szCs w:val="21"/>
              </w:rPr>
              <w:t>/</w:t>
            </w:r>
            <w:r>
              <w:rPr>
                <w:rFonts w:ascii="宋体" w:hAnsi="宋体" w:eastAsia="宋体"/>
                <w:color w:val="auto"/>
                <w:sz w:val="21"/>
                <w:szCs w:val="21"/>
              </w:rPr>
              <w:t>℃</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最低环境温度</w:t>
            </w:r>
            <w:r>
              <w:rPr>
                <w:rFonts w:ascii="Times New Roman" w:hAnsi="Times New Roman" w:eastAsia="宋体"/>
                <w:color w:val="auto"/>
                <w:sz w:val="21"/>
                <w:szCs w:val="21"/>
              </w:rPr>
              <w:t>/</w:t>
            </w:r>
            <w:r>
              <w:rPr>
                <w:rFonts w:ascii="宋体" w:hAnsi="宋体" w:eastAsia="宋体"/>
                <w:color w:val="auto"/>
                <w:sz w:val="21"/>
                <w:szCs w:val="21"/>
              </w:rPr>
              <w:t>℃</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土地利用类型</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宋体" w:eastAsia="宋体"/>
                <w:color w:val="auto"/>
                <w:sz w:val="21"/>
                <w:szCs w:val="21"/>
              </w:rPr>
              <w:t>草地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区域湿度条件</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宋体" w:eastAsia="宋体"/>
                <w:color w:val="auto"/>
                <w:sz w:val="21"/>
                <w:szCs w:val="21"/>
              </w:rPr>
              <w:t>潮湿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restart"/>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是否考虑地形</w:t>
            </w: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考虑地形</w:t>
            </w:r>
          </w:p>
        </w:tc>
        <w:tc>
          <w:tcPr>
            <w:tcW w:w="4648" w:type="dxa"/>
            <w:vAlign w:val="center"/>
          </w:tcPr>
          <w:p>
            <w:pPr>
              <w:pStyle w:val="49"/>
              <w:ind w:firstLine="420"/>
              <w:rPr>
                <w:rFonts w:ascii="Times New Roman" w:hAnsi="Times New Roman" w:eastAsia="宋体"/>
                <w:color w:val="auto"/>
                <w:sz w:val="21"/>
                <w:szCs w:val="21"/>
              </w:rPr>
            </w:pPr>
            <w:r>
              <w:rPr>
                <w:rFonts w:ascii="Times New Roman" w:hAnsi="Times New Roman" w:eastAsia="宋体"/>
                <w:color w:val="auto"/>
                <w:sz w:val="21"/>
                <w:szCs w:val="21"/>
              </w:rPr>
              <w:t>□</w:t>
            </w:r>
            <w:r>
              <w:rPr>
                <w:rFonts w:ascii="Times New Roman" w:hAnsi="宋体" w:eastAsia="宋体"/>
                <w:color w:val="auto"/>
                <w:sz w:val="21"/>
                <w:szCs w:val="21"/>
              </w:rPr>
              <w:t>是</w:t>
            </w:r>
            <w:r>
              <w:rPr>
                <w:rFonts w:ascii="Times New Roman" w:hAnsi="Times New Roman" w:eastAsia="宋体"/>
                <w:color w:val="auto"/>
                <w:sz w:val="21"/>
                <w:szCs w:val="21"/>
              </w:rPr>
              <w:t xml:space="preserve">    √</w:t>
            </w:r>
            <w:r>
              <w:rPr>
                <w:rFonts w:ascii="Times New Roman" w:hAnsi="宋体" w:eastAsia="宋体"/>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continue"/>
            <w:vAlign w:val="center"/>
          </w:tcPr>
          <w:p>
            <w:pPr>
              <w:pStyle w:val="49"/>
              <w:ind w:firstLine="420"/>
              <w:rPr>
                <w:rFonts w:ascii="Times New Roman" w:hAnsi="Times New Roman" w:eastAsia="宋体"/>
                <w:color w:val="auto"/>
                <w:sz w:val="21"/>
                <w:szCs w:val="21"/>
              </w:rPr>
            </w:pP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地形数据分辨率</w:t>
            </w:r>
            <w:r>
              <w:rPr>
                <w:rFonts w:ascii="Times New Roman" w:hAnsi="Times New Roman" w:eastAsia="宋体"/>
                <w:color w:val="auto"/>
                <w:sz w:val="21"/>
                <w:szCs w:val="21"/>
              </w:rPr>
              <w:t>/m</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restart"/>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是否考虑岸线熏烟</w:t>
            </w: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考虑岸线熏烟</w:t>
            </w:r>
          </w:p>
        </w:tc>
        <w:tc>
          <w:tcPr>
            <w:tcW w:w="4648" w:type="dxa"/>
            <w:vAlign w:val="center"/>
          </w:tcPr>
          <w:p>
            <w:pPr>
              <w:pStyle w:val="49"/>
              <w:ind w:firstLine="420"/>
              <w:rPr>
                <w:rFonts w:ascii="Times New Roman" w:hAnsi="Times New Roman" w:eastAsia="宋体"/>
                <w:color w:val="auto"/>
                <w:sz w:val="21"/>
                <w:szCs w:val="21"/>
              </w:rPr>
            </w:pPr>
            <w:r>
              <w:rPr>
                <w:rFonts w:ascii="Times New Roman" w:hAnsi="Times New Roman" w:eastAsia="宋体"/>
                <w:color w:val="auto"/>
                <w:sz w:val="21"/>
                <w:szCs w:val="21"/>
              </w:rPr>
              <w:t>□</w:t>
            </w:r>
            <w:r>
              <w:rPr>
                <w:rFonts w:ascii="Times New Roman" w:hAnsi="宋体" w:eastAsia="宋体"/>
                <w:color w:val="auto"/>
                <w:sz w:val="21"/>
                <w:szCs w:val="21"/>
              </w:rPr>
              <w:t>是</w:t>
            </w:r>
            <w:r>
              <w:rPr>
                <w:rFonts w:ascii="Times New Roman" w:hAnsi="Times New Roman" w:eastAsia="宋体"/>
                <w:color w:val="auto"/>
                <w:sz w:val="21"/>
                <w:szCs w:val="21"/>
              </w:rPr>
              <w:t xml:space="preserve">    √</w:t>
            </w:r>
            <w:r>
              <w:rPr>
                <w:rFonts w:ascii="Times New Roman" w:hAnsi="宋体" w:eastAsia="宋体"/>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continue"/>
            <w:vAlign w:val="center"/>
          </w:tcPr>
          <w:p>
            <w:pPr>
              <w:pStyle w:val="49"/>
              <w:ind w:firstLine="420"/>
              <w:rPr>
                <w:rFonts w:ascii="Times New Roman" w:hAnsi="Times New Roman" w:eastAsia="宋体"/>
                <w:color w:val="auto"/>
                <w:sz w:val="21"/>
                <w:szCs w:val="21"/>
              </w:rPr>
            </w:pP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岸线距离</w:t>
            </w:r>
            <w:r>
              <w:rPr>
                <w:rFonts w:ascii="Times New Roman" w:hAnsi="Times New Roman" w:eastAsia="宋体"/>
                <w:color w:val="auto"/>
                <w:sz w:val="21"/>
                <w:szCs w:val="21"/>
              </w:rPr>
              <w:t>/km</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continue"/>
            <w:vAlign w:val="center"/>
          </w:tcPr>
          <w:p>
            <w:pPr>
              <w:pStyle w:val="49"/>
              <w:ind w:firstLine="420"/>
              <w:rPr>
                <w:rFonts w:ascii="Times New Roman" w:hAnsi="Times New Roman" w:eastAsia="宋体"/>
                <w:color w:val="auto"/>
                <w:sz w:val="21"/>
                <w:szCs w:val="21"/>
              </w:rPr>
            </w:pP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岸线方向</w:t>
            </w:r>
            <w:r>
              <w:rPr>
                <w:rFonts w:ascii="Times New Roman" w:hAnsi="Times New Roman" w:eastAsia="宋体"/>
                <w:color w:val="auto"/>
                <w:sz w:val="21"/>
                <w:szCs w:val="21"/>
              </w:rPr>
              <w:t>/°</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bl>
    <w:p>
      <w:pPr>
        <w:spacing w:line="360" w:lineRule="auto"/>
        <w:jc w:val="center"/>
        <w:rPr>
          <w:b/>
          <w:color w:val="auto"/>
          <w:sz w:val="24"/>
          <w:szCs w:val="24"/>
        </w:rPr>
      </w:pPr>
      <w:r>
        <w:rPr>
          <w:rFonts w:hint="eastAsia"/>
          <w:b/>
          <w:color w:val="auto"/>
          <w:sz w:val="24"/>
          <w:szCs w:val="24"/>
        </w:rPr>
        <w:t>表2-7-4   主要污染源估算模型计算结果表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098"/>
        <w:gridCol w:w="1843"/>
        <w:gridCol w:w="1843"/>
        <w:gridCol w:w="1134"/>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jc w:val="center"/>
              <w:rPr>
                <w:b/>
                <w:color w:val="auto"/>
                <w:sz w:val="21"/>
                <w:szCs w:val="21"/>
              </w:rPr>
            </w:pPr>
            <w:r>
              <w:rPr>
                <w:rFonts w:hint="eastAsia"/>
                <w:b/>
                <w:color w:val="auto"/>
                <w:sz w:val="21"/>
                <w:szCs w:val="21"/>
              </w:rPr>
              <w:t>污染源名称</w:t>
            </w:r>
          </w:p>
        </w:tc>
        <w:tc>
          <w:tcPr>
            <w:tcW w:w="1098" w:type="dxa"/>
            <w:vAlign w:val="center"/>
          </w:tcPr>
          <w:p>
            <w:pPr>
              <w:jc w:val="center"/>
              <w:rPr>
                <w:b/>
                <w:color w:val="auto"/>
                <w:sz w:val="21"/>
                <w:szCs w:val="21"/>
              </w:rPr>
            </w:pPr>
            <w:r>
              <w:rPr>
                <w:rFonts w:hint="eastAsia"/>
                <w:b/>
                <w:color w:val="auto"/>
                <w:sz w:val="21"/>
                <w:szCs w:val="21"/>
              </w:rPr>
              <w:t>评价因子</w:t>
            </w:r>
          </w:p>
        </w:tc>
        <w:tc>
          <w:tcPr>
            <w:tcW w:w="1843" w:type="dxa"/>
            <w:vAlign w:val="center"/>
          </w:tcPr>
          <w:p>
            <w:pPr>
              <w:jc w:val="center"/>
              <w:rPr>
                <w:b/>
                <w:color w:val="auto"/>
                <w:sz w:val="21"/>
                <w:szCs w:val="21"/>
              </w:rPr>
            </w:pPr>
            <w:r>
              <w:rPr>
                <w:rFonts w:hint="eastAsia"/>
                <w:b/>
                <w:color w:val="auto"/>
                <w:sz w:val="21"/>
                <w:szCs w:val="21"/>
              </w:rPr>
              <w:t>C</w:t>
            </w:r>
            <w:r>
              <w:rPr>
                <w:rFonts w:hint="eastAsia"/>
                <w:b/>
                <w:color w:val="auto"/>
                <w:sz w:val="21"/>
                <w:szCs w:val="21"/>
                <w:vertAlign w:val="subscript"/>
              </w:rPr>
              <w:t>max</w:t>
            </w:r>
            <w:r>
              <w:rPr>
                <w:rFonts w:hint="eastAsia"/>
                <w:b/>
                <w:color w:val="auto"/>
                <w:sz w:val="21"/>
                <w:szCs w:val="21"/>
              </w:rPr>
              <w:t>(μg/m</w:t>
            </w:r>
            <w:r>
              <w:rPr>
                <w:rFonts w:hint="eastAsia"/>
                <w:b/>
                <w:color w:val="auto"/>
                <w:sz w:val="21"/>
                <w:szCs w:val="21"/>
                <w:vertAlign w:val="superscript"/>
              </w:rPr>
              <w:t>3</w:t>
            </w:r>
            <w:r>
              <w:rPr>
                <w:rFonts w:hint="eastAsia"/>
                <w:b/>
                <w:color w:val="auto"/>
                <w:sz w:val="21"/>
                <w:szCs w:val="21"/>
              </w:rPr>
              <w:t>)</w:t>
            </w:r>
          </w:p>
        </w:tc>
        <w:tc>
          <w:tcPr>
            <w:tcW w:w="1843" w:type="dxa"/>
            <w:vAlign w:val="center"/>
          </w:tcPr>
          <w:p>
            <w:pPr>
              <w:jc w:val="center"/>
              <w:rPr>
                <w:b/>
                <w:color w:val="auto"/>
                <w:sz w:val="21"/>
                <w:szCs w:val="21"/>
              </w:rPr>
            </w:pPr>
            <w:r>
              <w:rPr>
                <w:rFonts w:hint="eastAsia"/>
                <w:b/>
                <w:color w:val="auto"/>
                <w:sz w:val="21"/>
                <w:szCs w:val="21"/>
              </w:rPr>
              <w:t>P</w:t>
            </w:r>
            <w:r>
              <w:rPr>
                <w:rFonts w:hint="eastAsia"/>
                <w:b/>
                <w:color w:val="auto"/>
                <w:sz w:val="21"/>
                <w:szCs w:val="21"/>
                <w:vertAlign w:val="subscript"/>
              </w:rPr>
              <w:t>max(</w:t>
            </w:r>
            <w:r>
              <w:rPr>
                <w:rFonts w:hint="eastAsia"/>
                <w:b/>
                <w:color w:val="auto"/>
                <w:sz w:val="21"/>
                <w:szCs w:val="21"/>
              </w:rPr>
              <w:t>%)</w:t>
            </w:r>
          </w:p>
        </w:tc>
        <w:tc>
          <w:tcPr>
            <w:tcW w:w="1134" w:type="dxa"/>
            <w:vAlign w:val="center"/>
          </w:tcPr>
          <w:p>
            <w:pPr>
              <w:jc w:val="center"/>
              <w:rPr>
                <w:b/>
                <w:color w:val="auto"/>
                <w:sz w:val="21"/>
                <w:szCs w:val="21"/>
              </w:rPr>
            </w:pPr>
            <w:r>
              <w:rPr>
                <w:rFonts w:hint="eastAsia"/>
                <w:b/>
                <w:color w:val="auto"/>
                <w:sz w:val="21"/>
                <w:szCs w:val="21"/>
              </w:rPr>
              <w:t>D</w:t>
            </w:r>
            <w:r>
              <w:rPr>
                <w:rFonts w:hint="eastAsia"/>
                <w:b/>
                <w:color w:val="auto"/>
                <w:sz w:val="21"/>
                <w:szCs w:val="21"/>
                <w:vertAlign w:val="subscript"/>
              </w:rPr>
              <w:t>10%</w:t>
            </w:r>
            <w:r>
              <w:rPr>
                <w:rFonts w:hint="eastAsia"/>
                <w:b/>
                <w:color w:val="auto"/>
                <w:sz w:val="21"/>
                <w:szCs w:val="21"/>
              </w:rPr>
              <w:t>(m)</w:t>
            </w:r>
          </w:p>
        </w:tc>
        <w:tc>
          <w:tcPr>
            <w:tcW w:w="1184" w:type="dxa"/>
            <w:vAlign w:val="center"/>
          </w:tcPr>
          <w:p>
            <w:pPr>
              <w:jc w:val="center"/>
              <w:rPr>
                <w:b/>
                <w:color w:val="auto"/>
                <w:sz w:val="21"/>
                <w:szCs w:val="21"/>
              </w:rPr>
            </w:pPr>
            <w:r>
              <w:rPr>
                <w:rFonts w:hint="eastAsia"/>
                <w:b/>
                <w:color w:val="auto"/>
                <w:sz w:val="21"/>
                <w:szCs w:val="21"/>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420" w:type="dxa"/>
            <w:vMerge w:val="restart"/>
            <w:vAlign w:val="center"/>
          </w:tcPr>
          <w:p>
            <w:pPr>
              <w:jc w:val="center"/>
              <w:rPr>
                <w:color w:val="auto"/>
                <w:sz w:val="21"/>
                <w:szCs w:val="21"/>
              </w:rPr>
            </w:pPr>
            <w:r>
              <w:rPr>
                <w:rFonts w:hint="eastAsia"/>
                <w:color w:val="auto"/>
                <w:sz w:val="21"/>
                <w:szCs w:val="21"/>
              </w:rPr>
              <w:t>点源1（污水预处理除臭系统排气筒）</w:t>
            </w:r>
          </w:p>
        </w:tc>
        <w:tc>
          <w:tcPr>
            <w:tcW w:w="1098"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宋体" w:eastAsia="宋体"/>
                <w:color w:val="auto"/>
                <w:sz w:val="21"/>
                <w:szCs w:val="21"/>
                <w:lang w:val="zh-CN"/>
              </w:rPr>
              <w:t>H</w:t>
            </w:r>
            <w:r>
              <w:rPr>
                <w:rFonts w:hint="eastAsia" w:ascii="Times New Roman" w:hAnsi="宋体" w:eastAsia="宋体"/>
                <w:color w:val="auto"/>
                <w:sz w:val="21"/>
                <w:szCs w:val="21"/>
                <w:vertAlign w:val="subscript"/>
                <w:lang w:val="zh-CN"/>
              </w:rPr>
              <w:t>2</w:t>
            </w:r>
            <w:r>
              <w:rPr>
                <w:rFonts w:hint="eastAsia" w:ascii="Times New Roman" w:hAnsi="宋体" w:eastAsia="宋体"/>
                <w:color w:val="auto"/>
                <w:sz w:val="21"/>
                <w:szCs w:val="21"/>
                <w:lang w:val="zh-CN"/>
              </w:rPr>
              <w:t>S</w:t>
            </w:r>
          </w:p>
        </w:tc>
        <w:tc>
          <w:tcPr>
            <w:tcW w:w="1843" w:type="dxa"/>
            <w:vAlign w:val="center"/>
          </w:tcPr>
          <w:p>
            <w:pPr>
              <w:jc w:val="center"/>
              <w:rPr>
                <w:color w:val="auto"/>
                <w:sz w:val="21"/>
                <w:szCs w:val="21"/>
              </w:rPr>
            </w:pPr>
            <w:r>
              <w:rPr>
                <w:rFonts w:hint="eastAsia"/>
                <w:color w:val="auto"/>
                <w:sz w:val="21"/>
                <w:szCs w:val="21"/>
              </w:rPr>
              <w:t>0.0673</w:t>
            </w:r>
          </w:p>
        </w:tc>
        <w:tc>
          <w:tcPr>
            <w:tcW w:w="1843" w:type="dxa"/>
            <w:vAlign w:val="center"/>
          </w:tcPr>
          <w:p>
            <w:pPr>
              <w:jc w:val="center"/>
              <w:rPr>
                <w:color w:val="auto"/>
                <w:sz w:val="21"/>
                <w:szCs w:val="21"/>
              </w:rPr>
            </w:pPr>
            <w:r>
              <w:rPr>
                <w:rFonts w:hint="eastAsia"/>
                <w:color w:val="auto"/>
                <w:sz w:val="21"/>
                <w:szCs w:val="21"/>
              </w:rPr>
              <w:t>0.67</w:t>
            </w:r>
          </w:p>
        </w:tc>
        <w:tc>
          <w:tcPr>
            <w:tcW w:w="1134" w:type="dxa"/>
            <w:vAlign w:val="center"/>
          </w:tcPr>
          <w:p>
            <w:pPr>
              <w:jc w:val="center"/>
              <w:rPr>
                <w:color w:val="auto"/>
                <w:sz w:val="21"/>
                <w:szCs w:val="21"/>
              </w:rPr>
            </w:pPr>
            <w:r>
              <w:rPr>
                <w:color w:val="auto"/>
                <w:sz w:val="21"/>
                <w:szCs w:val="21"/>
              </w:rPr>
              <w:t>≤0</w:t>
            </w:r>
          </w:p>
        </w:tc>
        <w:tc>
          <w:tcPr>
            <w:tcW w:w="1184" w:type="dxa"/>
            <w:vAlign w:val="center"/>
          </w:tcPr>
          <w:p>
            <w:pPr>
              <w:jc w:val="center"/>
              <w:rPr>
                <w:color w:val="auto"/>
                <w:sz w:val="21"/>
                <w:szCs w:val="21"/>
              </w:rPr>
            </w:pPr>
            <w:r>
              <w:rPr>
                <w:rFonts w:hint="eastAsia" w:hAnsi="宋体"/>
                <w:color w:val="auto"/>
                <w:sz w:val="21"/>
                <w:szCs w:val="21"/>
              </w:rPr>
              <w:t>三</w:t>
            </w:r>
            <w:r>
              <w:rPr>
                <w:rFonts w:hAnsi="宋体"/>
                <w:color w:val="auto"/>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vAlign w:val="center"/>
          </w:tcPr>
          <w:p>
            <w:pPr>
              <w:jc w:val="center"/>
              <w:rPr>
                <w:color w:val="auto"/>
                <w:sz w:val="21"/>
                <w:szCs w:val="21"/>
              </w:rPr>
            </w:pPr>
          </w:p>
        </w:tc>
        <w:tc>
          <w:tcPr>
            <w:tcW w:w="1098" w:type="dxa"/>
            <w:vAlign w:val="center"/>
          </w:tcPr>
          <w:p>
            <w:pPr>
              <w:pStyle w:val="48"/>
              <w:spacing w:line="240" w:lineRule="auto"/>
              <w:ind w:firstLine="0" w:firstLineChars="0"/>
              <w:jc w:val="center"/>
              <w:rPr>
                <w:rFonts w:ascii="Times New Roman" w:hAnsi="宋体" w:eastAsia="宋体"/>
                <w:color w:val="auto"/>
                <w:sz w:val="21"/>
                <w:szCs w:val="21"/>
                <w:lang w:val="zh-CN"/>
              </w:rPr>
            </w:pPr>
            <w:r>
              <w:rPr>
                <w:rFonts w:hint="eastAsia" w:ascii="Times New Roman" w:hAnsi="宋体" w:eastAsia="宋体"/>
                <w:color w:val="auto"/>
                <w:sz w:val="21"/>
                <w:szCs w:val="21"/>
                <w:lang w:val="zh-CN"/>
              </w:rPr>
              <w:t>NH</w:t>
            </w:r>
            <w:r>
              <w:rPr>
                <w:rFonts w:hint="eastAsia" w:ascii="Times New Roman" w:hAnsi="宋体" w:eastAsia="宋体"/>
                <w:color w:val="auto"/>
                <w:sz w:val="21"/>
                <w:szCs w:val="21"/>
                <w:vertAlign w:val="subscript"/>
                <w:lang w:val="zh-CN"/>
              </w:rPr>
              <w:t>3</w:t>
            </w:r>
          </w:p>
        </w:tc>
        <w:tc>
          <w:tcPr>
            <w:tcW w:w="1843" w:type="dxa"/>
            <w:vAlign w:val="center"/>
          </w:tcPr>
          <w:p>
            <w:pPr>
              <w:jc w:val="center"/>
              <w:rPr>
                <w:color w:val="auto"/>
                <w:sz w:val="21"/>
                <w:szCs w:val="21"/>
              </w:rPr>
            </w:pPr>
            <w:r>
              <w:rPr>
                <w:rFonts w:hint="eastAsia"/>
                <w:color w:val="auto"/>
                <w:sz w:val="21"/>
                <w:szCs w:val="21"/>
              </w:rPr>
              <w:t>0.3367</w:t>
            </w:r>
          </w:p>
        </w:tc>
        <w:tc>
          <w:tcPr>
            <w:tcW w:w="1843" w:type="dxa"/>
            <w:vAlign w:val="center"/>
          </w:tcPr>
          <w:p>
            <w:pPr>
              <w:jc w:val="center"/>
              <w:rPr>
                <w:color w:val="auto"/>
                <w:sz w:val="21"/>
                <w:szCs w:val="21"/>
              </w:rPr>
            </w:pPr>
            <w:r>
              <w:rPr>
                <w:rFonts w:hint="eastAsia"/>
                <w:color w:val="auto"/>
                <w:sz w:val="21"/>
                <w:szCs w:val="21"/>
              </w:rPr>
              <w:t>0.17</w:t>
            </w:r>
          </w:p>
        </w:tc>
        <w:tc>
          <w:tcPr>
            <w:tcW w:w="1134" w:type="dxa"/>
            <w:vAlign w:val="center"/>
          </w:tcPr>
          <w:p>
            <w:pPr>
              <w:jc w:val="center"/>
              <w:rPr>
                <w:color w:val="auto"/>
                <w:sz w:val="21"/>
                <w:szCs w:val="21"/>
              </w:rPr>
            </w:pPr>
            <w:r>
              <w:rPr>
                <w:color w:val="auto"/>
                <w:sz w:val="21"/>
                <w:szCs w:val="21"/>
              </w:rPr>
              <w:t>≤0</w:t>
            </w:r>
          </w:p>
        </w:tc>
        <w:tc>
          <w:tcPr>
            <w:tcW w:w="1184" w:type="dxa"/>
            <w:vAlign w:val="center"/>
          </w:tcPr>
          <w:p>
            <w:pPr>
              <w:jc w:val="center"/>
              <w:rPr>
                <w:color w:val="auto"/>
                <w:sz w:val="21"/>
                <w:szCs w:val="21"/>
              </w:rPr>
            </w:pPr>
            <w:r>
              <w:rPr>
                <w:rFonts w:hint="eastAsia" w:hAnsi="宋体"/>
                <w:color w:val="auto"/>
                <w:sz w:val="21"/>
                <w:szCs w:val="21"/>
              </w:rPr>
              <w:t>三</w:t>
            </w:r>
            <w:r>
              <w:rPr>
                <w:rFonts w:hAnsi="宋体"/>
                <w:color w:val="auto"/>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420" w:type="dxa"/>
            <w:vMerge w:val="restart"/>
            <w:vAlign w:val="center"/>
          </w:tcPr>
          <w:p>
            <w:pPr>
              <w:jc w:val="center"/>
              <w:rPr>
                <w:color w:val="auto"/>
                <w:sz w:val="21"/>
                <w:szCs w:val="21"/>
              </w:rPr>
            </w:pPr>
            <w:r>
              <w:rPr>
                <w:rFonts w:hint="eastAsia"/>
                <w:color w:val="auto"/>
                <w:sz w:val="21"/>
                <w:szCs w:val="21"/>
              </w:rPr>
              <w:t>点源2（污泥处理除臭系统排气筒）</w:t>
            </w:r>
          </w:p>
        </w:tc>
        <w:tc>
          <w:tcPr>
            <w:tcW w:w="1098"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宋体" w:eastAsia="宋体"/>
                <w:color w:val="auto"/>
                <w:sz w:val="21"/>
                <w:szCs w:val="21"/>
                <w:lang w:val="zh-CN"/>
              </w:rPr>
              <w:t>H</w:t>
            </w:r>
            <w:r>
              <w:rPr>
                <w:rFonts w:hint="eastAsia" w:ascii="Times New Roman" w:hAnsi="宋体" w:eastAsia="宋体"/>
                <w:color w:val="auto"/>
                <w:sz w:val="21"/>
                <w:szCs w:val="21"/>
                <w:vertAlign w:val="subscript"/>
                <w:lang w:val="zh-CN"/>
              </w:rPr>
              <w:t>2</w:t>
            </w:r>
            <w:r>
              <w:rPr>
                <w:rFonts w:hint="eastAsia" w:ascii="Times New Roman" w:hAnsi="宋体" w:eastAsia="宋体"/>
                <w:color w:val="auto"/>
                <w:sz w:val="21"/>
                <w:szCs w:val="21"/>
                <w:lang w:val="zh-CN"/>
              </w:rPr>
              <w:t>S</w:t>
            </w:r>
          </w:p>
        </w:tc>
        <w:tc>
          <w:tcPr>
            <w:tcW w:w="1843" w:type="dxa"/>
            <w:vAlign w:val="center"/>
          </w:tcPr>
          <w:p>
            <w:pPr>
              <w:jc w:val="center"/>
              <w:rPr>
                <w:color w:val="auto"/>
                <w:sz w:val="21"/>
                <w:szCs w:val="21"/>
              </w:rPr>
            </w:pPr>
            <w:r>
              <w:rPr>
                <w:rFonts w:hint="eastAsia"/>
                <w:color w:val="auto"/>
                <w:sz w:val="21"/>
                <w:szCs w:val="21"/>
              </w:rPr>
              <w:t>0.5507</w:t>
            </w:r>
          </w:p>
        </w:tc>
        <w:tc>
          <w:tcPr>
            <w:tcW w:w="1843" w:type="dxa"/>
            <w:vAlign w:val="center"/>
          </w:tcPr>
          <w:p>
            <w:pPr>
              <w:jc w:val="center"/>
              <w:rPr>
                <w:color w:val="auto"/>
                <w:sz w:val="21"/>
                <w:szCs w:val="21"/>
              </w:rPr>
            </w:pPr>
            <w:r>
              <w:rPr>
                <w:rFonts w:hint="eastAsia"/>
                <w:color w:val="auto"/>
                <w:sz w:val="21"/>
                <w:szCs w:val="21"/>
              </w:rPr>
              <w:t>5.51</w:t>
            </w:r>
          </w:p>
        </w:tc>
        <w:tc>
          <w:tcPr>
            <w:tcW w:w="1134" w:type="dxa"/>
            <w:vAlign w:val="center"/>
          </w:tcPr>
          <w:p>
            <w:pPr>
              <w:jc w:val="center"/>
              <w:rPr>
                <w:color w:val="auto"/>
                <w:sz w:val="21"/>
                <w:szCs w:val="21"/>
              </w:rPr>
            </w:pPr>
            <w:r>
              <w:rPr>
                <w:color w:val="auto"/>
                <w:sz w:val="21"/>
                <w:szCs w:val="21"/>
              </w:rPr>
              <w:t>≤0</w:t>
            </w:r>
          </w:p>
        </w:tc>
        <w:tc>
          <w:tcPr>
            <w:tcW w:w="1184" w:type="dxa"/>
            <w:vAlign w:val="center"/>
          </w:tcPr>
          <w:p>
            <w:pPr>
              <w:jc w:val="center"/>
              <w:rPr>
                <w:color w:val="auto"/>
                <w:sz w:val="21"/>
                <w:szCs w:val="21"/>
              </w:rPr>
            </w:pPr>
            <w:r>
              <w:rPr>
                <w:rFonts w:hint="eastAsia" w:hAnsi="宋体"/>
                <w:color w:val="auto"/>
                <w:sz w:val="21"/>
                <w:szCs w:val="21"/>
              </w:rPr>
              <w:t>二</w:t>
            </w:r>
            <w:r>
              <w:rPr>
                <w:rFonts w:hAnsi="宋体"/>
                <w:color w:val="auto"/>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vAlign w:val="center"/>
          </w:tcPr>
          <w:p>
            <w:pPr>
              <w:jc w:val="center"/>
              <w:rPr>
                <w:color w:val="auto"/>
                <w:sz w:val="21"/>
                <w:szCs w:val="21"/>
              </w:rPr>
            </w:pPr>
          </w:p>
        </w:tc>
        <w:tc>
          <w:tcPr>
            <w:tcW w:w="1098" w:type="dxa"/>
            <w:vAlign w:val="center"/>
          </w:tcPr>
          <w:p>
            <w:pPr>
              <w:pStyle w:val="48"/>
              <w:spacing w:line="240" w:lineRule="auto"/>
              <w:ind w:firstLine="0" w:firstLineChars="0"/>
              <w:jc w:val="center"/>
              <w:rPr>
                <w:rFonts w:ascii="Times New Roman" w:hAnsi="宋体" w:eastAsia="宋体"/>
                <w:color w:val="auto"/>
                <w:sz w:val="21"/>
                <w:szCs w:val="21"/>
                <w:lang w:val="zh-CN"/>
              </w:rPr>
            </w:pPr>
            <w:r>
              <w:rPr>
                <w:rFonts w:hint="eastAsia" w:ascii="Times New Roman" w:hAnsi="宋体" w:eastAsia="宋体"/>
                <w:color w:val="auto"/>
                <w:sz w:val="21"/>
                <w:szCs w:val="21"/>
                <w:lang w:val="zh-CN"/>
              </w:rPr>
              <w:t>NH</w:t>
            </w:r>
            <w:r>
              <w:rPr>
                <w:rFonts w:hint="eastAsia" w:ascii="Times New Roman" w:hAnsi="宋体" w:eastAsia="宋体"/>
                <w:color w:val="auto"/>
                <w:sz w:val="21"/>
                <w:szCs w:val="21"/>
                <w:vertAlign w:val="subscript"/>
                <w:lang w:val="zh-CN"/>
              </w:rPr>
              <w:t>3</w:t>
            </w:r>
          </w:p>
        </w:tc>
        <w:tc>
          <w:tcPr>
            <w:tcW w:w="1843" w:type="dxa"/>
            <w:vAlign w:val="center"/>
          </w:tcPr>
          <w:p>
            <w:pPr>
              <w:jc w:val="center"/>
              <w:rPr>
                <w:color w:val="auto"/>
                <w:sz w:val="21"/>
                <w:szCs w:val="21"/>
              </w:rPr>
            </w:pPr>
            <w:r>
              <w:rPr>
                <w:rFonts w:hint="eastAsia"/>
                <w:color w:val="auto"/>
                <w:sz w:val="21"/>
                <w:szCs w:val="21"/>
              </w:rPr>
              <w:t>1.8356</w:t>
            </w:r>
          </w:p>
        </w:tc>
        <w:tc>
          <w:tcPr>
            <w:tcW w:w="1843" w:type="dxa"/>
            <w:vAlign w:val="center"/>
          </w:tcPr>
          <w:p>
            <w:pPr>
              <w:jc w:val="center"/>
              <w:rPr>
                <w:color w:val="auto"/>
                <w:sz w:val="21"/>
                <w:szCs w:val="21"/>
              </w:rPr>
            </w:pPr>
            <w:r>
              <w:rPr>
                <w:rFonts w:hint="eastAsia"/>
                <w:color w:val="auto"/>
                <w:sz w:val="21"/>
                <w:szCs w:val="21"/>
              </w:rPr>
              <w:t>0.92</w:t>
            </w:r>
          </w:p>
        </w:tc>
        <w:tc>
          <w:tcPr>
            <w:tcW w:w="1134" w:type="dxa"/>
            <w:vAlign w:val="center"/>
          </w:tcPr>
          <w:p>
            <w:pPr>
              <w:jc w:val="center"/>
              <w:rPr>
                <w:color w:val="auto"/>
                <w:sz w:val="21"/>
                <w:szCs w:val="21"/>
              </w:rPr>
            </w:pPr>
            <w:r>
              <w:rPr>
                <w:color w:val="auto"/>
                <w:sz w:val="21"/>
                <w:szCs w:val="21"/>
              </w:rPr>
              <w:t>≤0</w:t>
            </w:r>
          </w:p>
        </w:tc>
        <w:tc>
          <w:tcPr>
            <w:tcW w:w="1184" w:type="dxa"/>
            <w:vAlign w:val="center"/>
          </w:tcPr>
          <w:p>
            <w:pPr>
              <w:jc w:val="center"/>
              <w:rPr>
                <w:color w:val="auto"/>
                <w:sz w:val="21"/>
                <w:szCs w:val="21"/>
              </w:rPr>
            </w:pPr>
            <w:r>
              <w:rPr>
                <w:rFonts w:hint="eastAsia" w:hAnsi="宋体"/>
                <w:color w:val="auto"/>
                <w:sz w:val="21"/>
                <w:szCs w:val="21"/>
              </w:rPr>
              <w:t>三</w:t>
            </w:r>
            <w:r>
              <w:rPr>
                <w:rFonts w:hAnsi="宋体"/>
                <w:color w:val="auto"/>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restart"/>
            <w:vAlign w:val="center"/>
          </w:tcPr>
          <w:p>
            <w:pPr>
              <w:jc w:val="center"/>
              <w:rPr>
                <w:color w:val="auto"/>
                <w:sz w:val="21"/>
                <w:szCs w:val="21"/>
              </w:rPr>
            </w:pPr>
            <w:r>
              <w:rPr>
                <w:rFonts w:hint="eastAsia"/>
                <w:color w:val="auto"/>
                <w:sz w:val="21"/>
                <w:szCs w:val="21"/>
              </w:rPr>
              <w:t>无组织</w:t>
            </w:r>
          </w:p>
        </w:tc>
        <w:tc>
          <w:tcPr>
            <w:tcW w:w="1098"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宋体" w:eastAsia="宋体"/>
                <w:color w:val="auto"/>
                <w:sz w:val="21"/>
                <w:szCs w:val="21"/>
                <w:lang w:val="zh-CN"/>
              </w:rPr>
              <w:t>H</w:t>
            </w:r>
            <w:r>
              <w:rPr>
                <w:rFonts w:hint="eastAsia" w:ascii="Times New Roman" w:hAnsi="宋体" w:eastAsia="宋体"/>
                <w:color w:val="auto"/>
                <w:sz w:val="21"/>
                <w:szCs w:val="21"/>
                <w:vertAlign w:val="subscript"/>
                <w:lang w:val="zh-CN"/>
              </w:rPr>
              <w:t>2</w:t>
            </w:r>
            <w:r>
              <w:rPr>
                <w:rFonts w:hint="eastAsia" w:ascii="Times New Roman" w:hAnsi="宋体" w:eastAsia="宋体"/>
                <w:color w:val="auto"/>
                <w:sz w:val="21"/>
                <w:szCs w:val="21"/>
                <w:lang w:val="zh-CN"/>
              </w:rPr>
              <w:t>S</w:t>
            </w:r>
          </w:p>
        </w:tc>
        <w:tc>
          <w:tcPr>
            <w:tcW w:w="1843" w:type="dxa"/>
            <w:vAlign w:val="center"/>
          </w:tcPr>
          <w:p>
            <w:pPr>
              <w:jc w:val="center"/>
              <w:rPr>
                <w:color w:val="auto"/>
                <w:sz w:val="21"/>
                <w:szCs w:val="21"/>
              </w:rPr>
            </w:pPr>
            <w:r>
              <w:rPr>
                <w:rFonts w:hint="eastAsia"/>
                <w:color w:val="auto"/>
                <w:sz w:val="21"/>
                <w:szCs w:val="21"/>
              </w:rPr>
              <w:t>0.4532</w:t>
            </w:r>
          </w:p>
        </w:tc>
        <w:tc>
          <w:tcPr>
            <w:tcW w:w="1843" w:type="dxa"/>
            <w:vAlign w:val="center"/>
          </w:tcPr>
          <w:p>
            <w:pPr>
              <w:jc w:val="center"/>
              <w:rPr>
                <w:color w:val="auto"/>
                <w:sz w:val="21"/>
                <w:szCs w:val="21"/>
              </w:rPr>
            </w:pPr>
            <w:r>
              <w:rPr>
                <w:rFonts w:hint="eastAsia"/>
                <w:color w:val="auto"/>
                <w:sz w:val="21"/>
                <w:szCs w:val="21"/>
              </w:rPr>
              <w:t>4.53</w:t>
            </w:r>
          </w:p>
        </w:tc>
        <w:tc>
          <w:tcPr>
            <w:tcW w:w="1134" w:type="dxa"/>
            <w:vAlign w:val="center"/>
          </w:tcPr>
          <w:p>
            <w:pPr>
              <w:jc w:val="center"/>
              <w:rPr>
                <w:color w:val="auto"/>
                <w:sz w:val="21"/>
                <w:szCs w:val="21"/>
              </w:rPr>
            </w:pPr>
            <w:r>
              <w:rPr>
                <w:color w:val="auto"/>
                <w:sz w:val="21"/>
                <w:szCs w:val="21"/>
              </w:rPr>
              <w:t>≤0</w:t>
            </w:r>
          </w:p>
        </w:tc>
        <w:tc>
          <w:tcPr>
            <w:tcW w:w="1184" w:type="dxa"/>
            <w:vAlign w:val="center"/>
          </w:tcPr>
          <w:p>
            <w:pPr>
              <w:jc w:val="center"/>
              <w:rPr>
                <w:color w:val="auto"/>
                <w:sz w:val="21"/>
                <w:szCs w:val="21"/>
              </w:rPr>
            </w:pPr>
            <w:r>
              <w:rPr>
                <w:rFonts w:hint="eastAsia" w:hAnsi="宋体"/>
                <w:color w:val="auto"/>
                <w:sz w:val="21"/>
                <w:szCs w:val="21"/>
              </w:rPr>
              <w:t>二</w:t>
            </w:r>
            <w:r>
              <w:rPr>
                <w:rFonts w:hAnsi="宋体"/>
                <w:color w:val="auto"/>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vAlign w:val="center"/>
          </w:tcPr>
          <w:p>
            <w:pPr>
              <w:jc w:val="center"/>
              <w:rPr>
                <w:color w:val="auto"/>
                <w:sz w:val="21"/>
                <w:szCs w:val="21"/>
              </w:rPr>
            </w:pPr>
          </w:p>
        </w:tc>
        <w:tc>
          <w:tcPr>
            <w:tcW w:w="1098" w:type="dxa"/>
            <w:vAlign w:val="center"/>
          </w:tcPr>
          <w:p>
            <w:pPr>
              <w:pStyle w:val="48"/>
              <w:spacing w:line="240" w:lineRule="auto"/>
              <w:ind w:firstLine="0" w:firstLineChars="0"/>
              <w:jc w:val="center"/>
              <w:rPr>
                <w:rFonts w:ascii="Times New Roman" w:hAnsi="宋体" w:eastAsia="宋体"/>
                <w:color w:val="auto"/>
                <w:sz w:val="21"/>
                <w:szCs w:val="21"/>
                <w:lang w:val="zh-CN"/>
              </w:rPr>
            </w:pPr>
            <w:r>
              <w:rPr>
                <w:rFonts w:hint="eastAsia" w:ascii="Times New Roman" w:hAnsi="宋体" w:eastAsia="宋体"/>
                <w:color w:val="auto"/>
                <w:sz w:val="21"/>
                <w:szCs w:val="21"/>
                <w:lang w:val="zh-CN"/>
              </w:rPr>
              <w:t>NH</w:t>
            </w:r>
            <w:r>
              <w:rPr>
                <w:rFonts w:hint="eastAsia" w:ascii="Times New Roman" w:hAnsi="宋体" w:eastAsia="宋体"/>
                <w:color w:val="auto"/>
                <w:sz w:val="21"/>
                <w:szCs w:val="21"/>
                <w:vertAlign w:val="subscript"/>
                <w:lang w:val="zh-CN"/>
              </w:rPr>
              <w:t>3</w:t>
            </w:r>
          </w:p>
        </w:tc>
        <w:tc>
          <w:tcPr>
            <w:tcW w:w="1843" w:type="dxa"/>
            <w:vAlign w:val="center"/>
          </w:tcPr>
          <w:p>
            <w:pPr>
              <w:jc w:val="center"/>
              <w:rPr>
                <w:color w:val="auto"/>
                <w:sz w:val="21"/>
                <w:szCs w:val="21"/>
              </w:rPr>
            </w:pPr>
            <w:r>
              <w:rPr>
                <w:rFonts w:hint="eastAsia"/>
                <w:color w:val="auto"/>
                <w:sz w:val="21"/>
                <w:szCs w:val="21"/>
              </w:rPr>
              <w:t>0.1521</w:t>
            </w:r>
          </w:p>
        </w:tc>
        <w:tc>
          <w:tcPr>
            <w:tcW w:w="1843" w:type="dxa"/>
            <w:vAlign w:val="center"/>
          </w:tcPr>
          <w:p>
            <w:pPr>
              <w:jc w:val="center"/>
              <w:rPr>
                <w:color w:val="auto"/>
                <w:sz w:val="21"/>
                <w:szCs w:val="21"/>
              </w:rPr>
            </w:pPr>
            <w:r>
              <w:rPr>
                <w:rFonts w:hint="eastAsia"/>
                <w:color w:val="auto"/>
                <w:sz w:val="21"/>
                <w:szCs w:val="21"/>
              </w:rPr>
              <w:t>0.08</w:t>
            </w:r>
          </w:p>
        </w:tc>
        <w:tc>
          <w:tcPr>
            <w:tcW w:w="1134" w:type="dxa"/>
            <w:vAlign w:val="center"/>
          </w:tcPr>
          <w:p>
            <w:pPr>
              <w:jc w:val="center"/>
              <w:rPr>
                <w:color w:val="auto"/>
                <w:sz w:val="21"/>
                <w:szCs w:val="21"/>
              </w:rPr>
            </w:pPr>
            <w:r>
              <w:rPr>
                <w:color w:val="auto"/>
                <w:sz w:val="21"/>
                <w:szCs w:val="21"/>
              </w:rPr>
              <w:t>≤0</w:t>
            </w:r>
          </w:p>
        </w:tc>
        <w:tc>
          <w:tcPr>
            <w:tcW w:w="1184" w:type="dxa"/>
            <w:vAlign w:val="center"/>
          </w:tcPr>
          <w:p>
            <w:pPr>
              <w:jc w:val="center"/>
              <w:rPr>
                <w:color w:val="auto"/>
                <w:sz w:val="21"/>
                <w:szCs w:val="21"/>
              </w:rPr>
            </w:pPr>
            <w:r>
              <w:rPr>
                <w:rFonts w:hint="eastAsia" w:hAnsi="宋体"/>
                <w:color w:val="auto"/>
                <w:sz w:val="21"/>
                <w:szCs w:val="21"/>
              </w:rPr>
              <w:t>三</w:t>
            </w:r>
            <w:r>
              <w:rPr>
                <w:rFonts w:hAnsi="宋体"/>
                <w:color w:val="auto"/>
                <w:sz w:val="21"/>
                <w:szCs w:val="21"/>
              </w:rPr>
              <w:t>级</w:t>
            </w:r>
          </w:p>
        </w:tc>
      </w:tr>
    </w:tbl>
    <w:p>
      <w:pPr>
        <w:spacing w:line="360" w:lineRule="auto"/>
        <w:ind w:firstLine="480" w:firstLineChars="200"/>
        <w:rPr>
          <w:color w:val="auto"/>
          <w:sz w:val="24"/>
          <w:szCs w:val="24"/>
        </w:rPr>
      </w:pPr>
      <w:r>
        <w:rPr>
          <w:rFonts w:hint="eastAsia"/>
          <w:color w:val="auto"/>
          <w:sz w:val="24"/>
          <w:szCs w:val="24"/>
        </w:rPr>
        <w:t>由上表可知，本项目P</w:t>
      </w:r>
      <w:r>
        <w:rPr>
          <w:rFonts w:hint="eastAsia"/>
          <w:color w:val="auto"/>
          <w:sz w:val="24"/>
          <w:szCs w:val="24"/>
          <w:vertAlign w:val="subscript"/>
        </w:rPr>
        <w:t>max</w:t>
      </w:r>
      <w:r>
        <w:rPr>
          <w:rFonts w:hint="eastAsia"/>
          <w:color w:val="auto"/>
          <w:sz w:val="24"/>
          <w:szCs w:val="24"/>
        </w:rPr>
        <w:t>最大值出现为点源2排放的H</w:t>
      </w:r>
      <w:r>
        <w:rPr>
          <w:rFonts w:hint="eastAsia"/>
          <w:color w:val="auto"/>
          <w:sz w:val="24"/>
          <w:szCs w:val="24"/>
          <w:vertAlign w:val="subscript"/>
        </w:rPr>
        <w:t>2</w:t>
      </w:r>
      <w:r>
        <w:rPr>
          <w:rFonts w:hint="eastAsia"/>
          <w:color w:val="auto"/>
          <w:sz w:val="24"/>
          <w:szCs w:val="24"/>
        </w:rPr>
        <w:t>S，P</w:t>
      </w:r>
      <w:r>
        <w:rPr>
          <w:rFonts w:hint="eastAsia"/>
          <w:color w:val="auto"/>
          <w:sz w:val="24"/>
          <w:szCs w:val="24"/>
          <w:vertAlign w:val="subscript"/>
        </w:rPr>
        <w:t xml:space="preserve">max </w:t>
      </w:r>
      <w:r>
        <w:rPr>
          <w:rFonts w:hint="eastAsia"/>
          <w:color w:val="auto"/>
          <w:sz w:val="24"/>
          <w:szCs w:val="24"/>
        </w:rPr>
        <w:t>值为5.51%，C</w:t>
      </w:r>
      <w:r>
        <w:rPr>
          <w:rFonts w:hint="eastAsia"/>
          <w:color w:val="auto"/>
          <w:sz w:val="24"/>
          <w:szCs w:val="24"/>
          <w:vertAlign w:val="subscript"/>
        </w:rPr>
        <w:t>max</w:t>
      </w:r>
      <w:r>
        <w:rPr>
          <w:rFonts w:hint="eastAsia"/>
          <w:color w:val="auto"/>
          <w:sz w:val="24"/>
          <w:szCs w:val="24"/>
        </w:rPr>
        <w:t xml:space="preserve"> 为0.5507ug/m</w:t>
      </w:r>
      <w:r>
        <w:rPr>
          <w:rFonts w:hint="eastAsia"/>
          <w:color w:val="auto"/>
          <w:sz w:val="24"/>
          <w:szCs w:val="24"/>
          <w:vertAlign w:val="superscript"/>
        </w:rPr>
        <w:t>3</w:t>
      </w:r>
      <w:r>
        <w:rPr>
          <w:rFonts w:hint="eastAsia"/>
          <w:color w:val="auto"/>
          <w:sz w:val="24"/>
          <w:szCs w:val="24"/>
        </w:rPr>
        <w:t>，根据《环境影响评价技术导则 大气环境》(HJ2.2-2018)分级判据，确定本项目大气环境影响评价工作等级为二级。</w:t>
      </w:r>
    </w:p>
    <w:p>
      <w:pPr>
        <w:pStyle w:val="4"/>
        <w:rPr>
          <w:color w:val="auto"/>
        </w:rPr>
      </w:pPr>
      <w:bookmarkStart w:id="51" w:name="_Toc26276787"/>
      <w:r>
        <w:rPr>
          <w:rFonts w:hint="eastAsia"/>
          <w:color w:val="auto"/>
        </w:rPr>
        <w:t>2.7.2地表水环境评价等级划分</w:t>
      </w:r>
      <w:bookmarkEnd w:id="51"/>
    </w:p>
    <w:p>
      <w:pPr>
        <w:spacing w:line="360" w:lineRule="auto"/>
        <w:ind w:firstLine="480" w:firstLineChars="200"/>
        <w:rPr>
          <w:color w:val="auto"/>
          <w:sz w:val="24"/>
          <w:szCs w:val="24"/>
        </w:rPr>
      </w:pPr>
      <w:r>
        <w:rPr>
          <w:rFonts w:hint="eastAsia"/>
          <w:color w:val="auto"/>
          <w:sz w:val="24"/>
          <w:szCs w:val="24"/>
        </w:rPr>
        <w:t>本项目为水质净化厂建设项目，设计处理能力0.8万m</w:t>
      </w:r>
      <w:r>
        <w:rPr>
          <w:rFonts w:hint="eastAsia"/>
          <w:color w:val="auto"/>
          <w:sz w:val="24"/>
          <w:szCs w:val="24"/>
          <w:vertAlign w:val="superscript"/>
        </w:rPr>
        <w:t>3</w:t>
      </w:r>
      <w:r>
        <w:rPr>
          <w:rFonts w:hint="eastAsia"/>
          <w:color w:val="auto"/>
          <w:sz w:val="24"/>
          <w:szCs w:val="24"/>
        </w:rPr>
        <w:t>/d，尾水部分回用于水质净化厂自用、园区内城市绿化、道路清扫和冲厕，回用率达到30%以上，其余尾水排入大嵩河，排水水量为5600m</w:t>
      </w:r>
      <w:r>
        <w:rPr>
          <w:rFonts w:hint="eastAsia"/>
          <w:color w:val="auto"/>
          <w:sz w:val="24"/>
          <w:szCs w:val="24"/>
          <w:vertAlign w:val="superscript"/>
        </w:rPr>
        <w:t>3</w:t>
      </w:r>
      <w:r>
        <w:rPr>
          <w:rFonts w:hint="eastAsia"/>
          <w:color w:val="auto"/>
          <w:sz w:val="24"/>
          <w:szCs w:val="24"/>
        </w:rPr>
        <w:t>/d，出水标准为《地表水环境质量标准》（GB3838-2002）的准Ⅳ类标准（即SS、粪大肠菌群数达到《城镇污水处理厂污染物排放标准》（GB18918-2002）中的一级A出水标准，其它主要污染指标达到地表水Ⅳ类标准，TN放宽至10mg/L），受纳水体为大嵩河。大嵩河属于《地表水环境质量标准》（GB3838-2002）中Ⅲ类水域。根据《环境影响评价技术导则 地面水环境》（HJ 2.3-2018）评价等级的判据，本项目评价等级确定如下：</w:t>
      </w:r>
    </w:p>
    <w:p>
      <w:pPr>
        <w:spacing w:line="360" w:lineRule="auto"/>
        <w:jc w:val="center"/>
        <w:rPr>
          <w:b/>
          <w:color w:val="auto"/>
          <w:sz w:val="24"/>
          <w:szCs w:val="24"/>
        </w:rPr>
      </w:pPr>
      <w:r>
        <w:rPr>
          <w:rFonts w:hint="eastAsia"/>
          <w:b/>
          <w:color w:val="auto"/>
          <w:sz w:val="24"/>
          <w:szCs w:val="24"/>
        </w:rPr>
        <w:t>表2-7-5   地表水环境影响评价工作等级判定表（水污染影响型）</w:t>
      </w:r>
    </w:p>
    <w:tbl>
      <w:tblPr>
        <w:tblStyle w:val="29"/>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134"/>
        <w:gridCol w:w="2835"/>
        <w:gridCol w:w="70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b/>
                <w:color w:val="auto"/>
                <w:sz w:val="21"/>
                <w:szCs w:val="21"/>
              </w:rPr>
            </w:pPr>
            <w:r>
              <w:rPr>
                <w:rFonts w:hint="eastAsia"/>
                <w:b/>
                <w:color w:val="auto"/>
                <w:sz w:val="21"/>
                <w:szCs w:val="21"/>
              </w:rPr>
              <w:t>评价等级</w:t>
            </w:r>
          </w:p>
        </w:tc>
        <w:tc>
          <w:tcPr>
            <w:tcW w:w="3969" w:type="dxa"/>
            <w:gridSpan w:val="2"/>
            <w:vAlign w:val="center"/>
          </w:tcPr>
          <w:p>
            <w:pPr>
              <w:jc w:val="center"/>
              <w:rPr>
                <w:b/>
                <w:color w:val="auto"/>
                <w:sz w:val="21"/>
                <w:szCs w:val="21"/>
              </w:rPr>
            </w:pPr>
            <w:r>
              <w:rPr>
                <w:rFonts w:hint="eastAsia"/>
                <w:b/>
                <w:color w:val="auto"/>
                <w:sz w:val="21"/>
                <w:szCs w:val="21"/>
              </w:rPr>
              <w:t>判定依据</w:t>
            </w:r>
          </w:p>
        </w:tc>
        <w:tc>
          <w:tcPr>
            <w:tcW w:w="3827" w:type="dxa"/>
            <w:gridSpan w:val="2"/>
            <w:vAlign w:val="center"/>
          </w:tcPr>
          <w:p>
            <w:pPr>
              <w:jc w:val="center"/>
              <w:rPr>
                <w:b/>
                <w:color w:val="auto"/>
                <w:sz w:val="21"/>
                <w:szCs w:val="21"/>
              </w:rPr>
            </w:pPr>
            <w:r>
              <w:rPr>
                <w:rFonts w:hint="eastAsia"/>
                <w:b/>
                <w:color w:val="auto"/>
                <w:sz w:val="21"/>
                <w:szCs w:val="21"/>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b/>
                <w:color w:val="auto"/>
                <w:sz w:val="21"/>
                <w:szCs w:val="21"/>
              </w:rPr>
            </w:pPr>
          </w:p>
        </w:tc>
        <w:tc>
          <w:tcPr>
            <w:tcW w:w="1134" w:type="dxa"/>
            <w:vAlign w:val="center"/>
          </w:tcPr>
          <w:p>
            <w:pPr>
              <w:jc w:val="center"/>
              <w:rPr>
                <w:b/>
                <w:color w:val="auto"/>
                <w:sz w:val="21"/>
                <w:szCs w:val="21"/>
              </w:rPr>
            </w:pPr>
            <w:r>
              <w:rPr>
                <w:rFonts w:hint="eastAsia"/>
                <w:b/>
                <w:color w:val="auto"/>
                <w:sz w:val="21"/>
                <w:szCs w:val="21"/>
              </w:rPr>
              <w:t>排放方式</w:t>
            </w:r>
          </w:p>
        </w:tc>
        <w:tc>
          <w:tcPr>
            <w:tcW w:w="2835" w:type="dxa"/>
            <w:vAlign w:val="center"/>
          </w:tcPr>
          <w:p>
            <w:pPr>
              <w:jc w:val="center"/>
              <w:rPr>
                <w:b/>
                <w:color w:val="auto"/>
                <w:sz w:val="21"/>
                <w:szCs w:val="21"/>
              </w:rPr>
            </w:pPr>
            <w:r>
              <w:rPr>
                <w:rFonts w:hint="eastAsia"/>
                <w:b/>
                <w:color w:val="auto"/>
                <w:sz w:val="21"/>
                <w:szCs w:val="21"/>
              </w:rPr>
              <w:t>废水排放量</w:t>
            </w:r>
            <w:r>
              <w:rPr>
                <w:b/>
                <w:color w:val="auto"/>
                <w:sz w:val="21"/>
                <w:szCs w:val="21"/>
              </w:rPr>
              <w:t>Q/</w:t>
            </w:r>
            <w:r>
              <w:rPr>
                <w:rFonts w:hint="eastAsia"/>
                <w:b/>
                <w:color w:val="auto"/>
                <w:sz w:val="21"/>
                <w:szCs w:val="21"/>
              </w:rPr>
              <w:t>（</w:t>
            </w:r>
            <w:r>
              <w:rPr>
                <w:b/>
                <w:color w:val="auto"/>
                <w:sz w:val="21"/>
                <w:szCs w:val="21"/>
              </w:rPr>
              <w:t>m</w:t>
            </w:r>
            <w:r>
              <w:rPr>
                <w:b/>
                <w:color w:val="auto"/>
                <w:sz w:val="21"/>
                <w:szCs w:val="21"/>
                <w:vertAlign w:val="superscript"/>
              </w:rPr>
              <w:t>3</w:t>
            </w:r>
            <w:r>
              <w:rPr>
                <w:b/>
                <w:color w:val="auto"/>
                <w:sz w:val="21"/>
                <w:szCs w:val="21"/>
              </w:rPr>
              <w:t>/d</w:t>
            </w:r>
            <w:r>
              <w:rPr>
                <w:rFonts w:hint="eastAsia"/>
                <w:b/>
                <w:color w:val="auto"/>
                <w:sz w:val="21"/>
                <w:szCs w:val="21"/>
              </w:rPr>
              <w:t>）</w:t>
            </w:r>
          </w:p>
          <w:p>
            <w:pPr>
              <w:jc w:val="center"/>
              <w:rPr>
                <w:b/>
                <w:color w:val="auto"/>
                <w:sz w:val="21"/>
                <w:szCs w:val="21"/>
              </w:rPr>
            </w:pPr>
            <w:r>
              <w:rPr>
                <w:rFonts w:hint="eastAsia"/>
                <w:b/>
                <w:color w:val="auto"/>
                <w:sz w:val="21"/>
                <w:szCs w:val="21"/>
              </w:rPr>
              <w:t>水污染物当量数</w:t>
            </w:r>
            <w:r>
              <w:rPr>
                <w:b/>
                <w:color w:val="auto"/>
                <w:sz w:val="21"/>
                <w:szCs w:val="21"/>
              </w:rPr>
              <w:t>W/</w:t>
            </w:r>
            <w:r>
              <w:rPr>
                <w:rFonts w:hint="eastAsia"/>
                <w:b/>
                <w:color w:val="auto"/>
                <w:sz w:val="21"/>
                <w:szCs w:val="21"/>
              </w:rPr>
              <w:t>（无量纲）</w:t>
            </w:r>
          </w:p>
        </w:tc>
        <w:tc>
          <w:tcPr>
            <w:tcW w:w="709" w:type="dxa"/>
            <w:vAlign w:val="center"/>
          </w:tcPr>
          <w:p>
            <w:pPr>
              <w:jc w:val="center"/>
              <w:rPr>
                <w:b/>
                <w:color w:val="auto"/>
                <w:sz w:val="21"/>
                <w:szCs w:val="21"/>
              </w:rPr>
            </w:pPr>
            <w:r>
              <w:rPr>
                <w:rFonts w:hint="eastAsia"/>
                <w:b/>
                <w:color w:val="auto"/>
                <w:sz w:val="21"/>
                <w:szCs w:val="21"/>
              </w:rPr>
              <w:t>排放方式</w:t>
            </w:r>
          </w:p>
        </w:tc>
        <w:tc>
          <w:tcPr>
            <w:tcW w:w="3118" w:type="dxa"/>
            <w:vAlign w:val="center"/>
          </w:tcPr>
          <w:p>
            <w:pPr>
              <w:jc w:val="center"/>
              <w:rPr>
                <w:b/>
                <w:color w:val="auto"/>
                <w:sz w:val="21"/>
                <w:szCs w:val="21"/>
              </w:rPr>
            </w:pPr>
            <w:r>
              <w:rPr>
                <w:rFonts w:hint="eastAsia"/>
                <w:b/>
                <w:color w:val="auto"/>
                <w:sz w:val="21"/>
                <w:szCs w:val="21"/>
              </w:rPr>
              <w:t>废水排放量</w:t>
            </w:r>
            <w:r>
              <w:rPr>
                <w:b/>
                <w:color w:val="auto"/>
                <w:sz w:val="21"/>
                <w:szCs w:val="21"/>
              </w:rPr>
              <w:t>Q/</w:t>
            </w:r>
            <w:r>
              <w:rPr>
                <w:rFonts w:hint="eastAsia"/>
                <w:b/>
                <w:color w:val="auto"/>
                <w:sz w:val="21"/>
                <w:szCs w:val="21"/>
              </w:rPr>
              <w:t>（</w:t>
            </w:r>
            <w:r>
              <w:rPr>
                <w:b/>
                <w:color w:val="auto"/>
                <w:sz w:val="21"/>
                <w:szCs w:val="21"/>
              </w:rPr>
              <w:t>m</w:t>
            </w:r>
            <w:r>
              <w:rPr>
                <w:b/>
                <w:color w:val="auto"/>
                <w:sz w:val="21"/>
                <w:szCs w:val="21"/>
                <w:vertAlign w:val="superscript"/>
              </w:rPr>
              <w:t>3</w:t>
            </w:r>
            <w:r>
              <w:rPr>
                <w:b/>
                <w:color w:val="auto"/>
                <w:sz w:val="21"/>
                <w:szCs w:val="21"/>
              </w:rPr>
              <w:t>/d</w:t>
            </w:r>
            <w:r>
              <w:rPr>
                <w:rFonts w:hint="eastAsia"/>
                <w:b/>
                <w:color w:val="auto"/>
                <w:sz w:val="21"/>
                <w:szCs w:val="21"/>
              </w:rPr>
              <w:t>）</w:t>
            </w:r>
          </w:p>
          <w:p>
            <w:pPr>
              <w:jc w:val="center"/>
              <w:rPr>
                <w:b/>
                <w:color w:val="auto"/>
                <w:sz w:val="21"/>
                <w:szCs w:val="21"/>
              </w:rPr>
            </w:pPr>
            <w:r>
              <w:rPr>
                <w:rFonts w:hint="eastAsia"/>
                <w:b/>
                <w:color w:val="auto"/>
                <w:sz w:val="21"/>
                <w:szCs w:val="21"/>
              </w:rPr>
              <w:t>水污染物当量数</w:t>
            </w:r>
            <w:r>
              <w:rPr>
                <w:b/>
                <w:color w:val="auto"/>
                <w:sz w:val="21"/>
                <w:szCs w:val="21"/>
              </w:rPr>
              <w:t>W/</w:t>
            </w:r>
            <w:r>
              <w:rPr>
                <w:rFonts w:hint="eastAsia"/>
                <w:b/>
                <w:color w:val="auto"/>
                <w:sz w:val="21"/>
                <w:szCs w:val="21"/>
              </w:rPr>
              <w:t>（无量纲）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一级</w:t>
            </w:r>
          </w:p>
        </w:tc>
        <w:tc>
          <w:tcPr>
            <w:tcW w:w="1134" w:type="dxa"/>
            <w:vAlign w:val="center"/>
          </w:tcPr>
          <w:p>
            <w:pPr>
              <w:jc w:val="center"/>
              <w:rPr>
                <w:color w:val="auto"/>
                <w:sz w:val="21"/>
                <w:szCs w:val="21"/>
              </w:rPr>
            </w:pPr>
            <w:r>
              <w:rPr>
                <w:rFonts w:hint="eastAsia"/>
                <w:color w:val="auto"/>
                <w:sz w:val="21"/>
                <w:szCs w:val="21"/>
              </w:rPr>
              <w:t>直接排放</w:t>
            </w:r>
          </w:p>
        </w:tc>
        <w:tc>
          <w:tcPr>
            <w:tcW w:w="2835" w:type="dxa"/>
            <w:vAlign w:val="center"/>
          </w:tcPr>
          <w:p>
            <w:pPr>
              <w:jc w:val="center"/>
              <w:rPr>
                <w:color w:val="auto"/>
                <w:sz w:val="21"/>
                <w:szCs w:val="21"/>
              </w:rPr>
            </w:pPr>
            <w:r>
              <w:rPr>
                <w:rFonts w:hint="eastAsia"/>
                <w:color w:val="auto"/>
                <w:sz w:val="21"/>
                <w:szCs w:val="21"/>
              </w:rPr>
              <w:t>Q≥20000 或 W≥600000</w:t>
            </w:r>
          </w:p>
        </w:tc>
        <w:tc>
          <w:tcPr>
            <w:tcW w:w="709" w:type="dxa"/>
            <w:vMerge w:val="restart"/>
            <w:vAlign w:val="center"/>
          </w:tcPr>
          <w:p>
            <w:pPr>
              <w:jc w:val="center"/>
              <w:rPr>
                <w:color w:val="auto"/>
                <w:sz w:val="21"/>
                <w:szCs w:val="21"/>
              </w:rPr>
            </w:pPr>
            <w:r>
              <w:rPr>
                <w:rFonts w:hint="eastAsia"/>
                <w:color w:val="auto"/>
                <w:sz w:val="21"/>
                <w:szCs w:val="21"/>
              </w:rPr>
              <w:t>直接排放</w:t>
            </w:r>
          </w:p>
        </w:tc>
        <w:tc>
          <w:tcPr>
            <w:tcW w:w="3118" w:type="dxa"/>
            <w:vMerge w:val="restart"/>
            <w:vAlign w:val="center"/>
          </w:tcPr>
          <w:p>
            <w:pPr>
              <w:jc w:val="center"/>
              <w:rPr>
                <w:color w:val="auto"/>
                <w:sz w:val="21"/>
                <w:szCs w:val="21"/>
              </w:rPr>
            </w:pPr>
            <w:r>
              <w:rPr>
                <w:rFonts w:hint="eastAsia"/>
                <w:color w:val="auto"/>
                <w:sz w:val="21"/>
                <w:szCs w:val="21"/>
              </w:rPr>
              <w:t>200＜Q=5600＜20000</w:t>
            </w:r>
          </w:p>
          <w:p>
            <w:pPr>
              <w:jc w:val="center"/>
              <w:rPr>
                <w:color w:val="auto"/>
                <w:sz w:val="21"/>
                <w:szCs w:val="21"/>
              </w:rPr>
            </w:pPr>
            <w:r>
              <w:rPr>
                <w:rFonts w:hint="eastAsia"/>
                <w:color w:val="auto"/>
                <w:sz w:val="21"/>
                <w:szCs w:val="21"/>
              </w:rPr>
              <w:t>6000＜W</w:t>
            </w:r>
            <w:r>
              <w:rPr>
                <w:rFonts w:hint="eastAsia"/>
                <w:color w:val="auto"/>
                <w:sz w:val="21"/>
                <w:szCs w:val="21"/>
                <w:vertAlign w:val="subscript"/>
              </w:rPr>
              <w:t>MAX</w:t>
            </w:r>
            <w:r>
              <w:rPr>
                <w:rFonts w:hint="eastAsia"/>
                <w:color w:val="auto"/>
                <w:sz w:val="21"/>
                <w:szCs w:val="21"/>
              </w:rPr>
              <w:t>=61320＜600000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二级</w:t>
            </w:r>
          </w:p>
        </w:tc>
        <w:tc>
          <w:tcPr>
            <w:tcW w:w="1134" w:type="dxa"/>
            <w:vAlign w:val="center"/>
          </w:tcPr>
          <w:p>
            <w:pPr>
              <w:jc w:val="center"/>
              <w:rPr>
                <w:color w:val="auto"/>
                <w:sz w:val="21"/>
                <w:szCs w:val="21"/>
              </w:rPr>
            </w:pPr>
            <w:r>
              <w:rPr>
                <w:rFonts w:hint="eastAsia"/>
                <w:color w:val="auto"/>
                <w:sz w:val="21"/>
                <w:szCs w:val="21"/>
              </w:rPr>
              <w:t>直接排放</w:t>
            </w:r>
          </w:p>
        </w:tc>
        <w:tc>
          <w:tcPr>
            <w:tcW w:w="2835" w:type="dxa"/>
            <w:vAlign w:val="center"/>
          </w:tcPr>
          <w:p>
            <w:pPr>
              <w:jc w:val="center"/>
              <w:rPr>
                <w:color w:val="auto"/>
                <w:sz w:val="21"/>
                <w:szCs w:val="21"/>
              </w:rPr>
            </w:pPr>
            <w:r>
              <w:rPr>
                <w:rFonts w:hint="eastAsia"/>
                <w:color w:val="auto"/>
                <w:sz w:val="21"/>
                <w:szCs w:val="21"/>
              </w:rPr>
              <w:t>其他</w:t>
            </w:r>
          </w:p>
        </w:tc>
        <w:tc>
          <w:tcPr>
            <w:tcW w:w="709" w:type="dxa"/>
            <w:vMerge w:val="continue"/>
          </w:tcPr>
          <w:p>
            <w:pPr>
              <w:jc w:val="center"/>
              <w:rPr>
                <w:color w:val="auto"/>
                <w:sz w:val="21"/>
                <w:szCs w:val="21"/>
              </w:rPr>
            </w:pPr>
          </w:p>
        </w:tc>
        <w:tc>
          <w:tcPr>
            <w:tcW w:w="3118" w:type="dxa"/>
            <w:vMerge w:val="continue"/>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三级A</w:t>
            </w:r>
          </w:p>
        </w:tc>
        <w:tc>
          <w:tcPr>
            <w:tcW w:w="1134" w:type="dxa"/>
            <w:vAlign w:val="center"/>
          </w:tcPr>
          <w:p>
            <w:pPr>
              <w:jc w:val="center"/>
              <w:rPr>
                <w:color w:val="auto"/>
                <w:sz w:val="21"/>
                <w:szCs w:val="21"/>
              </w:rPr>
            </w:pPr>
            <w:r>
              <w:rPr>
                <w:rFonts w:hint="eastAsia"/>
                <w:color w:val="auto"/>
                <w:sz w:val="21"/>
                <w:szCs w:val="21"/>
              </w:rPr>
              <w:t>直接排放</w:t>
            </w:r>
          </w:p>
        </w:tc>
        <w:tc>
          <w:tcPr>
            <w:tcW w:w="2835" w:type="dxa"/>
            <w:vAlign w:val="center"/>
          </w:tcPr>
          <w:p>
            <w:pPr>
              <w:jc w:val="center"/>
              <w:rPr>
                <w:color w:val="auto"/>
                <w:sz w:val="21"/>
                <w:szCs w:val="21"/>
              </w:rPr>
            </w:pPr>
            <w:r>
              <w:rPr>
                <w:rFonts w:hint="eastAsia"/>
                <w:color w:val="auto"/>
                <w:sz w:val="21"/>
                <w:szCs w:val="21"/>
              </w:rPr>
              <w:t>Q＜200 且 W＜6000</w:t>
            </w:r>
          </w:p>
        </w:tc>
        <w:tc>
          <w:tcPr>
            <w:tcW w:w="709" w:type="dxa"/>
            <w:vMerge w:val="continue"/>
          </w:tcPr>
          <w:p>
            <w:pPr>
              <w:jc w:val="center"/>
              <w:rPr>
                <w:color w:val="auto"/>
                <w:sz w:val="21"/>
                <w:szCs w:val="21"/>
              </w:rPr>
            </w:pPr>
          </w:p>
        </w:tc>
        <w:tc>
          <w:tcPr>
            <w:tcW w:w="3118" w:type="dxa"/>
            <w:vMerge w:val="continue"/>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三级B</w:t>
            </w:r>
          </w:p>
        </w:tc>
        <w:tc>
          <w:tcPr>
            <w:tcW w:w="1134" w:type="dxa"/>
            <w:vAlign w:val="center"/>
          </w:tcPr>
          <w:p>
            <w:pPr>
              <w:jc w:val="center"/>
              <w:rPr>
                <w:color w:val="auto"/>
                <w:sz w:val="21"/>
                <w:szCs w:val="21"/>
              </w:rPr>
            </w:pPr>
            <w:r>
              <w:rPr>
                <w:rFonts w:hint="eastAsia"/>
                <w:color w:val="auto"/>
                <w:sz w:val="21"/>
                <w:szCs w:val="21"/>
              </w:rPr>
              <w:t>间接排放</w:t>
            </w:r>
          </w:p>
        </w:tc>
        <w:tc>
          <w:tcPr>
            <w:tcW w:w="2835" w:type="dxa"/>
            <w:vAlign w:val="center"/>
          </w:tcPr>
          <w:p>
            <w:pPr>
              <w:jc w:val="center"/>
              <w:rPr>
                <w:color w:val="auto"/>
                <w:sz w:val="21"/>
                <w:szCs w:val="21"/>
              </w:rPr>
            </w:pPr>
            <w:r>
              <w:rPr>
                <w:rFonts w:hint="eastAsia"/>
                <w:color w:val="auto"/>
                <w:sz w:val="21"/>
                <w:szCs w:val="21"/>
              </w:rPr>
              <w:t>——</w:t>
            </w:r>
          </w:p>
        </w:tc>
        <w:tc>
          <w:tcPr>
            <w:tcW w:w="709" w:type="dxa"/>
            <w:vMerge w:val="continue"/>
          </w:tcPr>
          <w:p>
            <w:pPr>
              <w:jc w:val="center"/>
              <w:rPr>
                <w:color w:val="auto"/>
                <w:sz w:val="21"/>
                <w:szCs w:val="21"/>
              </w:rPr>
            </w:pPr>
          </w:p>
        </w:tc>
        <w:tc>
          <w:tcPr>
            <w:tcW w:w="3118" w:type="dxa"/>
            <w:vMerge w:val="continue"/>
          </w:tcPr>
          <w:p>
            <w:pPr>
              <w:jc w:val="center"/>
              <w:rPr>
                <w:color w:val="auto"/>
                <w:sz w:val="21"/>
                <w:szCs w:val="21"/>
              </w:rPr>
            </w:pPr>
          </w:p>
        </w:tc>
      </w:tr>
    </w:tbl>
    <w:p>
      <w:pPr>
        <w:spacing w:line="360" w:lineRule="auto"/>
        <w:ind w:firstLine="480" w:firstLineChars="200"/>
        <w:jc w:val="left"/>
        <w:rPr>
          <w:color w:val="auto"/>
          <w:sz w:val="24"/>
          <w:szCs w:val="24"/>
        </w:rPr>
      </w:pPr>
      <w:r>
        <w:rPr>
          <w:rFonts w:hint="eastAsia"/>
          <w:color w:val="auto"/>
          <w:sz w:val="24"/>
          <w:szCs w:val="24"/>
        </w:rPr>
        <w:t>注：本项目不涉及第一类污染物，其他类污染物主要包括COD、BOD</w:t>
      </w:r>
      <w:r>
        <w:rPr>
          <w:rFonts w:hint="eastAsia"/>
          <w:color w:val="auto"/>
          <w:sz w:val="24"/>
          <w:szCs w:val="24"/>
          <w:vertAlign w:val="subscript"/>
        </w:rPr>
        <w:t>5</w:t>
      </w:r>
      <w:r>
        <w:rPr>
          <w:rFonts w:hint="eastAsia"/>
          <w:color w:val="auto"/>
          <w:sz w:val="24"/>
          <w:szCs w:val="24"/>
        </w:rPr>
        <w:t>、SS、HN</w:t>
      </w:r>
      <w:r>
        <w:rPr>
          <w:rFonts w:hint="eastAsia"/>
          <w:color w:val="auto"/>
          <w:sz w:val="24"/>
          <w:szCs w:val="24"/>
          <w:vertAlign w:val="subscript"/>
        </w:rPr>
        <w:t>3</w:t>
      </w:r>
      <w:r>
        <w:rPr>
          <w:rFonts w:hint="eastAsia"/>
          <w:color w:val="auto"/>
          <w:sz w:val="24"/>
          <w:szCs w:val="24"/>
        </w:rPr>
        <w:t>-N、TP。根据计算，各水污染物当量数为：W</w:t>
      </w:r>
      <w:r>
        <w:rPr>
          <w:rFonts w:hint="eastAsia"/>
          <w:color w:val="auto"/>
          <w:sz w:val="24"/>
          <w:szCs w:val="24"/>
          <w:vertAlign w:val="subscript"/>
        </w:rPr>
        <w:t>COD</w:t>
      </w:r>
      <w:r>
        <w:rPr>
          <w:rFonts w:hint="eastAsia"/>
          <w:color w:val="auto"/>
          <w:sz w:val="24"/>
          <w:szCs w:val="24"/>
        </w:rPr>
        <w:t>=61320、W</w:t>
      </w:r>
      <w:r>
        <w:rPr>
          <w:rFonts w:hint="eastAsia"/>
          <w:color w:val="auto"/>
          <w:sz w:val="24"/>
          <w:szCs w:val="24"/>
          <w:vertAlign w:val="subscript"/>
        </w:rPr>
        <w:t>BOD5</w:t>
      </w:r>
      <w:r>
        <w:rPr>
          <w:rFonts w:hint="eastAsia"/>
          <w:color w:val="auto"/>
          <w:sz w:val="24"/>
          <w:szCs w:val="24"/>
        </w:rPr>
        <w:t>=24528、W</w:t>
      </w:r>
      <w:r>
        <w:rPr>
          <w:rFonts w:hint="eastAsia"/>
          <w:color w:val="auto"/>
          <w:sz w:val="24"/>
          <w:szCs w:val="24"/>
          <w:vertAlign w:val="subscript"/>
        </w:rPr>
        <w:t>SS</w:t>
      </w:r>
      <w:r>
        <w:rPr>
          <w:rFonts w:hint="eastAsia"/>
          <w:color w:val="auto"/>
          <w:sz w:val="24"/>
          <w:szCs w:val="24"/>
        </w:rPr>
        <w:t>=5110、W</w:t>
      </w:r>
      <w:r>
        <w:rPr>
          <w:rFonts w:hint="eastAsia"/>
          <w:color w:val="auto"/>
          <w:sz w:val="24"/>
          <w:szCs w:val="24"/>
          <w:vertAlign w:val="subscript"/>
        </w:rPr>
        <w:t>HN3-N</w:t>
      </w:r>
      <w:r>
        <w:rPr>
          <w:rFonts w:hint="eastAsia"/>
          <w:color w:val="auto"/>
          <w:sz w:val="24"/>
          <w:szCs w:val="24"/>
        </w:rPr>
        <w:t>=3832.5、W</w:t>
      </w:r>
      <w:r>
        <w:rPr>
          <w:rFonts w:hint="eastAsia"/>
          <w:color w:val="auto"/>
          <w:sz w:val="24"/>
          <w:szCs w:val="24"/>
          <w:vertAlign w:val="subscript"/>
        </w:rPr>
        <w:t>TP</w:t>
      </w:r>
      <w:r>
        <w:rPr>
          <w:rFonts w:hint="eastAsia"/>
          <w:color w:val="auto"/>
          <w:sz w:val="24"/>
          <w:szCs w:val="24"/>
        </w:rPr>
        <w:t>=2452.8，则项目最大当量数为W</w:t>
      </w:r>
      <w:r>
        <w:rPr>
          <w:rFonts w:hint="eastAsia"/>
          <w:color w:val="auto"/>
          <w:sz w:val="24"/>
          <w:szCs w:val="24"/>
          <w:vertAlign w:val="subscript"/>
        </w:rPr>
        <w:t>COD</w:t>
      </w:r>
      <w:r>
        <w:rPr>
          <w:rFonts w:hint="eastAsia"/>
          <w:color w:val="auto"/>
          <w:sz w:val="24"/>
          <w:szCs w:val="24"/>
        </w:rPr>
        <w:t>=61320。</w:t>
      </w:r>
    </w:p>
    <w:p>
      <w:pPr>
        <w:spacing w:line="360" w:lineRule="auto"/>
        <w:ind w:firstLine="480" w:firstLineChars="200"/>
        <w:jc w:val="left"/>
        <w:rPr>
          <w:color w:val="auto"/>
          <w:sz w:val="24"/>
          <w:szCs w:val="24"/>
        </w:rPr>
      </w:pPr>
      <w:r>
        <w:rPr>
          <w:rFonts w:hint="eastAsia"/>
          <w:color w:val="auto"/>
          <w:sz w:val="24"/>
          <w:szCs w:val="24"/>
        </w:rPr>
        <w:t>本项目为水质净化建设项目，建成后尾水排放方式为直接排放，排放量为5600m</w:t>
      </w:r>
      <w:r>
        <w:rPr>
          <w:rFonts w:hint="eastAsia"/>
          <w:color w:val="auto"/>
          <w:sz w:val="24"/>
          <w:szCs w:val="24"/>
          <w:vertAlign w:val="superscript"/>
        </w:rPr>
        <w:t>3</w:t>
      </w:r>
      <w:r>
        <w:rPr>
          <w:rFonts w:hint="eastAsia"/>
          <w:color w:val="auto"/>
          <w:sz w:val="24"/>
          <w:szCs w:val="24"/>
        </w:rPr>
        <w:t>/d，最大水污染物当量数为61320，基本不会对受纳水体水文情势能及水文要素产生影响，主要对受纳水体水环境质量产生影响。因此，按照《环境影响评价技术导则 地表水环境》（HJ 2.3-2018）中的有关规定及上表数据，确定本项目地表水环境影响评价工作等级为水污染影响型二级评价。</w:t>
      </w:r>
    </w:p>
    <w:p>
      <w:pPr>
        <w:pStyle w:val="4"/>
        <w:rPr>
          <w:color w:val="auto"/>
        </w:rPr>
      </w:pPr>
      <w:bookmarkStart w:id="52" w:name="_Toc26276788"/>
      <w:r>
        <w:rPr>
          <w:rFonts w:hint="eastAsia"/>
          <w:color w:val="auto"/>
        </w:rPr>
        <w:t>2.7.3地下水环境评价等级划分</w:t>
      </w:r>
      <w:bookmarkEnd w:id="52"/>
    </w:p>
    <w:p>
      <w:pPr>
        <w:spacing w:line="360" w:lineRule="auto"/>
        <w:ind w:firstLine="480" w:firstLineChars="200"/>
        <w:rPr>
          <w:color w:val="auto"/>
          <w:sz w:val="24"/>
          <w:szCs w:val="24"/>
        </w:rPr>
      </w:pPr>
      <w:r>
        <w:rPr>
          <w:rFonts w:hint="eastAsia"/>
          <w:color w:val="auto"/>
          <w:sz w:val="24"/>
          <w:szCs w:val="24"/>
        </w:rPr>
        <w:t>根据《环境影响评价技术导则 地下水环境》（HJ610-2016），地下水评价工作等级判断依据见下表。</w:t>
      </w:r>
    </w:p>
    <w:p>
      <w:pPr>
        <w:spacing w:line="360" w:lineRule="auto"/>
        <w:ind w:firstLine="480" w:firstLineChars="200"/>
        <w:rPr>
          <w:color w:val="auto"/>
          <w:sz w:val="24"/>
          <w:szCs w:val="24"/>
        </w:rPr>
      </w:pPr>
    </w:p>
    <w:p>
      <w:pPr>
        <w:spacing w:line="360" w:lineRule="auto"/>
        <w:jc w:val="center"/>
        <w:rPr>
          <w:b/>
          <w:color w:val="auto"/>
          <w:sz w:val="24"/>
          <w:szCs w:val="24"/>
        </w:rPr>
      </w:pPr>
      <w:r>
        <w:rPr>
          <w:rFonts w:hint="eastAsia"/>
          <w:b/>
          <w:color w:val="auto"/>
          <w:sz w:val="24"/>
          <w:szCs w:val="24"/>
        </w:rPr>
        <w:t>表2-7-6   地下水等级分级表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l2br w:val="single" w:color="auto" w:sz="4" w:space="0"/>
            </w:tcBorders>
            <w:vAlign w:val="center"/>
          </w:tcPr>
          <w:p>
            <w:pPr>
              <w:jc w:val="center"/>
              <w:rPr>
                <w:b/>
                <w:color w:val="auto"/>
                <w:sz w:val="21"/>
                <w:szCs w:val="21"/>
              </w:rPr>
            </w:pPr>
            <w:r>
              <w:rPr>
                <w:rFonts w:hint="eastAsia"/>
                <w:b/>
                <w:color w:val="auto"/>
                <w:sz w:val="21"/>
                <w:szCs w:val="21"/>
              </w:rPr>
              <w:t>项目类别</w:t>
            </w:r>
          </w:p>
          <w:p>
            <w:pPr>
              <w:jc w:val="center"/>
              <w:rPr>
                <w:b/>
                <w:color w:val="auto"/>
                <w:sz w:val="21"/>
                <w:szCs w:val="21"/>
              </w:rPr>
            </w:pPr>
            <w:r>
              <w:rPr>
                <w:rFonts w:hint="eastAsia"/>
                <w:b/>
                <w:color w:val="auto"/>
                <w:sz w:val="21"/>
                <w:szCs w:val="21"/>
              </w:rPr>
              <w:t>环境敏感程度</w:t>
            </w:r>
          </w:p>
        </w:tc>
        <w:tc>
          <w:tcPr>
            <w:tcW w:w="2130" w:type="dxa"/>
            <w:vAlign w:val="center"/>
          </w:tcPr>
          <w:p>
            <w:pPr>
              <w:jc w:val="center"/>
              <w:rPr>
                <w:b/>
                <w:color w:val="auto"/>
                <w:sz w:val="21"/>
                <w:szCs w:val="22"/>
              </w:rPr>
            </w:pPr>
            <w:r>
              <w:rPr>
                <w:rFonts w:hint="eastAsia"/>
                <w:b/>
                <w:color w:val="auto"/>
                <w:sz w:val="21"/>
                <w:szCs w:val="22"/>
              </w:rPr>
              <w:t>Ⅰ类项目</w:t>
            </w:r>
          </w:p>
        </w:tc>
        <w:tc>
          <w:tcPr>
            <w:tcW w:w="2131" w:type="dxa"/>
            <w:vAlign w:val="center"/>
          </w:tcPr>
          <w:p>
            <w:pPr>
              <w:jc w:val="center"/>
              <w:rPr>
                <w:b/>
                <w:color w:val="auto"/>
                <w:sz w:val="21"/>
                <w:szCs w:val="22"/>
              </w:rPr>
            </w:pPr>
            <w:r>
              <w:rPr>
                <w:rFonts w:hint="eastAsia"/>
                <w:b/>
                <w:color w:val="auto"/>
                <w:sz w:val="21"/>
                <w:szCs w:val="22"/>
              </w:rPr>
              <w:t>Ⅱ类项目</w:t>
            </w:r>
          </w:p>
        </w:tc>
        <w:tc>
          <w:tcPr>
            <w:tcW w:w="2131" w:type="dxa"/>
            <w:vAlign w:val="center"/>
          </w:tcPr>
          <w:p>
            <w:pPr>
              <w:jc w:val="center"/>
              <w:rPr>
                <w:b/>
                <w:color w:val="auto"/>
                <w:sz w:val="21"/>
                <w:szCs w:val="22"/>
              </w:rPr>
            </w:pPr>
            <w:r>
              <w:rPr>
                <w:rFonts w:hint="eastAsia"/>
                <w:b/>
                <w:color w:val="auto"/>
                <w:sz w:val="21"/>
                <w:szCs w:val="22"/>
              </w:rPr>
              <w:t>Ⅲ类项目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jc w:val="center"/>
              <w:rPr>
                <w:color w:val="auto"/>
                <w:sz w:val="21"/>
                <w:szCs w:val="22"/>
              </w:rPr>
            </w:pPr>
            <w:r>
              <w:rPr>
                <w:rFonts w:hint="eastAsia"/>
                <w:color w:val="auto"/>
                <w:sz w:val="21"/>
                <w:szCs w:val="22"/>
              </w:rPr>
              <w:t>敏感</w:t>
            </w:r>
          </w:p>
        </w:tc>
        <w:tc>
          <w:tcPr>
            <w:tcW w:w="2130" w:type="dxa"/>
            <w:vAlign w:val="center"/>
          </w:tcPr>
          <w:p>
            <w:pPr>
              <w:jc w:val="center"/>
              <w:rPr>
                <w:color w:val="auto"/>
                <w:sz w:val="21"/>
                <w:szCs w:val="22"/>
              </w:rPr>
            </w:pPr>
            <w:r>
              <w:rPr>
                <w:rFonts w:hint="eastAsia"/>
                <w:color w:val="auto"/>
                <w:sz w:val="21"/>
                <w:szCs w:val="22"/>
              </w:rPr>
              <w:t>一</w:t>
            </w:r>
          </w:p>
        </w:tc>
        <w:tc>
          <w:tcPr>
            <w:tcW w:w="2131" w:type="dxa"/>
            <w:vAlign w:val="center"/>
          </w:tcPr>
          <w:p>
            <w:pPr>
              <w:jc w:val="center"/>
              <w:rPr>
                <w:color w:val="auto"/>
                <w:sz w:val="21"/>
                <w:szCs w:val="22"/>
              </w:rPr>
            </w:pPr>
            <w:r>
              <w:rPr>
                <w:rFonts w:hint="eastAsia"/>
                <w:color w:val="auto"/>
                <w:sz w:val="21"/>
                <w:szCs w:val="22"/>
              </w:rPr>
              <w:t>一</w:t>
            </w:r>
          </w:p>
        </w:tc>
        <w:tc>
          <w:tcPr>
            <w:tcW w:w="2131" w:type="dxa"/>
            <w:vAlign w:val="center"/>
          </w:tcPr>
          <w:p>
            <w:pPr>
              <w:jc w:val="center"/>
              <w:rPr>
                <w:color w:val="auto"/>
                <w:sz w:val="21"/>
                <w:szCs w:val="22"/>
              </w:rPr>
            </w:pPr>
            <w:r>
              <w:rPr>
                <w:rFonts w:hint="eastAsia"/>
                <w:color w:val="auto"/>
                <w:sz w:val="21"/>
                <w:szCs w:val="22"/>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jc w:val="center"/>
              <w:rPr>
                <w:color w:val="auto"/>
                <w:sz w:val="21"/>
                <w:szCs w:val="22"/>
              </w:rPr>
            </w:pPr>
            <w:r>
              <w:rPr>
                <w:rFonts w:hint="eastAsia"/>
                <w:color w:val="auto"/>
                <w:sz w:val="21"/>
                <w:szCs w:val="22"/>
              </w:rPr>
              <w:t>较敏感</w:t>
            </w:r>
          </w:p>
        </w:tc>
        <w:tc>
          <w:tcPr>
            <w:tcW w:w="2130" w:type="dxa"/>
            <w:vAlign w:val="center"/>
          </w:tcPr>
          <w:p>
            <w:pPr>
              <w:jc w:val="center"/>
              <w:rPr>
                <w:color w:val="auto"/>
                <w:sz w:val="21"/>
                <w:szCs w:val="22"/>
              </w:rPr>
            </w:pPr>
            <w:r>
              <w:rPr>
                <w:rFonts w:hint="eastAsia"/>
                <w:color w:val="auto"/>
                <w:sz w:val="21"/>
                <w:szCs w:val="22"/>
              </w:rPr>
              <w:t>一</w:t>
            </w:r>
          </w:p>
        </w:tc>
        <w:tc>
          <w:tcPr>
            <w:tcW w:w="2131" w:type="dxa"/>
            <w:vAlign w:val="center"/>
          </w:tcPr>
          <w:p>
            <w:pPr>
              <w:jc w:val="center"/>
              <w:rPr>
                <w:color w:val="auto"/>
                <w:sz w:val="21"/>
                <w:szCs w:val="22"/>
              </w:rPr>
            </w:pPr>
            <w:r>
              <w:rPr>
                <w:rFonts w:hint="eastAsia"/>
                <w:color w:val="auto"/>
                <w:sz w:val="21"/>
                <w:szCs w:val="22"/>
              </w:rPr>
              <w:t>二</w:t>
            </w:r>
          </w:p>
        </w:tc>
        <w:tc>
          <w:tcPr>
            <w:tcW w:w="2131" w:type="dxa"/>
            <w:vAlign w:val="center"/>
          </w:tcPr>
          <w:p>
            <w:pPr>
              <w:jc w:val="center"/>
              <w:rPr>
                <w:color w:val="auto"/>
                <w:sz w:val="21"/>
                <w:szCs w:val="22"/>
              </w:rPr>
            </w:pPr>
            <w:r>
              <w:rPr>
                <w:rFonts w:hint="eastAsia"/>
                <w:color w:val="auto"/>
                <w:sz w:val="21"/>
                <w:szCs w:val="22"/>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30" w:type="dxa"/>
            <w:vAlign w:val="center"/>
          </w:tcPr>
          <w:p>
            <w:pPr>
              <w:jc w:val="center"/>
              <w:rPr>
                <w:color w:val="auto"/>
                <w:sz w:val="21"/>
                <w:szCs w:val="22"/>
              </w:rPr>
            </w:pPr>
            <w:r>
              <w:rPr>
                <w:rFonts w:hint="eastAsia"/>
                <w:color w:val="auto"/>
                <w:sz w:val="21"/>
                <w:szCs w:val="22"/>
              </w:rPr>
              <w:t>不敏感</w:t>
            </w:r>
          </w:p>
        </w:tc>
        <w:tc>
          <w:tcPr>
            <w:tcW w:w="2130" w:type="dxa"/>
            <w:vAlign w:val="center"/>
          </w:tcPr>
          <w:p>
            <w:pPr>
              <w:jc w:val="center"/>
              <w:rPr>
                <w:color w:val="auto"/>
                <w:sz w:val="21"/>
                <w:szCs w:val="22"/>
              </w:rPr>
            </w:pPr>
            <w:r>
              <w:rPr>
                <w:rFonts w:hint="eastAsia"/>
                <w:color w:val="auto"/>
                <w:sz w:val="21"/>
                <w:szCs w:val="22"/>
              </w:rPr>
              <w:t>二</w:t>
            </w:r>
          </w:p>
        </w:tc>
        <w:tc>
          <w:tcPr>
            <w:tcW w:w="2131" w:type="dxa"/>
            <w:vAlign w:val="center"/>
          </w:tcPr>
          <w:p>
            <w:pPr>
              <w:jc w:val="center"/>
              <w:rPr>
                <w:color w:val="auto"/>
                <w:sz w:val="21"/>
                <w:szCs w:val="22"/>
              </w:rPr>
            </w:pPr>
            <w:r>
              <w:rPr>
                <w:rFonts w:hint="eastAsia"/>
                <w:color w:val="auto"/>
                <w:sz w:val="21"/>
                <w:szCs w:val="22"/>
              </w:rPr>
              <w:t>三</w:t>
            </w:r>
          </w:p>
        </w:tc>
        <w:tc>
          <w:tcPr>
            <w:tcW w:w="2131" w:type="dxa"/>
            <w:vAlign w:val="center"/>
          </w:tcPr>
          <w:p>
            <w:pPr>
              <w:jc w:val="center"/>
              <w:rPr>
                <w:color w:val="auto"/>
                <w:sz w:val="21"/>
                <w:szCs w:val="22"/>
              </w:rPr>
            </w:pPr>
            <w:r>
              <w:rPr>
                <w:rFonts w:hint="eastAsia"/>
                <w:color w:val="auto"/>
                <w:sz w:val="21"/>
                <w:szCs w:val="22"/>
              </w:rPr>
              <w:t>三</w:t>
            </w:r>
          </w:p>
        </w:tc>
      </w:tr>
    </w:tbl>
    <w:p>
      <w:pPr>
        <w:spacing w:line="360" w:lineRule="auto"/>
        <w:ind w:firstLine="480" w:firstLineChars="200"/>
        <w:jc w:val="left"/>
        <w:rPr>
          <w:color w:val="auto"/>
          <w:sz w:val="24"/>
          <w:szCs w:val="24"/>
        </w:rPr>
      </w:pPr>
      <w:r>
        <w:rPr>
          <w:rFonts w:hint="eastAsia"/>
          <w:color w:val="auto"/>
          <w:sz w:val="24"/>
          <w:szCs w:val="24"/>
        </w:rPr>
        <w:t>本项目属于《环境影响评价技术导则 地下水环境》（HJ610-2016）中地下水环境影响评价行业分类表“U 城镇基础设施及房地产145、工业废水集中处理”，地下水环境影响评价类别为I类。</w:t>
      </w:r>
    </w:p>
    <w:p>
      <w:pPr>
        <w:spacing w:line="360" w:lineRule="auto"/>
        <w:ind w:firstLine="480" w:firstLineChars="200"/>
        <w:jc w:val="left"/>
        <w:rPr>
          <w:color w:val="auto"/>
          <w:sz w:val="24"/>
          <w:szCs w:val="24"/>
        </w:rPr>
      </w:pPr>
      <w:r>
        <w:rPr>
          <w:rFonts w:hint="eastAsia"/>
          <w:color w:val="auto"/>
          <w:sz w:val="24"/>
          <w:szCs w:val="24"/>
        </w:rPr>
        <w:t>根据现场调查，本项目不涉及集中式饮用水源地及其它与地下水环境相关的保护区。同时，项目所在水文地质单元亦无分散居民地下水饮用水源。由此确定区内地下水环境敏感程度为“不敏感”。</w:t>
      </w:r>
    </w:p>
    <w:p>
      <w:pPr>
        <w:spacing w:line="360" w:lineRule="auto"/>
        <w:ind w:firstLine="480" w:firstLineChars="200"/>
        <w:jc w:val="left"/>
        <w:rPr>
          <w:color w:val="auto"/>
          <w:sz w:val="24"/>
          <w:szCs w:val="24"/>
        </w:rPr>
      </w:pPr>
      <w:r>
        <w:rPr>
          <w:rFonts w:hint="eastAsia"/>
          <w:color w:val="auto"/>
          <w:sz w:val="24"/>
          <w:szCs w:val="24"/>
        </w:rPr>
        <w:t>综上，本项目地下水环境影响评价工作等级确定为二级。</w:t>
      </w:r>
    </w:p>
    <w:p>
      <w:pPr>
        <w:pStyle w:val="4"/>
        <w:rPr>
          <w:color w:val="auto"/>
        </w:rPr>
      </w:pPr>
      <w:bookmarkStart w:id="53" w:name="_Toc26276789"/>
      <w:r>
        <w:rPr>
          <w:rFonts w:hint="eastAsia"/>
          <w:color w:val="auto"/>
        </w:rPr>
        <w:t>2.7.4声环境评价等级</w:t>
      </w:r>
      <w:bookmarkEnd w:id="53"/>
    </w:p>
    <w:p>
      <w:pPr>
        <w:spacing w:line="360" w:lineRule="auto"/>
        <w:ind w:firstLine="480" w:firstLineChars="200"/>
        <w:rPr>
          <w:color w:val="auto"/>
          <w:sz w:val="24"/>
          <w:szCs w:val="24"/>
        </w:rPr>
      </w:pPr>
      <w:r>
        <w:rPr>
          <w:rFonts w:hint="eastAsia"/>
          <w:color w:val="auto"/>
          <w:sz w:val="24"/>
          <w:szCs w:val="24"/>
        </w:rPr>
        <w:t>根据《环境影响评价技术导则 声环境》(HJ2.4-2009)相关规定，建设项目声环境影响评价工作等级划分依据如下：</w:t>
      </w:r>
    </w:p>
    <w:p>
      <w:pPr>
        <w:spacing w:line="360" w:lineRule="auto"/>
        <w:jc w:val="center"/>
        <w:rPr>
          <w:b/>
          <w:color w:val="auto"/>
          <w:sz w:val="24"/>
          <w:szCs w:val="24"/>
        </w:rPr>
      </w:pPr>
      <w:r>
        <w:rPr>
          <w:rFonts w:hint="eastAsia"/>
          <w:b/>
          <w:color w:val="auto"/>
          <w:sz w:val="24"/>
          <w:szCs w:val="24"/>
        </w:rPr>
        <w:t>表2-7-7   声环境影响评价工作等级划分依据</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268"/>
        <w:gridCol w:w="3022"/>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jc w:val="center"/>
              <w:rPr>
                <w:b/>
                <w:color w:val="auto"/>
                <w:sz w:val="21"/>
                <w:szCs w:val="21"/>
              </w:rPr>
            </w:pPr>
            <w:r>
              <w:rPr>
                <w:rFonts w:hint="eastAsia"/>
                <w:b/>
                <w:color w:val="auto"/>
                <w:sz w:val="21"/>
                <w:szCs w:val="21"/>
              </w:rPr>
              <w:t>评价等级</w:t>
            </w:r>
          </w:p>
        </w:tc>
        <w:tc>
          <w:tcPr>
            <w:tcW w:w="2268" w:type="dxa"/>
            <w:vAlign w:val="center"/>
          </w:tcPr>
          <w:p>
            <w:pPr>
              <w:jc w:val="center"/>
              <w:rPr>
                <w:b/>
                <w:color w:val="auto"/>
                <w:sz w:val="21"/>
                <w:szCs w:val="21"/>
              </w:rPr>
            </w:pPr>
            <w:r>
              <w:rPr>
                <w:rFonts w:hint="eastAsia"/>
                <w:b/>
                <w:color w:val="auto"/>
                <w:sz w:val="21"/>
                <w:szCs w:val="21"/>
              </w:rPr>
              <w:t>环境功能区划</w:t>
            </w:r>
          </w:p>
        </w:tc>
        <w:tc>
          <w:tcPr>
            <w:tcW w:w="3022" w:type="dxa"/>
            <w:vAlign w:val="center"/>
          </w:tcPr>
          <w:p>
            <w:pPr>
              <w:jc w:val="center"/>
              <w:rPr>
                <w:b/>
                <w:color w:val="auto"/>
                <w:sz w:val="21"/>
                <w:szCs w:val="21"/>
              </w:rPr>
            </w:pPr>
            <w:r>
              <w:rPr>
                <w:rFonts w:hint="eastAsia"/>
                <w:b/>
                <w:color w:val="auto"/>
                <w:sz w:val="21"/>
                <w:szCs w:val="21"/>
              </w:rPr>
              <w:t>噪声级增加量</w:t>
            </w:r>
          </w:p>
        </w:tc>
        <w:tc>
          <w:tcPr>
            <w:tcW w:w="2131" w:type="dxa"/>
            <w:vAlign w:val="center"/>
          </w:tcPr>
          <w:p>
            <w:pPr>
              <w:jc w:val="center"/>
              <w:rPr>
                <w:b/>
                <w:color w:val="auto"/>
                <w:sz w:val="21"/>
                <w:szCs w:val="21"/>
              </w:rPr>
            </w:pPr>
            <w:r>
              <w:rPr>
                <w:rFonts w:hint="eastAsia"/>
                <w:b/>
                <w:color w:val="auto"/>
                <w:sz w:val="21"/>
                <w:szCs w:val="21"/>
              </w:rPr>
              <w:t>受影响人口数量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jc w:val="center"/>
              <w:rPr>
                <w:color w:val="auto"/>
                <w:sz w:val="21"/>
                <w:szCs w:val="21"/>
              </w:rPr>
            </w:pPr>
            <w:r>
              <w:rPr>
                <w:rFonts w:hint="eastAsia"/>
                <w:color w:val="auto"/>
                <w:sz w:val="21"/>
                <w:szCs w:val="21"/>
              </w:rPr>
              <w:t>一级</w:t>
            </w:r>
          </w:p>
        </w:tc>
        <w:tc>
          <w:tcPr>
            <w:tcW w:w="2268" w:type="dxa"/>
            <w:vAlign w:val="center"/>
          </w:tcPr>
          <w:p>
            <w:pPr>
              <w:jc w:val="center"/>
              <w:rPr>
                <w:color w:val="auto"/>
                <w:sz w:val="21"/>
                <w:szCs w:val="21"/>
              </w:rPr>
            </w:pPr>
            <w:r>
              <w:rPr>
                <w:rFonts w:hint="eastAsia"/>
                <w:color w:val="auto"/>
                <w:sz w:val="21"/>
                <w:szCs w:val="21"/>
              </w:rPr>
              <w:t>GB3096规定的0类声功能区，以及对噪声有特别限制要求的保护区等敏感目标</w:t>
            </w:r>
          </w:p>
        </w:tc>
        <w:tc>
          <w:tcPr>
            <w:tcW w:w="3022" w:type="dxa"/>
            <w:vAlign w:val="center"/>
          </w:tcPr>
          <w:p>
            <w:pPr>
              <w:jc w:val="center"/>
              <w:rPr>
                <w:color w:val="auto"/>
                <w:sz w:val="21"/>
                <w:szCs w:val="21"/>
              </w:rPr>
            </w:pPr>
            <w:r>
              <w:rPr>
                <w:rFonts w:hint="eastAsia"/>
                <w:color w:val="auto"/>
                <w:sz w:val="21"/>
                <w:szCs w:val="21"/>
              </w:rPr>
              <w:t>或项目建设前后评价范围内敏感目标噪声级增高量达5dB(A)以上（不含5dB(A)）</w:t>
            </w:r>
          </w:p>
        </w:tc>
        <w:tc>
          <w:tcPr>
            <w:tcW w:w="2131" w:type="dxa"/>
            <w:vAlign w:val="center"/>
          </w:tcPr>
          <w:p>
            <w:pPr>
              <w:jc w:val="center"/>
              <w:rPr>
                <w:color w:val="auto"/>
                <w:sz w:val="21"/>
                <w:szCs w:val="21"/>
              </w:rPr>
            </w:pPr>
            <w:r>
              <w:rPr>
                <w:rFonts w:hint="eastAsia"/>
                <w:color w:val="auto"/>
                <w:sz w:val="21"/>
                <w:szCs w:val="21"/>
              </w:rPr>
              <w:t>或项目建设前后受影响人口数量显著增多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jc w:val="center"/>
              <w:rPr>
                <w:color w:val="auto"/>
                <w:sz w:val="21"/>
                <w:szCs w:val="21"/>
              </w:rPr>
            </w:pPr>
            <w:r>
              <w:rPr>
                <w:rFonts w:hint="eastAsia"/>
                <w:color w:val="auto"/>
                <w:sz w:val="21"/>
                <w:szCs w:val="21"/>
              </w:rPr>
              <w:t>二级</w:t>
            </w:r>
          </w:p>
        </w:tc>
        <w:tc>
          <w:tcPr>
            <w:tcW w:w="2268" w:type="dxa"/>
            <w:vAlign w:val="center"/>
          </w:tcPr>
          <w:p>
            <w:pPr>
              <w:jc w:val="center"/>
              <w:rPr>
                <w:color w:val="auto"/>
                <w:sz w:val="21"/>
                <w:szCs w:val="21"/>
              </w:rPr>
            </w:pPr>
            <w:r>
              <w:rPr>
                <w:rFonts w:hint="eastAsia"/>
                <w:color w:val="auto"/>
                <w:sz w:val="21"/>
                <w:szCs w:val="21"/>
              </w:rPr>
              <w:t>GB3096规定的1类、2类声功能区</w:t>
            </w:r>
          </w:p>
        </w:tc>
        <w:tc>
          <w:tcPr>
            <w:tcW w:w="3022" w:type="dxa"/>
            <w:vAlign w:val="center"/>
          </w:tcPr>
          <w:p>
            <w:pPr>
              <w:jc w:val="center"/>
              <w:rPr>
                <w:color w:val="auto"/>
                <w:sz w:val="21"/>
                <w:szCs w:val="21"/>
              </w:rPr>
            </w:pPr>
            <w:r>
              <w:rPr>
                <w:rFonts w:hint="eastAsia"/>
                <w:color w:val="auto"/>
                <w:sz w:val="21"/>
                <w:szCs w:val="21"/>
              </w:rPr>
              <w:t>或项目建设前后评价范围内敏感目标噪声级增高量达3～5dB(A)（含5dB(A)）</w:t>
            </w:r>
          </w:p>
        </w:tc>
        <w:tc>
          <w:tcPr>
            <w:tcW w:w="2131" w:type="dxa"/>
            <w:vAlign w:val="center"/>
          </w:tcPr>
          <w:p>
            <w:pPr>
              <w:jc w:val="center"/>
              <w:rPr>
                <w:color w:val="auto"/>
                <w:sz w:val="21"/>
                <w:szCs w:val="21"/>
              </w:rPr>
            </w:pPr>
            <w:r>
              <w:rPr>
                <w:rFonts w:hint="eastAsia"/>
                <w:color w:val="auto"/>
                <w:sz w:val="21"/>
                <w:szCs w:val="21"/>
              </w:rPr>
              <w:t>或项目建设前后受影响人口数量增加较多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jc w:val="center"/>
              <w:rPr>
                <w:color w:val="auto"/>
                <w:sz w:val="21"/>
                <w:szCs w:val="21"/>
              </w:rPr>
            </w:pPr>
            <w:r>
              <w:rPr>
                <w:rFonts w:hint="eastAsia"/>
                <w:color w:val="auto"/>
                <w:sz w:val="21"/>
                <w:szCs w:val="21"/>
              </w:rPr>
              <w:t>三级</w:t>
            </w:r>
          </w:p>
        </w:tc>
        <w:tc>
          <w:tcPr>
            <w:tcW w:w="2268" w:type="dxa"/>
            <w:vAlign w:val="center"/>
          </w:tcPr>
          <w:p>
            <w:pPr>
              <w:jc w:val="center"/>
              <w:rPr>
                <w:color w:val="auto"/>
                <w:sz w:val="21"/>
                <w:szCs w:val="21"/>
              </w:rPr>
            </w:pPr>
            <w:r>
              <w:rPr>
                <w:rFonts w:hint="eastAsia"/>
                <w:color w:val="auto"/>
                <w:sz w:val="21"/>
                <w:szCs w:val="21"/>
              </w:rPr>
              <w:t>GB3096规定的3类、4类声功能区</w:t>
            </w:r>
          </w:p>
        </w:tc>
        <w:tc>
          <w:tcPr>
            <w:tcW w:w="3022" w:type="dxa"/>
            <w:vAlign w:val="center"/>
          </w:tcPr>
          <w:p>
            <w:pPr>
              <w:jc w:val="center"/>
              <w:rPr>
                <w:color w:val="auto"/>
                <w:sz w:val="21"/>
                <w:szCs w:val="21"/>
              </w:rPr>
            </w:pPr>
            <w:r>
              <w:rPr>
                <w:rFonts w:hint="eastAsia"/>
                <w:color w:val="auto"/>
                <w:sz w:val="21"/>
                <w:szCs w:val="21"/>
              </w:rPr>
              <w:t>或项目建设前后评价范围内敏感目标噪声级增高量达3dB(A)以下（不含3dB(A)）</w:t>
            </w:r>
          </w:p>
        </w:tc>
        <w:tc>
          <w:tcPr>
            <w:tcW w:w="2131" w:type="dxa"/>
            <w:vAlign w:val="center"/>
          </w:tcPr>
          <w:p>
            <w:pPr>
              <w:jc w:val="center"/>
              <w:rPr>
                <w:color w:val="auto"/>
                <w:sz w:val="21"/>
                <w:szCs w:val="21"/>
              </w:rPr>
            </w:pPr>
            <w:r>
              <w:rPr>
                <w:rFonts w:hint="eastAsia"/>
                <w:color w:val="auto"/>
                <w:sz w:val="21"/>
                <w:szCs w:val="21"/>
              </w:rPr>
              <w:t>或项目建设前后受影响人口数量变化不大</w:t>
            </w:r>
          </w:p>
        </w:tc>
      </w:tr>
    </w:tbl>
    <w:p>
      <w:pPr>
        <w:spacing w:line="360" w:lineRule="auto"/>
        <w:ind w:firstLine="480" w:firstLineChars="200"/>
        <w:jc w:val="left"/>
        <w:rPr>
          <w:color w:val="auto"/>
          <w:sz w:val="24"/>
          <w:szCs w:val="24"/>
        </w:rPr>
      </w:pPr>
      <w:r>
        <w:rPr>
          <w:rFonts w:hint="eastAsia"/>
          <w:color w:val="auto"/>
          <w:sz w:val="24"/>
          <w:szCs w:val="24"/>
        </w:rPr>
        <w:t>本项目所处地区声环境功能属《声环境质量标准》(GB3096-2008)中规定的2类区；产噪设备经采取降噪隔音措施后，周边区域环境敏感点噪声增加值低于3dB(A)；项目建设前后，受影响人口数量变化不大。因此，本项目声环境影响评价等级为二级。</w:t>
      </w:r>
    </w:p>
    <w:p>
      <w:pPr>
        <w:pStyle w:val="4"/>
        <w:rPr>
          <w:color w:val="auto"/>
        </w:rPr>
      </w:pPr>
      <w:bookmarkStart w:id="54" w:name="_Toc26276790"/>
      <w:r>
        <w:rPr>
          <w:rFonts w:hint="eastAsia"/>
          <w:color w:val="auto"/>
        </w:rPr>
        <w:t>2.7.5生态评价等级</w:t>
      </w:r>
      <w:bookmarkEnd w:id="54"/>
    </w:p>
    <w:p>
      <w:pPr>
        <w:spacing w:line="360" w:lineRule="auto"/>
        <w:ind w:firstLine="480" w:firstLineChars="200"/>
        <w:rPr>
          <w:color w:val="auto"/>
          <w:sz w:val="24"/>
          <w:szCs w:val="24"/>
        </w:rPr>
      </w:pPr>
      <w:r>
        <w:rPr>
          <w:rFonts w:hint="eastAsia"/>
          <w:color w:val="auto"/>
          <w:sz w:val="24"/>
          <w:szCs w:val="24"/>
        </w:rPr>
        <w:t>根据影响区域的生态敏感性和评价项目的工程占地，划分评价等级。根据《环境影响评价技术导则 生态影响》（HJ19-2011），生态影响评价工作等级划分标准见下表。</w:t>
      </w:r>
    </w:p>
    <w:p>
      <w:pPr>
        <w:spacing w:line="360" w:lineRule="auto"/>
        <w:jc w:val="center"/>
        <w:rPr>
          <w:b/>
          <w:color w:val="auto"/>
          <w:sz w:val="24"/>
          <w:szCs w:val="24"/>
        </w:rPr>
      </w:pPr>
      <w:r>
        <w:rPr>
          <w:rFonts w:hint="eastAsia"/>
          <w:b/>
          <w:color w:val="auto"/>
          <w:sz w:val="24"/>
          <w:szCs w:val="24"/>
        </w:rPr>
        <w:t>表2-7-8    生态影响评价工作等级划分</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1843"/>
        <w:gridCol w:w="2268"/>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tl2br w:val="single" w:color="auto" w:sz="4" w:space="0"/>
            </w:tcBorders>
            <w:vAlign w:val="center"/>
          </w:tcPr>
          <w:p>
            <w:pPr>
              <w:jc w:val="center"/>
              <w:rPr>
                <w:b/>
                <w:color w:val="auto"/>
                <w:sz w:val="21"/>
                <w:szCs w:val="21"/>
              </w:rPr>
            </w:pPr>
            <w:r>
              <w:rPr>
                <w:rFonts w:hint="eastAsia"/>
                <w:b/>
                <w:color w:val="auto"/>
                <w:sz w:val="21"/>
                <w:szCs w:val="21"/>
              </w:rPr>
              <w:t>工程占地（含水域）范围</w:t>
            </w:r>
          </w:p>
          <w:p>
            <w:pPr>
              <w:jc w:val="center"/>
              <w:rPr>
                <w:b/>
                <w:color w:val="auto"/>
                <w:sz w:val="21"/>
                <w:szCs w:val="21"/>
              </w:rPr>
            </w:pPr>
            <w:r>
              <w:rPr>
                <w:rFonts w:hint="eastAsia"/>
                <w:b/>
                <w:color w:val="auto"/>
                <w:sz w:val="21"/>
                <w:szCs w:val="21"/>
              </w:rPr>
              <w:t>影响区域生态敏感性</w:t>
            </w:r>
          </w:p>
        </w:tc>
        <w:tc>
          <w:tcPr>
            <w:tcW w:w="1843" w:type="dxa"/>
            <w:vAlign w:val="center"/>
          </w:tcPr>
          <w:p>
            <w:pPr>
              <w:jc w:val="center"/>
              <w:rPr>
                <w:b/>
                <w:color w:val="auto"/>
                <w:sz w:val="21"/>
                <w:szCs w:val="21"/>
                <w:vertAlign w:val="superscript"/>
              </w:rPr>
            </w:pPr>
            <w:r>
              <w:rPr>
                <w:rFonts w:hint="eastAsia"/>
                <w:b/>
                <w:color w:val="auto"/>
                <w:sz w:val="21"/>
                <w:szCs w:val="21"/>
              </w:rPr>
              <w:t>面积≥20km</w:t>
            </w:r>
            <w:r>
              <w:rPr>
                <w:rFonts w:hint="eastAsia"/>
                <w:b/>
                <w:color w:val="auto"/>
                <w:sz w:val="21"/>
                <w:szCs w:val="21"/>
                <w:vertAlign w:val="superscript"/>
              </w:rPr>
              <w:t>2</w:t>
            </w:r>
          </w:p>
          <w:p>
            <w:pPr>
              <w:jc w:val="center"/>
              <w:rPr>
                <w:b/>
                <w:color w:val="auto"/>
                <w:sz w:val="21"/>
                <w:szCs w:val="22"/>
              </w:rPr>
            </w:pPr>
            <w:r>
              <w:rPr>
                <w:rFonts w:hint="eastAsia"/>
                <w:b/>
                <w:color w:val="auto"/>
                <w:sz w:val="21"/>
                <w:szCs w:val="21"/>
              </w:rPr>
              <w:t>或长度≥100km</w:t>
            </w:r>
          </w:p>
        </w:tc>
        <w:tc>
          <w:tcPr>
            <w:tcW w:w="2268" w:type="dxa"/>
            <w:vAlign w:val="center"/>
          </w:tcPr>
          <w:p>
            <w:pPr>
              <w:jc w:val="center"/>
              <w:rPr>
                <w:b/>
                <w:color w:val="auto"/>
                <w:sz w:val="21"/>
                <w:szCs w:val="21"/>
                <w:vertAlign w:val="superscript"/>
              </w:rPr>
            </w:pPr>
            <w:r>
              <w:rPr>
                <w:rFonts w:hint="eastAsia"/>
                <w:b/>
                <w:color w:val="auto"/>
                <w:sz w:val="21"/>
                <w:szCs w:val="21"/>
              </w:rPr>
              <w:t>面积2-20km</w:t>
            </w:r>
            <w:r>
              <w:rPr>
                <w:rFonts w:hint="eastAsia"/>
                <w:b/>
                <w:color w:val="auto"/>
                <w:sz w:val="21"/>
                <w:szCs w:val="21"/>
                <w:vertAlign w:val="superscript"/>
              </w:rPr>
              <w:t>2</w:t>
            </w:r>
          </w:p>
          <w:p>
            <w:pPr>
              <w:jc w:val="center"/>
              <w:rPr>
                <w:b/>
                <w:color w:val="auto"/>
                <w:sz w:val="21"/>
                <w:szCs w:val="22"/>
              </w:rPr>
            </w:pPr>
            <w:r>
              <w:rPr>
                <w:rFonts w:hint="eastAsia"/>
                <w:b/>
                <w:color w:val="auto"/>
                <w:sz w:val="21"/>
                <w:szCs w:val="21"/>
              </w:rPr>
              <w:t>或长度50-100km</w:t>
            </w:r>
          </w:p>
        </w:tc>
        <w:tc>
          <w:tcPr>
            <w:tcW w:w="1751" w:type="dxa"/>
            <w:vAlign w:val="center"/>
          </w:tcPr>
          <w:p>
            <w:pPr>
              <w:jc w:val="center"/>
              <w:rPr>
                <w:b/>
                <w:color w:val="auto"/>
                <w:sz w:val="21"/>
                <w:szCs w:val="21"/>
                <w:vertAlign w:val="superscript"/>
              </w:rPr>
            </w:pPr>
            <w:r>
              <w:rPr>
                <w:rFonts w:hint="eastAsia"/>
                <w:b/>
                <w:color w:val="auto"/>
                <w:sz w:val="21"/>
                <w:szCs w:val="21"/>
              </w:rPr>
              <w:t>面积≤2km</w:t>
            </w:r>
            <w:r>
              <w:rPr>
                <w:rFonts w:hint="eastAsia"/>
                <w:b/>
                <w:color w:val="auto"/>
                <w:sz w:val="21"/>
                <w:szCs w:val="21"/>
                <w:vertAlign w:val="superscript"/>
              </w:rPr>
              <w:t>2</w:t>
            </w:r>
          </w:p>
          <w:p>
            <w:pPr>
              <w:jc w:val="center"/>
              <w:rPr>
                <w:b/>
                <w:color w:val="auto"/>
                <w:sz w:val="21"/>
                <w:szCs w:val="22"/>
              </w:rPr>
            </w:pPr>
            <w:r>
              <w:rPr>
                <w:rFonts w:hint="eastAsia"/>
                <w:b/>
                <w:color w:val="auto"/>
                <w:sz w:val="21"/>
                <w:szCs w:val="21"/>
              </w:rPr>
              <w:t>或长度≤50km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jc w:val="center"/>
              <w:rPr>
                <w:color w:val="auto"/>
                <w:sz w:val="21"/>
                <w:szCs w:val="22"/>
              </w:rPr>
            </w:pPr>
            <w:r>
              <w:rPr>
                <w:rFonts w:hint="eastAsia"/>
                <w:color w:val="auto"/>
                <w:sz w:val="21"/>
                <w:szCs w:val="22"/>
              </w:rPr>
              <w:t>特殊生态敏感区</w:t>
            </w:r>
          </w:p>
        </w:tc>
        <w:tc>
          <w:tcPr>
            <w:tcW w:w="1843" w:type="dxa"/>
            <w:vAlign w:val="center"/>
          </w:tcPr>
          <w:p>
            <w:pPr>
              <w:jc w:val="center"/>
              <w:rPr>
                <w:color w:val="auto"/>
                <w:sz w:val="21"/>
                <w:szCs w:val="22"/>
              </w:rPr>
            </w:pPr>
            <w:r>
              <w:rPr>
                <w:rFonts w:hint="eastAsia"/>
                <w:color w:val="auto"/>
                <w:sz w:val="21"/>
                <w:szCs w:val="22"/>
              </w:rPr>
              <w:t>一级</w:t>
            </w:r>
          </w:p>
        </w:tc>
        <w:tc>
          <w:tcPr>
            <w:tcW w:w="2268" w:type="dxa"/>
            <w:vAlign w:val="center"/>
          </w:tcPr>
          <w:p>
            <w:pPr>
              <w:jc w:val="center"/>
              <w:rPr>
                <w:color w:val="auto"/>
                <w:sz w:val="21"/>
                <w:szCs w:val="22"/>
              </w:rPr>
            </w:pPr>
            <w:r>
              <w:rPr>
                <w:rFonts w:hint="eastAsia"/>
                <w:color w:val="auto"/>
                <w:sz w:val="21"/>
                <w:szCs w:val="22"/>
              </w:rPr>
              <w:t>一级</w:t>
            </w:r>
          </w:p>
        </w:tc>
        <w:tc>
          <w:tcPr>
            <w:tcW w:w="1751" w:type="dxa"/>
            <w:vAlign w:val="center"/>
          </w:tcPr>
          <w:p>
            <w:pPr>
              <w:jc w:val="center"/>
              <w:rPr>
                <w:color w:val="auto"/>
                <w:sz w:val="21"/>
                <w:szCs w:val="22"/>
              </w:rPr>
            </w:pPr>
            <w:r>
              <w:rPr>
                <w:rFonts w:hint="eastAsia"/>
                <w:color w:val="auto"/>
                <w:sz w:val="21"/>
                <w:szCs w:val="22"/>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jc w:val="center"/>
              <w:rPr>
                <w:color w:val="auto"/>
                <w:sz w:val="21"/>
                <w:szCs w:val="22"/>
              </w:rPr>
            </w:pPr>
            <w:r>
              <w:rPr>
                <w:rFonts w:hint="eastAsia"/>
                <w:color w:val="auto"/>
                <w:sz w:val="21"/>
                <w:szCs w:val="22"/>
              </w:rPr>
              <w:t>重要生态敏感区</w:t>
            </w:r>
          </w:p>
        </w:tc>
        <w:tc>
          <w:tcPr>
            <w:tcW w:w="1843" w:type="dxa"/>
            <w:vAlign w:val="center"/>
          </w:tcPr>
          <w:p>
            <w:pPr>
              <w:jc w:val="center"/>
              <w:rPr>
                <w:color w:val="auto"/>
                <w:sz w:val="21"/>
                <w:szCs w:val="22"/>
              </w:rPr>
            </w:pPr>
            <w:r>
              <w:rPr>
                <w:rFonts w:hint="eastAsia"/>
                <w:color w:val="auto"/>
                <w:sz w:val="21"/>
                <w:szCs w:val="22"/>
              </w:rPr>
              <w:t>一级</w:t>
            </w:r>
          </w:p>
        </w:tc>
        <w:tc>
          <w:tcPr>
            <w:tcW w:w="2268" w:type="dxa"/>
            <w:vAlign w:val="center"/>
          </w:tcPr>
          <w:p>
            <w:pPr>
              <w:jc w:val="center"/>
              <w:rPr>
                <w:color w:val="auto"/>
                <w:sz w:val="21"/>
                <w:szCs w:val="22"/>
              </w:rPr>
            </w:pPr>
            <w:r>
              <w:rPr>
                <w:rFonts w:hint="eastAsia"/>
                <w:color w:val="auto"/>
                <w:sz w:val="21"/>
                <w:szCs w:val="22"/>
              </w:rPr>
              <w:t>二级</w:t>
            </w:r>
          </w:p>
        </w:tc>
        <w:tc>
          <w:tcPr>
            <w:tcW w:w="1751" w:type="dxa"/>
            <w:vAlign w:val="center"/>
          </w:tcPr>
          <w:p>
            <w:pPr>
              <w:jc w:val="center"/>
              <w:rPr>
                <w:color w:val="auto"/>
                <w:sz w:val="21"/>
                <w:szCs w:val="22"/>
              </w:rPr>
            </w:pPr>
            <w:r>
              <w:rPr>
                <w:rFonts w:hint="eastAsia"/>
                <w:color w:val="auto"/>
                <w:sz w:val="21"/>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jc w:val="center"/>
              <w:rPr>
                <w:color w:val="auto"/>
                <w:sz w:val="21"/>
                <w:szCs w:val="22"/>
              </w:rPr>
            </w:pPr>
            <w:r>
              <w:rPr>
                <w:rFonts w:hint="eastAsia"/>
                <w:color w:val="auto"/>
                <w:sz w:val="21"/>
                <w:szCs w:val="22"/>
              </w:rPr>
              <w:t>一般区域</w:t>
            </w:r>
          </w:p>
        </w:tc>
        <w:tc>
          <w:tcPr>
            <w:tcW w:w="1843" w:type="dxa"/>
            <w:vAlign w:val="center"/>
          </w:tcPr>
          <w:p>
            <w:pPr>
              <w:jc w:val="center"/>
              <w:rPr>
                <w:color w:val="auto"/>
                <w:sz w:val="21"/>
                <w:szCs w:val="22"/>
              </w:rPr>
            </w:pPr>
            <w:r>
              <w:rPr>
                <w:rFonts w:hint="eastAsia"/>
                <w:color w:val="auto"/>
                <w:sz w:val="21"/>
                <w:szCs w:val="22"/>
              </w:rPr>
              <w:t>二级</w:t>
            </w:r>
          </w:p>
        </w:tc>
        <w:tc>
          <w:tcPr>
            <w:tcW w:w="2268" w:type="dxa"/>
            <w:vAlign w:val="center"/>
          </w:tcPr>
          <w:p>
            <w:pPr>
              <w:jc w:val="center"/>
              <w:rPr>
                <w:color w:val="auto"/>
                <w:sz w:val="21"/>
                <w:szCs w:val="22"/>
              </w:rPr>
            </w:pPr>
            <w:r>
              <w:rPr>
                <w:rFonts w:hint="eastAsia"/>
                <w:color w:val="auto"/>
                <w:sz w:val="21"/>
                <w:szCs w:val="22"/>
              </w:rPr>
              <w:t>三级</w:t>
            </w:r>
          </w:p>
        </w:tc>
        <w:tc>
          <w:tcPr>
            <w:tcW w:w="1751" w:type="dxa"/>
            <w:vAlign w:val="center"/>
          </w:tcPr>
          <w:p>
            <w:pPr>
              <w:jc w:val="center"/>
              <w:rPr>
                <w:color w:val="auto"/>
                <w:sz w:val="21"/>
                <w:szCs w:val="22"/>
              </w:rPr>
            </w:pPr>
            <w:r>
              <w:rPr>
                <w:rFonts w:hint="eastAsia"/>
                <w:color w:val="auto"/>
                <w:sz w:val="21"/>
                <w:szCs w:val="22"/>
              </w:rPr>
              <w:t>三级</w:t>
            </w:r>
          </w:p>
        </w:tc>
      </w:tr>
    </w:tbl>
    <w:p>
      <w:pPr>
        <w:spacing w:line="360" w:lineRule="auto"/>
        <w:ind w:firstLine="480" w:firstLineChars="200"/>
        <w:jc w:val="left"/>
        <w:rPr>
          <w:color w:val="auto"/>
          <w:sz w:val="24"/>
          <w:szCs w:val="24"/>
        </w:rPr>
      </w:pPr>
      <w:r>
        <w:rPr>
          <w:rFonts w:hint="eastAsia"/>
          <w:color w:val="auto"/>
          <w:sz w:val="24"/>
          <w:szCs w:val="24"/>
        </w:rPr>
        <w:t>本项目占地面积约3.12hm</w:t>
      </w:r>
      <w:r>
        <w:rPr>
          <w:rFonts w:hint="eastAsia"/>
          <w:color w:val="auto"/>
          <w:sz w:val="24"/>
          <w:szCs w:val="24"/>
          <w:vertAlign w:val="superscript"/>
        </w:rPr>
        <w:t>2</w:t>
      </w:r>
      <w:r>
        <w:rPr>
          <w:rFonts w:hint="eastAsia"/>
          <w:color w:val="auto"/>
          <w:sz w:val="24"/>
          <w:szCs w:val="24"/>
        </w:rPr>
        <w:t>，根据现场踏勘，项目所在区域内无保护和珍稀陆生动植物，也不涉及陆域生态环境敏感区。所在区域的生物群落中生物量减少小于50%，生物多样性变化不明显，且不涉及特殊生态脆弱区及重要生态敏感区，属于一般区域。根据《环境影响评价技术导则 生态影响》（HJ 19-2011），本项目生态环境评价等级为三级评价。</w:t>
      </w:r>
    </w:p>
    <w:p>
      <w:pPr>
        <w:pStyle w:val="4"/>
        <w:ind w:firstLine="400"/>
        <w:rPr>
          <w:color w:val="auto"/>
        </w:rPr>
      </w:pPr>
      <w:r>
        <w:rPr>
          <w:rFonts w:hint="eastAsia"/>
          <w:color w:val="auto"/>
        </w:rPr>
        <w:t>2.7.6土壤环境评价等级</w:t>
      </w:r>
    </w:p>
    <w:p>
      <w:pPr>
        <w:spacing w:line="360" w:lineRule="auto"/>
        <w:ind w:firstLine="480" w:firstLineChars="200"/>
        <w:rPr>
          <w:rFonts w:hint="eastAsia"/>
          <w:color w:val="auto"/>
          <w:kern w:val="0"/>
          <w:sz w:val="24"/>
          <w:szCs w:val="24"/>
        </w:rPr>
      </w:pPr>
      <w:r>
        <w:rPr>
          <w:rFonts w:hint="eastAsia"/>
          <w:color w:val="auto"/>
          <w:sz w:val="24"/>
          <w:szCs w:val="24"/>
        </w:rPr>
        <w:t>本项目属水质净化厂新建项目，</w:t>
      </w:r>
      <w:r>
        <w:rPr>
          <w:rFonts w:hint="eastAsia"/>
          <w:color w:val="auto"/>
          <w:kern w:val="0"/>
          <w:sz w:val="24"/>
          <w:szCs w:val="24"/>
        </w:rPr>
        <w:t>由《环境影响评价技术导则 土壤环境（试行）》（HJ964-2018）附录A土壤环境影响评价项目类别可知，项目属于“电力热力燃气及水生产和供应业”中“工业废水处理”类别，归为Ⅱ类项目。根据建设项目土壤环境影响类型与影响途径识别，本项目对土壤环境的影响类型属于污染影响型，识别情况详见下表。</w:t>
      </w:r>
    </w:p>
    <w:p>
      <w:pPr>
        <w:spacing w:line="360" w:lineRule="auto"/>
        <w:ind w:firstLine="480" w:firstLineChars="200"/>
        <w:rPr>
          <w:rFonts w:hint="eastAsia"/>
          <w:color w:val="auto"/>
          <w:kern w:val="0"/>
          <w:sz w:val="24"/>
          <w:szCs w:val="24"/>
        </w:rPr>
      </w:pPr>
    </w:p>
    <w:p>
      <w:pPr>
        <w:spacing w:line="360" w:lineRule="auto"/>
        <w:ind w:firstLine="480" w:firstLineChars="200"/>
        <w:rPr>
          <w:rFonts w:hint="eastAsia"/>
          <w:color w:val="auto"/>
          <w:kern w:val="0"/>
          <w:sz w:val="24"/>
          <w:szCs w:val="24"/>
        </w:rPr>
      </w:pPr>
    </w:p>
    <w:p>
      <w:pPr>
        <w:pStyle w:val="73"/>
        <w:ind w:firstLine="0" w:firstLineChars="0"/>
        <w:jc w:val="center"/>
        <w:rPr>
          <w:b/>
          <w:bCs/>
          <w:color w:val="auto"/>
          <w:kern w:val="2"/>
          <w:szCs w:val="32"/>
        </w:rPr>
      </w:pPr>
      <w:r>
        <w:rPr>
          <w:rFonts w:hint="eastAsia"/>
          <w:b/>
          <w:bCs/>
          <w:color w:val="auto"/>
          <w:kern w:val="2"/>
        </w:rPr>
        <w:t xml:space="preserve">表2-7-9   </w:t>
      </w:r>
      <w:r>
        <w:rPr>
          <w:b/>
          <w:bCs/>
          <w:color w:val="auto"/>
          <w:kern w:val="2"/>
        </w:rPr>
        <w:t>项目土壤环境影响类型与影响途径表</w:t>
      </w:r>
    </w:p>
    <w:tbl>
      <w:tblPr>
        <w:tblStyle w:val="28"/>
        <w:tblW w:w="9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6"/>
        <w:gridCol w:w="1098"/>
        <w:gridCol w:w="1083"/>
        <w:gridCol w:w="1068"/>
        <w:gridCol w:w="848"/>
        <w:gridCol w:w="878"/>
        <w:gridCol w:w="814"/>
        <w:gridCol w:w="965"/>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1486" w:type="dxa"/>
            <w:vMerge w:val="restart"/>
            <w:vAlign w:val="center"/>
          </w:tcPr>
          <w:p>
            <w:pPr>
              <w:jc w:val="center"/>
              <w:rPr>
                <w:b/>
                <w:bCs/>
                <w:color w:val="auto"/>
                <w:sz w:val="21"/>
                <w:szCs w:val="22"/>
              </w:rPr>
            </w:pPr>
            <w:r>
              <w:rPr>
                <w:b/>
                <w:bCs/>
                <w:color w:val="auto"/>
                <w:sz w:val="21"/>
                <w:szCs w:val="22"/>
              </w:rPr>
              <w:t>不同时段</w:t>
            </w:r>
          </w:p>
        </w:tc>
        <w:tc>
          <w:tcPr>
            <w:tcW w:w="4097" w:type="dxa"/>
            <w:gridSpan w:val="4"/>
            <w:vAlign w:val="center"/>
          </w:tcPr>
          <w:p>
            <w:pPr>
              <w:jc w:val="center"/>
              <w:rPr>
                <w:b/>
                <w:bCs/>
                <w:color w:val="auto"/>
                <w:sz w:val="21"/>
                <w:szCs w:val="22"/>
              </w:rPr>
            </w:pPr>
            <w:r>
              <w:rPr>
                <w:b/>
                <w:bCs/>
                <w:color w:val="auto"/>
                <w:sz w:val="21"/>
                <w:szCs w:val="22"/>
              </w:rPr>
              <w:t>污染影响型</w:t>
            </w:r>
          </w:p>
        </w:tc>
        <w:tc>
          <w:tcPr>
            <w:tcW w:w="3625" w:type="dxa"/>
            <w:gridSpan w:val="4"/>
            <w:vAlign w:val="center"/>
          </w:tcPr>
          <w:p>
            <w:pPr>
              <w:jc w:val="center"/>
              <w:rPr>
                <w:b/>
                <w:bCs/>
                <w:color w:val="auto"/>
                <w:sz w:val="21"/>
                <w:szCs w:val="22"/>
              </w:rPr>
            </w:pPr>
            <w:r>
              <w:rPr>
                <w:b/>
                <w:bCs/>
                <w:color w:val="auto"/>
                <w:sz w:val="21"/>
                <w:szCs w:val="22"/>
              </w:rPr>
              <w:t>生态影响型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486" w:type="dxa"/>
            <w:vMerge w:val="continue"/>
            <w:vAlign w:val="center"/>
          </w:tcPr>
          <w:p>
            <w:pPr>
              <w:jc w:val="center"/>
              <w:rPr>
                <w:color w:val="auto"/>
                <w:sz w:val="21"/>
                <w:szCs w:val="22"/>
              </w:rPr>
            </w:pPr>
          </w:p>
        </w:tc>
        <w:tc>
          <w:tcPr>
            <w:tcW w:w="1098" w:type="dxa"/>
            <w:vAlign w:val="center"/>
          </w:tcPr>
          <w:p>
            <w:pPr>
              <w:jc w:val="center"/>
              <w:rPr>
                <w:b/>
                <w:bCs/>
                <w:color w:val="auto"/>
                <w:sz w:val="21"/>
                <w:szCs w:val="22"/>
              </w:rPr>
            </w:pPr>
            <w:r>
              <w:rPr>
                <w:b/>
                <w:bCs/>
                <w:color w:val="auto"/>
                <w:sz w:val="21"/>
                <w:szCs w:val="22"/>
              </w:rPr>
              <w:t>大气沉降</w:t>
            </w:r>
          </w:p>
        </w:tc>
        <w:tc>
          <w:tcPr>
            <w:tcW w:w="1083" w:type="dxa"/>
            <w:vAlign w:val="center"/>
          </w:tcPr>
          <w:p>
            <w:pPr>
              <w:jc w:val="center"/>
              <w:rPr>
                <w:b/>
                <w:bCs/>
                <w:color w:val="auto"/>
                <w:sz w:val="21"/>
                <w:szCs w:val="22"/>
              </w:rPr>
            </w:pPr>
            <w:r>
              <w:rPr>
                <w:b/>
                <w:bCs/>
                <w:color w:val="auto"/>
                <w:sz w:val="21"/>
                <w:szCs w:val="22"/>
              </w:rPr>
              <w:t>地面漫流</w:t>
            </w:r>
          </w:p>
        </w:tc>
        <w:tc>
          <w:tcPr>
            <w:tcW w:w="1068" w:type="dxa"/>
            <w:vAlign w:val="center"/>
          </w:tcPr>
          <w:p>
            <w:pPr>
              <w:jc w:val="center"/>
              <w:rPr>
                <w:b/>
                <w:bCs/>
                <w:color w:val="auto"/>
                <w:sz w:val="21"/>
                <w:szCs w:val="22"/>
              </w:rPr>
            </w:pPr>
            <w:r>
              <w:rPr>
                <w:b/>
                <w:bCs/>
                <w:color w:val="auto"/>
                <w:sz w:val="21"/>
                <w:szCs w:val="22"/>
              </w:rPr>
              <w:t>垂直渗入</w:t>
            </w:r>
          </w:p>
        </w:tc>
        <w:tc>
          <w:tcPr>
            <w:tcW w:w="848" w:type="dxa"/>
            <w:vAlign w:val="center"/>
          </w:tcPr>
          <w:p>
            <w:pPr>
              <w:jc w:val="center"/>
              <w:rPr>
                <w:b/>
                <w:bCs/>
                <w:color w:val="auto"/>
                <w:sz w:val="21"/>
                <w:szCs w:val="22"/>
              </w:rPr>
            </w:pPr>
            <w:r>
              <w:rPr>
                <w:b/>
                <w:bCs/>
                <w:color w:val="auto"/>
                <w:sz w:val="21"/>
                <w:szCs w:val="22"/>
              </w:rPr>
              <w:t>其他</w:t>
            </w:r>
          </w:p>
        </w:tc>
        <w:tc>
          <w:tcPr>
            <w:tcW w:w="878" w:type="dxa"/>
            <w:vAlign w:val="center"/>
          </w:tcPr>
          <w:p>
            <w:pPr>
              <w:jc w:val="center"/>
              <w:rPr>
                <w:b/>
                <w:bCs/>
                <w:color w:val="auto"/>
                <w:sz w:val="21"/>
                <w:szCs w:val="22"/>
              </w:rPr>
            </w:pPr>
            <w:r>
              <w:rPr>
                <w:b/>
                <w:bCs/>
                <w:color w:val="auto"/>
                <w:sz w:val="21"/>
                <w:szCs w:val="22"/>
              </w:rPr>
              <w:t>盐化</w:t>
            </w:r>
          </w:p>
        </w:tc>
        <w:tc>
          <w:tcPr>
            <w:tcW w:w="814" w:type="dxa"/>
            <w:vAlign w:val="center"/>
          </w:tcPr>
          <w:p>
            <w:pPr>
              <w:jc w:val="center"/>
              <w:rPr>
                <w:b/>
                <w:bCs/>
                <w:color w:val="auto"/>
                <w:sz w:val="21"/>
                <w:szCs w:val="22"/>
              </w:rPr>
            </w:pPr>
            <w:r>
              <w:rPr>
                <w:b/>
                <w:bCs/>
                <w:color w:val="auto"/>
                <w:sz w:val="21"/>
                <w:szCs w:val="22"/>
              </w:rPr>
              <w:t>碱化</w:t>
            </w:r>
          </w:p>
        </w:tc>
        <w:tc>
          <w:tcPr>
            <w:tcW w:w="965" w:type="dxa"/>
            <w:vAlign w:val="center"/>
          </w:tcPr>
          <w:p>
            <w:pPr>
              <w:jc w:val="center"/>
              <w:rPr>
                <w:b/>
                <w:bCs/>
                <w:color w:val="auto"/>
                <w:sz w:val="21"/>
                <w:szCs w:val="22"/>
              </w:rPr>
            </w:pPr>
            <w:r>
              <w:rPr>
                <w:b/>
                <w:bCs/>
                <w:color w:val="auto"/>
                <w:sz w:val="21"/>
                <w:szCs w:val="22"/>
              </w:rPr>
              <w:t>酸化</w:t>
            </w:r>
          </w:p>
        </w:tc>
        <w:tc>
          <w:tcPr>
            <w:tcW w:w="968" w:type="dxa"/>
            <w:vAlign w:val="center"/>
          </w:tcPr>
          <w:p>
            <w:pPr>
              <w:jc w:val="center"/>
              <w:rPr>
                <w:b/>
                <w:bCs/>
                <w:color w:val="auto"/>
                <w:sz w:val="21"/>
                <w:szCs w:val="22"/>
              </w:rPr>
            </w:pPr>
            <w:r>
              <w:rPr>
                <w:b/>
                <w:bCs/>
                <w:color w:val="auto"/>
                <w:sz w:val="21"/>
                <w:szCs w:val="22"/>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1486" w:type="dxa"/>
            <w:vAlign w:val="center"/>
          </w:tcPr>
          <w:p>
            <w:pPr>
              <w:jc w:val="center"/>
              <w:rPr>
                <w:color w:val="auto"/>
                <w:sz w:val="21"/>
                <w:szCs w:val="22"/>
              </w:rPr>
            </w:pPr>
            <w:r>
              <w:rPr>
                <w:color w:val="auto"/>
                <w:sz w:val="21"/>
                <w:szCs w:val="22"/>
              </w:rPr>
              <w:t>建设期</w:t>
            </w:r>
          </w:p>
        </w:tc>
        <w:tc>
          <w:tcPr>
            <w:tcW w:w="1098" w:type="dxa"/>
            <w:vAlign w:val="center"/>
          </w:tcPr>
          <w:p>
            <w:pPr>
              <w:jc w:val="center"/>
              <w:rPr>
                <w:color w:val="auto"/>
                <w:sz w:val="21"/>
                <w:szCs w:val="22"/>
              </w:rPr>
            </w:pPr>
          </w:p>
        </w:tc>
        <w:tc>
          <w:tcPr>
            <w:tcW w:w="1083" w:type="dxa"/>
            <w:vAlign w:val="center"/>
          </w:tcPr>
          <w:p>
            <w:pPr>
              <w:jc w:val="center"/>
              <w:rPr>
                <w:color w:val="auto"/>
                <w:sz w:val="21"/>
                <w:szCs w:val="22"/>
              </w:rPr>
            </w:pPr>
          </w:p>
        </w:tc>
        <w:tc>
          <w:tcPr>
            <w:tcW w:w="1068" w:type="dxa"/>
            <w:vAlign w:val="center"/>
          </w:tcPr>
          <w:p>
            <w:pPr>
              <w:jc w:val="center"/>
              <w:rPr>
                <w:color w:val="auto"/>
                <w:sz w:val="21"/>
                <w:szCs w:val="22"/>
              </w:rPr>
            </w:pPr>
          </w:p>
        </w:tc>
        <w:tc>
          <w:tcPr>
            <w:tcW w:w="848" w:type="dxa"/>
            <w:vAlign w:val="center"/>
          </w:tcPr>
          <w:p>
            <w:pPr>
              <w:jc w:val="center"/>
              <w:rPr>
                <w:color w:val="auto"/>
                <w:sz w:val="21"/>
                <w:szCs w:val="22"/>
              </w:rPr>
            </w:pPr>
          </w:p>
        </w:tc>
        <w:tc>
          <w:tcPr>
            <w:tcW w:w="878" w:type="dxa"/>
            <w:vAlign w:val="center"/>
          </w:tcPr>
          <w:p>
            <w:pPr>
              <w:jc w:val="center"/>
              <w:rPr>
                <w:color w:val="auto"/>
                <w:sz w:val="21"/>
                <w:szCs w:val="22"/>
              </w:rPr>
            </w:pPr>
          </w:p>
        </w:tc>
        <w:tc>
          <w:tcPr>
            <w:tcW w:w="814" w:type="dxa"/>
            <w:vAlign w:val="center"/>
          </w:tcPr>
          <w:p>
            <w:pPr>
              <w:jc w:val="center"/>
              <w:rPr>
                <w:color w:val="auto"/>
                <w:sz w:val="21"/>
                <w:szCs w:val="22"/>
              </w:rPr>
            </w:pPr>
          </w:p>
        </w:tc>
        <w:tc>
          <w:tcPr>
            <w:tcW w:w="965" w:type="dxa"/>
            <w:vAlign w:val="center"/>
          </w:tcPr>
          <w:p>
            <w:pPr>
              <w:jc w:val="center"/>
              <w:rPr>
                <w:color w:val="auto"/>
                <w:sz w:val="21"/>
                <w:szCs w:val="22"/>
              </w:rPr>
            </w:pPr>
          </w:p>
        </w:tc>
        <w:tc>
          <w:tcPr>
            <w:tcW w:w="968" w:type="dxa"/>
            <w:vAlign w:val="center"/>
          </w:tcPr>
          <w:p>
            <w:pPr>
              <w:jc w:val="center"/>
              <w:rPr>
                <w:color w:val="auto"/>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1486" w:type="dxa"/>
            <w:vAlign w:val="center"/>
          </w:tcPr>
          <w:p>
            <w:pPr>
              <w:jc w:val="center"/>
              <w:rPr>
                <w:color w:val="auto"/>
                <w:sz w:val="21"/>
                <w:szCs w:val="22"/>
              </w:rPr>
            </w:pPr>
            <w:r>
              <w:rPr>
                <w:color w:val="auto"/>
                <w:sz w:val="21"/>
                <w:szCs w:val="22"/>
              </w:rPr>
              <w:t>运营期</w:t>
            </w:r>
          </w:p>
        </w:tc>
        <w:tc>
          <w:tcPr>
            <w:tcW w:w="1098" w:type="dxa"/>
            <w:vAlign w:val="center"/>
          </w:tcPr>
          <w:p>
            <w:pPr>
              <w:jc w:val="center"/>
              <w:rPr>
                <w:color w:val="auto"/>
                <w:sz w:val="21"/>
                <w:szCs w:val="22"/>
              </w:rPr>
            </w:pPr>
          </w:p>
        </w:tc>
        <w:tc>
          <w:tcPr>
            <w:tcW w:w="1083" w:type="dxa"/>
            <w:vAlign w:val="center"/>
          </w:tcPr>
          <w:p>
            <w:pPr>
              <w:jc w:val="center"/>
              <w:rPr>
                <w:color w:val="auto"/>
                <w:sz w:val="21"/>
                <w:szCs w:val="22"/>
              </w:rPr>
            </w:pPr>
            <w:r>
              <w:rPr>
                <w:rFonts w:hint="eastAsia" w:ascii="宋体" w:hAnsi="宋体" w:cs="宋体"/>
                <w:color w:val="auto"/>
                <w:sz w:val="21"/>
                <w:szCs w:val="22"/>
              </w:rPr>
              <w:t>√</w:t>
            </w:r>
          </w:p>
        </w:tc>
        <w:tc>
          <w:tcPr>
            <w:tcW w:w="1068" w:type="dxa"/>
            <w:vAlign w:val="center"/>
          </w:tcPr>
          <w:p>
            <w:pPr>
              <w:jc w:val="center"/>
              <w:rPr>
                <w:color w:val="auto"/>
                <w:sz w:val="21"/>
                <w:szCs w:val="22"/>
              </w:rPr>
            </w:pPr>
          </w:p>
        </w:tc>
        <w:tc>
          <w:tcPr>
            <w:tcW w:w="848" w:type="dxa"/>
            <w:vAlign w:val="center"/>
          </w:tcPr>
          <w:p>
            <w:pPr>
              <w:jc w:val="center"/>
              <w:rPr>
                <w:color w:val="auto"/>
                <w:sz w:val="21"/>
                <w:szCs w:val="22"/>
              </w:rPr>
            </w:pPr>
          </w:p>
        </w:tc>
        <w:tc>
          <w:tcPr>
            <w:tcW w:w="878" w:type="dxa"/>
            <w:vAlign w:val="center"/>
          </w:tcPr>
          <w:p>
            <w:pPr>
              <w:jc w:val="center"/>
              <w:rPr>
                <w:color w:val="auto"/>
                <w:sz w:val="21"/>
                <w:szCs w:val="22"/>
              </w:rPr>
            </w:pPr>
          </w:p>
        </w:tc>
        <w:tc>
          <w:tcPr>
            <w:tcW w:w="814" w:type="dxa"/>
            <w:vAlign w:val="center"/>
          </w:tcPr>
          <w:p>
            <w:pPr>
              <w:jc w:val="center"/>
              <w:rPr>
                <w:color w:val="auto"/>
                <w:sz w:val="21"/>
                <w:szCs w:val="22"/>
              </w:rPr>
            </w:pPr>
          </w:p>
        </w:tc>
        <w:tc>
          <w:tcPr>
            <w:tcW w:w="965" w:type="dxa"/>
            <w:vAlign w:val="center"/>
          </w:tcPr>
          <w:p>
            <w:pPr>
              <w:jc w:val="center"/>
              <w:rPr>
                <w:color w:val="auto"/>
                <w:sz w:val="21"/>
                <w:szCs w:val="22"/>
              </w:rPr>
            </w:pPr>
          </w:p>
        </w:tc>
        <w:tc>
          <w:tcPr>
            <w:tcW w:w="968" w:type="dxa"/>
            <w:vAlign w:val="center"/>
          </w:tcPr>
          <w:p>
            <w:pPr>
              <w:jc w:val="center"/>
              <w:rPr>
                <w:color w:val="auto"/>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486" w:type="dxa"/>
            <w:vAlign w:val="center"/>
          </w:tcPr>
          <w:p>
            <w:pPr>
              <w:jc w:val="center"/>
              <w:rPr>
                <w:color w:val="auto"/>
                <w:sz w:val="21"/>
                <w:szCs w:val="22"/>
              </w:rPr>
            </w:pPr>
            <w:r>
              <w:rPr>
                <w:color w:val="auto"/>
                <w:sz w:val="21"/>
                <w:szCs w:val="22"/>
              </w:rPr>
              <w:t>服务期满后</w:t>
            </w:r>
          </w:p>
        </w:tc>
        <w:tc>
          <w:tcPr>
            <w:tcW w:w="1098" w:type="dxa"/>
            <w:vAlign w:val="center"/>
          </w:tcPr>
          <w:p>
            <w:pPr>
              <w:jc w:val="center"/>
              <w:rPr>
                <w:color w:val="auto"/>
                <w:sz w:val="21"/>
                <w:szCs w:val="22"/>
              </w:rPr>
            </w:pPr>
          </w:p>
        </w:tc>
        <w:tc>
          <w:tcPr>
            <w:tcW w:w="1083" w:type="dxa"/>
            <w:vAlign w:val="center"/>
          </w:tcPr>
          <w:p>
            <w:pPr>
              <w:jc w:val="center"/>
              <w:rPr>
                <w:color w:val="auto"/>
                <w:sz w:val="21"/>
                <w:szCs w:val="22"/>
              </w:rPr>
            </w:pPr>
          </w:p>
        </w:tc>
        <w:tc>
          <w:tcPr>
            <w:tcW w:w="1068" w:type="dxa"/>
            <w:vAlign w:val="center"/>
          </w:tcPr>
          <w:p>
            <w:pPr>
              <w:jc w:val="center"/>
              <w:rPr>
                <w:color w:val="auto"/>
                <w:sz w:val="21"/>
                <w:szCs w:val="22"/>
              </w:rPr>
            </w:pPr>
          </w:p>
        </w:tc>
        <w:tc>
          <w:tcPr>
            <w:tcW w:w="848" w:type="dxa"/>
            <w:vAlign w:val="center"/>
          </w:tcPr>
          <w:p>
            <w:pPr>
              <w:jc w:val="center"/>
              <w:rPr>
                <w:color w:val="auto"/>
                <w:sz w:val="21"/>
                <w:szCs w:val="22"/>
              </w:rPr>
            </w:pPr>
          </w:p>
        </w:tc>
        <w:tc>
          <w:tcPr>
            <w:tcW w:w="878" w:type="dxa"/>
            <w:vAlign w:val="center"/>
          </w:tcPr>
          <w:p>
            <w:pPr>
              <w:jc w:val="center"/>
              <w:rPr>
                <w:color w:val="auto"/>
                <w:sz w:val="21"/>
                <w:szCs w:val="22"/>
              </w:rPr>
            </w:pPr>
          </w:p>
        </w:tc>
        <w:tc>
          <w:tcPr>
            <w:tcW w:w="814" w:type="dxa"/>
            <w:vAlign w:val="center"/>
          </w:tcPr>
          <w:p>
            <w:pPr>
              <w:jc w:val="center"/>
              <w:rPr>
                <w:color w:val="auto"/>
                <w:sz w:val="21"/>
                <w:szCs w:val="22"/>
              </w:rPr>
            </w:pPr>
          </w:p>
        </w:tc>
        <w:tc>
          <w:tcPr>
            <w:tcW w:w="965" w:type="dxa"/>
            <w:vAlign w:val="center"/>
          </w:tcPr>
          <w:p>
            <w:pPr>
              <w:jc w:val="center"/>
              <w:rPr>
                <w:color w:val="auto"/>
                <w:sz w:val="21"/>
                <w:szCs w:val="22"/>
              </w:rPr>
            </w:pPr>
          </w:p>
        </w:tc>
        <w:tc>
          <w:tcPr>
            <w:tcW w:w="968" w:type="dxa"/>
            <w:vAlign w:val="center"/>
          </w:tcPr>
          <w:p>
            <w:pPr>
              <w:jc w:val="center"/>
              <w:rPr>
                <w:color w:val="auto"/>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208" w:type="dxa"/>
            <w:gridSpan w:val="9"/>
            <w:vAlign w:val="center"/>
          </w:tcPr>
          <w:p>
            <w:pPr>
              <w:rPr>
                <w:color w:val="auto"/>
                <w:sz w:val="21"/>
                <w:szCs w:val="22"/>
              </w:rPr>
            </w:pPr>
            <w:r>
              <w:rPr>
                <w:color w:val="auto"/>
                <w:sz w:val="21"/>
                <w:szCs w:val="22"/>
              </w:rPr>
              <w:t>注：在可能产生的土壤环境影响类型处打</w:t>
            </w:r>
            <w:r>
              <w:rPr>
                <w:rFonts w:hint="eastAsia" w:ascii="宋体" w:hAnsi="宋体" w:cs="宋体"/>
                <w:color w:val="auto"/>
                <w:sz w:val="21"/>
                <w:szCs w:val="22"/>
              </w:rPr>
              <w:t>“√”</w:t>
            </w:r>
            <w:r>
              <w:rPr>
                <w:color w:val="auto"/>
                <w:sz w:val="21"/>
                <w:szCs w:val="22"/>
              </w:rPr>
              <w:t>，列表</w:t>
            </w:r>
            <w:r>
              <w:rPr>
                <w:rFonts w:hint="eastAsia"/>
                <w:color w:val="auto"/>
                <w:sz w:val="21"/>
                <w:szCs w:val="22"/>
              </w:rPr>
              <w:t>未</w:t>
            </w:r>
            <w:r>
              <w:rPr>
                <w:color w:val="auto"/>
                <w:sz w:val="21"/>
                <w:szCs w:val="22"/>
              </w:rPr>
              <w:t>涵盖的可自行设计。</w:t>
            </w:r>
          </w:p>
        </w:tc>
      </w:tr>
    </w:tbl>
    <w:p>
      <w:pPr>
        <w:spacing w:line="360" w:lineRule="auto"/>
        <w:ind w:firstLine="480" w:firstLineChars="200"/>
        <w:rPr>
          <w:color w:val="auto"/>
          <w:kern w:val="0"/>
          <w:sz w:val="24"/>
          <w:szCs w:val="24"/>
        </w:rPr>
      </w:pPr>
      <w:r>
        <w:rPr>
          <w:rFonts w:hint="eastAsia"/>
          <w:color w:val="auto"/>
          <w:kern w:val="0"/>
          <w:sz w:val="24"/>
          <w:szCs w:val="24"/>
        </w:rPr>
        <w:t>本项目位于梅州市五华县河东镇，选址于畲华高速的东侧、油新公园的西南侧，用地面积为3.12hm</w:t>
      </w:r>
      <w:r>
        <w:rPr>
          <w:rFonts w:hint="eastAsia"/>
          <w:color w:val="auto"/>
          <w:kern w:val="0"/>
          <w:sz w:val="24"/>
          <w:szCs w:val="24"/>
          <w:vertAlign w:val="superscript"/>
        </w:rPr>
        <w:t>2</w:t>
      </w:r>
      <w:r>
        <w:rPr>
          <w:rFonts w:hint="eastAsia"/>
          <w:color w:val="auto"/>
          <w:kern w:val="0"/>
          <w:sz w:val="24"/>
          <w:szCs w:val="24"/>
        </w:rPr>
        <w:t>, 3.12hm</w:t>
      </w:r>
      <w:r>
        <w:rPr>
          <w:rFonts w:hint="eastAsia"/>
          <w:color w:val="auto"/>
          <w:kern w:val="0"/>
          <w:sz w:val="24"/>
          <w:szCs w:val="24"/>
          <w:vertAlign w:val="superscript"/>
        </w:rPr>
        <w:t>2</w:t>
      </w:r>
      <w:r>
        <w:rPr>
          <w:rFonts w:hint="eastAsia"/>
          <w:color w:val="auto"/>
          <w:kern w:val="0"/>
          <w:sz w:val="24"/>
          <w:szCs w:val="24"/>
        </w:rPr>
        <w:t>﹤5hm</w:t>
      </w:r>
      <w:r>
        <w:rPr>
          <w:rFonts w:hint="eastAsia"/>
          <w:color w:val="auto"/>
          <w:kern w:val="0"/>
          <w:sz w:val="24"/>
          <w:szCs w:val="24"/>
          <w:vertAlign w:val="superscript"/>
        </w:rPr>
        <w:t>2</w:t>
      </w:r>
      <w:r>
        <w:rPr>
          <w:rFonts w:hint="eastAsia"/>
          <w:color w:val="auto"/>
          <w:kern w:val="0"/>
          <w:sz w:val="24"/>
          <w:szCs w:val="24"/>
        </w:rPr>
        <w:t>，占地规模为小型。根据《环境影响评价技术导则 土壤环境（试行）》（HJ964-2018），建设项目所在地周边的土壤环境敏感程度分为敏感、较敏感、不敏感，判别依据见下表。</w:t>
      </w:r>
    </w:p>
    <w:p>
      <w:pPr>
        <w:spacing w:line="360" w:lineRule="auto"/>
        <w:jc w:val="center"/>
        <w:rPr>
          <w:b/>
          <w:bCs/>
          <w:color w:val="auto"/>
        </w:rPr>
      </w:pPr>
      <w:r>
        <w:rPr>
          <w:rFonts w:hint="eastAsia"/>
          <w:b/>
          <w:bCs/>
          <w:color w:val="auto"/>
          <w:sz w:val="24"/>
          <w:szCs w:val="24"/>
        </w:rPr>
        <w:t xml:space="preserve">表2-7-10   </w:t>
      </w:r>
      <w:r>
        <w:rPr>
          <w:b/>
          <w:bCs/>
          <w:color w:val="auto"/>
          <w:sz w:val="24"/>
          <w:szCs w:val="24"/>
        </w:rPr>
        <w:t>污染影响型敏感程度分级表</w:t>
      </w:r>
    </w:p>
    <w:tbl>
      <w:tblPr>
        <w:tblStyle w:val="28"/>
        <w:tblW w:w="9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7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582" w:type="dxa"/>
            <w:vAlign w:val="center"/>
          </w:tcPr>
          <w:p>
            <w:pPr>
              <w:jc w:val="center"/>
              <w:rPr>
                <w:b/>
                <w:bCs/>
                <w:color w:val="auto"/>
                <w:sz w:val="21"/>
                <w:szCs w:val="22"/>
              </w:rPr>
            </w:pPr>
            <w:r>
              <w:rPr>
                <w:b/>
                <w:bCs/>
                <w:color w:val="auto"/>
                <w:sz w:val="21"/>
                <w:szCs w:val="22"/>
              </w:rPr>
              <w:t>敏感程度</w:t>
            </w:r>
          </w:p>
        </w:tc>
        <w:tc>
          <w:tcPr>
            <w:tcW w:w="7628" w:type="dxa"/>
            <w:vAlign w:val="center"/>
          </w:tcPr>
          <w:p>
            <w:pPr>
              <w:jc w:val="center"/>
              <w:rPr>
                <w:b/>
                <w:bCs/>
                <w:color w:val="auto"/>
                <w:sz w:val="21"/>
                <w:szCs w:val="22"/>
              </w:rPr>
            </w:pPr>
            <w:r>
              <w:rPr>
                <w:b/>
                <w:bCs/>
                <w:color w:val="auto"/>
                <w:sz w:val="21"/>
                <w:szCs w:val="22"/>
              </w:rPr>
              <w:t>判别依据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1582" w:type="dxa"/>
            <w:vAlign w:val="center"/>
          </w:tcPr>
          <w:p>
            <w:pPr>
              <w:jc w:val="center"/>
              <w:rPr>
                <w:color w:val="auto"/>
                <w:sz w:val="21"/>
                <w:szCs w:val="22"/>
              </w:rPr>
            </w:pPr>
            <w:r>
              <w:rPr>
                <w:color w:val="auto"/>
                <w:sz w:val="21"/>
                <w:szCs w:val="22"/>
              </w:rPr>
              <w:t>敏感</w:t>
            </w:r>
          </w:p>
        </w:tc>
        <w:tc>
          <w:tcPr>
            <w:tcW w:w="7628" w:type="dxa"/>
            <w:vAlign w:val="center"/>
          </w:tcPr>
          <w:p>
            <w:pPr>
              <w:jc w:val="center"/>
              <w:rPr>
                <w:color w:val="auto"/>
                <w:sz w:val="21"/>
                <w:szCs w:val="22"/>
              </w:rPr>
            </w:pPr>
            <w:r>
              <w:rPr>
                <w:color w:val="auto"/>
                <w:sz w:val="21"/>
                <w:szCs w:val="22"/>
              </w:rPr>
              <w:t>建设项目周边存在耕地、园地、牧草地、饮用水水源或居民区、学校、医院、疗养院、养老院等土壤环境敏感目标的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582" w:type="dxa"/>
            <w:vAlign w:val="center"/>
          </w:tcPr>
          <w:p>
            <w:pPr>
              <w:jc w:val="center"/>
              <w:rPr>
                <w:color w:val="auto"/>
                <w:sz w:val="21"/>
                <w:szCs w:val="22"/>
              </w:rPr>
            </w:pPr>
            <w:r>
              <w:rPr>
                <w:color w:val="auto"/>
                <w:sz w:val="21"/>
                <w:szCs w:val="22"/>
              </w:rPr>
              <w:t>较敏感</w:t>
            </w:r>
          </w:p>
        </w:tc>
        <w:tc>
          <w:tcPr>
            <w:tcW w:w="7628" w:type="dxa"/>
            <w:vAlign w:val="center"/>
          </w:tcPr>
          <w:p>
            <w:pPr>
              <w:jc w:val="center"/>
              <w:rPr>
                <w:color w:val="auto"/>
                <w:sz w:val="21"/>
                <w:szCs w:val="22"/>
              </w:rPr>
            </w:pPr>
            <w:r>
              <w:rPr>
                <w:color w:val="auto"/>
                <w:sz w:val="21"/>
                <w:szCs w:val="22"/>
              </w:rPr>
              <w:t>建设项目周边存在其他土壤环境敏感目标的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582" w:type="dxa"/>
            <w:vAlign w:val="center"/>
          </w:tcPr>
          <w:p>
            <w:pPr>
              <w:jc w:val="center"/>
              <w:rPr>
                <w:color w:val="auto"/>
                <w:sz w:val="21"/>
                <w:szCs w:val="22"/>
              </w:rPr>
            </w:pPr>
            <w:r>
              <w:rPr>
                <w:color w:val="auto"/>
                <w:sz w:val="21"/>
                <w:szCs w:val="22"/>
              </w:rPr>
              <w:t>不敏感</w:t>
            </w:r>
          </w:p>
        </w:tc>
        <w:tc>
          <w:tcPr>
            <w:tcW w:w="7628" w:type="dxa"/>
            <w:vAlign w:val="center"/>
          </w:tcPr>
          <w:p>
            <w:pPr>
              <w:jc w:val="center"/>
              <w:rPr>
                <w:color w:val="auto"/>
                <w:sz w:val="21"/>
                <w:szCs w:val="22"/>
              </w:rPr>
            </w:pPr>
            <w:r>
              <w:rPr>
                <w:color w:val="auto"/>
                <w:sz w:val="21"/>
                <w:szCs w:val="22"/>
              </w:rPr>
              <w:t>其他情况</w:t>
            </w:r>
          </w:p>
        </w:tc>
      </w:tr>
    </w:tbl>
    <w:p>
      <w:pPr>
        <w:spacing w:line="360" w:lineRule="auto"/>
        <w:ind w:firstLine="480" w:firstLineChars="200"/>
        <w:rPr>
          <w:color w:val="auto"/>
          <w:kern w:val="0"/>
          <w:sz w:val="24"/>
          <w:szCs w:val="24"/>
        </w:rPr>
      </w:pPr>
      <w:r>
        <w:rPr>
          <w:rFonts w:hint="eastAsia"/>
          <w:color w:val="auto"/>
          <w:kern w:val="0"/>
          <w:sz w:val="24"/>
          <w:szCs w:val="24"/>
        </w:rPr>
        <w:t>目前，项目已取得河东镇人民政府出具的《关于五华县河东绿色生态工业小镇水质净化厂一期工程（油新水质净化厂）项目房屋拆迁与安置方案》，选址地块正在进行拆迁工作。待项目建成运营后，项目周边不存在土壤环境敏感目标，敏感程度为不敏感。</w:t>
      </w:r>
    </w:p>
    <w:p>
      <w:pPr>
        <w:spacing w:line="360" w:lineRule="auto"/>
        <w:ind w:firstLine="480" w:firstLineChars="200"/>
        <w:rPr>
          <w:color w:val="auto"/>
          <w:kern w:val="0"/>
          <w:sz w:val="24"/>
          <w:szCs w:val="24"/>
        </w:rPr>
      </w:pPr>
      <w:r>
        <w:rPr>
          <w:rFonts w:hint="eastAsia"/>
          <w:color w:val="auto"/>
          <w:kern w:val="0"/>
          <w:sz w:val="24"/>
          <w:szCs w:val="24"/>
        </w:rPr>
        <w:t>根据《环境影响评价技术导则 土壤环境（试行）》（HJ964-2018），建设项目需根据土壤环境影响评价项目类别、占地规模与敏感程度划分评价工作等级，详见下表。</w:t>
      </w:r>
    </w:p>
    <w:p>
      <w:pPr>
        <w:spacing w:line="360" w:lineRule="auto"/>
        <w:jc w:val="center"/>
        <w:rPr>
          <w:b/>
          <w:color w:val="auto"/>
          <w:kern w:val="0"/>
        </w:rPr>
      </w:pPr>
      <w:r>
        <w:rPr>
          <w:rFonts w:hint="eastAsia"/>
          <w:b/>
          <w:color w:val="auto"/>
          <w:kern w:val="0"/>
          <w:sz w:val="24"/>
          <w:szCs w:val="24"/>
        </w:rPr>
        <w:t>表2-7-11   污染影响型评价工作等级划分表</w:t>
      </w:r>
    </w:p>
    <w:p>
      <w:pPr>
        <w:jc w:val="center"/>
        <w:rPr>
          <w:color w:val="auto"/>
          <w:kern w:val="0"/>
        </w:rPr>
      </w:pPr>
      <w:r>
        <w:rPr>
          <w:color w:val="auto"/>
          <w:kern w:val="0"/>
        </w:rPr>
        <w:drawing>
          <wp:inline distT="0" distB="0" distL="0" distR="0">
            <wp:extent cx="5276850" cy="1323975"/>
            <wp:effectExtent l="19050" t="0" r="0" b="0"/>
            <wp:docPr id="3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0"/>
                    <pic:cNvPicPr>
                      <a:picLocks noChangeAspect="1" noChangeArrowheads="1"/>
                    </pic:cNvPicPr>
                  </pic:nvPicPr>
                  <pic:blipFill>
                    <a:blip r:embed="rId18" cstate="print"/>
                    <a:srcRect/>
                    <a:stretch>
                      <a:fillRect/>
                    </a:stretch>
                  </pic:blipFill>
                  <pic:spPr>
                    <a:xfrm>
                      <a:off x="0" y="0"/>
                      <a:ext cx="5276850" cy="1323975"/>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kern w:val="0"/>
          <w:sz w:val="24"/>
          <w:szCs w:val="24"/>
        </w:rPr>
        <w:t>本项目为Ⅱ类项目，占地规模为小型，敏感程度为不敏感，由上表可知，本项目土壤环境评价工作等级为三级。</w:t>
      </w:r>
    </w:p>
    <w:p>
      <w:pPr>
        <w:pStyle w:val="4"/>
        <w:rPr>
          <w:color w:val="auto"/>
        </w:rPr>
      </w:pPr>
      <w:bookmarkStart w:id="55" w:name="_Toc26276791"/>
      <w:r>
        <w:rPr>
          <w:rFonts w:hint="eastAsia"/>
          <w:color w:val="auto"/>
        </w:rPr>
        <w:t>2.7.7环境风险评价等级</w:t>
      </w:r>
      <w:bookmarkEnd w:id="55"/>
    </w:p>
    <w:p>
      <w:pPr>
        <w:spacing w:line="360" w:lineRule="auto"/>
        <w:ind w:firstLine="480" w:firstLineChars="200"/>
        <w:rPr>
          <w:color w:val="auto"/>
          <w:sz w:val="24"/>
          <w:szCs w:val="24"/>
        </w:rPr>
      </w:pPr>
      <w:r>
        <w:rPr>
          <w:rFonts w:hint="eastAsia"/>
          <w:color w:val="auto"/>
          <w:sz w:val="24"/>
          <w:szCs w:val="24"/>
        </w:rPr>
        <w:t>建设项目环境风险潜势划分为Ⅰ、Ⅱ、Ⅲ、Ⅳ/Ⅳ</w:t>
      </w:r>
      <w:r>
        <w:rPr>
          <w:rFonts w:hint="eastAsia"/>
          <w:color w:val="auto"/>
          <w:sz w:val="24"/>
          <w:szCs w:val="24"/>
          <w:vertAlign w:val="superscript"/>
        </w:rPr>
        <w:t>+</w:t>
      </w:r>
      <w:r>
        <w:rPr>
          <w:rFonts w:hint="eastAsia"/>
          <w:color w:val="auto"/>
          <w:sz w:val="24"/>
          <w:szCs w:val="24"/>
        </w:rPr>
        <w:t>级。</w:t>
      </w:r>
    </w:p>
    <w:p>
      <w:pPr>
        <w:spacing w:line="360" w:lineRule="auto"/>
        <w:ind w:firstLine="480" w:firstLineChars="200"/>
        <w:rPr>
          <w:color w:val="auto"/>
          <w:sz w:val="24"/>
          <w:szCs w:val="24"/>
        </w:rPr>
      </w:pPr>
      <w:r>
        <w:rPr>
          <w:rFonts w:hint="eastAsia"/>
          <w:color w:val="auto"/>
          <w:sz w:val="24"/>
          <w:szCs w:val="24"/>
        </w:rPr>
        <w:t>根据建设项目涉及的物质和工艺系统的危险性及其所在地的环境敏感程度，结合事故情形下环境影响途径，对建设项目潜在环境危害程度进行概化分析，按照下表确定环境风险潜势。</w:t>
      </w:r>
    </w:p>
    <w:p>
      <w:pPr>
        <w:spacing w:line="360" w:lineRule="auto"/>
        <w:jc w:val="center"/>
        <w:rPr>
          <w:b/>
          <w:color w:val="auto"/>
          <w:sz w:val="24"/>
          <w:szCs w:val="24"/>
        </w:rPr>
      </w:pPr>
      <w:r>
        <w:rPr>
          <w:rFonts w:hint="eastAsia"/>
          <w:b/>
          <w:color w:val="auto"/>
          <w:sz w:val="24"/>
          <w:szCs w:val="24"/>
        </w:rPr>
        <w:t>表2-7-12   建设项目环境风险潜势划分</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559"/>
        <w:gridCol w:w="1559"/>
        <w:gridCol w:w="1559"/>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Merge w:val="restart"/>
            <w:vAlign w:val="center"/>
          </w:tcPr>
          <w:p>
            <w:pPr>
              <w:jc w:val="center"/>
              <w:rPr>
                <w:color w:val="auto"/>
                <w:sz w:val="21"/>
                <w:szCs w:val="21"/>
              </w:rPr>
            </w:pPr>
            <w:r>
              <w:rPr>
                <w:rFonts w:hAnsi="宋体"/>
                <w:color w:val="auto"/>
                <w:sz w:val="21"/>
                <w:szCs w:val="21"/>
              </w:rPr>
              <w:t>环境敏感程度（</w:t>
            </w:r>
            <w:r>
              <w:rPr>
                <w:color w:val="auto"/>
                <w:sz w:val="21"/>
                <w:szCs w:val="21"/>
              </w:rPr>
              <w:t>E</w:t>
            </w:r>
            <w:r>
              <w:rPr>
                <w:rFonts w:hAnsi="宋体"/>
                <w:color w:val="auto"/>
                <w:sz w:val="21"/>
                <w:szCs w:val="21"/>
              </w:rPr>
              <w:t>）</w:t>
            </w:r>
          </w:p>
        </w:tc>
        <w:tc>
          <w:tcPr>
            <w:tcW w:w="6287" w:type="dxa"/>
            <w:gridSpan w:val="4"/>
            <w:vAlign w:val="center"/>
          </w:tcPr>
          <w:p>
            <w:pPr>
              <w:jc w:val="center"/>
              <w:rPr>
                <w:color w:val="auto"/>
                <w:sz w:val="21"/>
                <w:szCs w:val="21"/>
              </w:rPr>
            </w:pPr>
            <w:r>
              <w:rPr>
                <w:rFonts w:hAnsi="宋体"/>
                <w:color w:val="auto"/>
                <w:sz w:val="21"/>
                <w:szCs w:val="21"/>
              </w:rPr>
              <w:t>危险物质及工艺系统危险性（</w:t>
            </w:r>
            <w:r>
              <w:rPr>
                <w:color w:val="auto"/>
                <w:sz w:val="21"/>
                <w:szCs w:val="21"/>
              </w:rPr>
              <w:t>P</w:t>
            </w:r>
            <w:r>
              <w:rPr>
                <w:rFonts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Merge w:val="continue"/>
            <w:vAlign w:val="center"/>
          </w:tcPr>
          <w:p>
            <w:pPr>
              <w:jc w:val="center"/>
              <w:rPr>
                <w:color w:val="auto"/>
                <w:sz w:val="21"/>
                <w:szCs w:val="21"/>
              </w:rPr>
            </w:pPr>
          </w:p>
        </w:tc>
        <w:tc>
          <w:tcPr>
            <w:tcW w:w="1559" w:type="dxa"/>
            <w:vAlign w:val="center"/>
          </w:tcPr>
          <w:p>
            <w:pPr>
              <w:jc w:val="center"/>
              <w:rPr>
                <w:color w:val="auto"/>
                <w:sz w:val="21"/>
                <w:szCs w:val="21"/>
              </w:rPr>
            </w:pPr>
            <w:r>
              <w:rPr>
                <w:rFonts w:hAnsi="宋体"/>
                <w:color w:val="auto"/>
                <w:sz w:val="21"/>
                <w:szCs w:val="21"/>
              </w:rPr>
              <w:t>极高危害（</w:t>
            </w:r>
            <w:r>
              <w:rPr>
                <w:color w:val="auto"/>
                <w:sz w:val="21"/>
                <w:szCs w:val="21"/>
              </w:rPr>
              <w:t>P1</w:t>
            </w:r>
            <w:r>
              <w:rPr>
                <w:rFonts w:hAnsi="宋体"/>
                <w:color w:val="auto"/>
                <w:sz w:val="21"/>
                <w:szCs w:val="21"/>
              </w:rPr>
              <w:t>）</w:t>
            </w:r>
          </w:p>
        </w:tc>
        <w:tc>
          <w:tcPr>
            <w:tcW w:w="1559" w:type="dxa"/>
            <w:vAlign w:val="center"/>
          </w:tcPr>
          <w:p>
            <w:pPr>
              <w:jc w:val="center"/>
              <w:rPr>
                <w:color w:val="auto"/>
                <w:sz w:val="21"/>
                <w:szCs w:val="21"/>
              </w:rPr>
            </w:pPr>
            <w:r>
              <w:rPr>
                <w:rFonts w:hAnsi="宋体"/>
                <w:color w:val="auto"/>
                <w:sz w:val="21"/>
                <w:szCs w:val="21"/>
              </w:rPr>
              <w:t>高度危害（</w:t>
            </w:r>
            <w:r>
              <w:rPr>
                <w:color w:val="auto"/>
                <w:sz w:val="21"/>
                <w:szCs w:val="21"/>
              </w:rPr>
              <w:t>P2</w:t>
            </w:r>
            <w:r>
              <w:rPr>
                <w:rFonts w:hAnsi="宋体"/>
                <w:color w:val="auto"/>
                <w:sz w:val="21"/>
                <w:szCs w:val="21"/>
              </w:rPr>
              <w:t>）</w:t>
            </w:r>
          </w:p>
        </w:tc>
        <w:tc>
          <w:tcPr>
            <w:tcW w:w="1559" w:type="dxa"/>
            <w:vAlign w:val="center"/>
          </w:tcPr>
          <w:p>
            <w:pPr>
              <w:jc w:val="center"/>
              <w:rPr>
                <w:color w:val="auto"/>
                <w:sz w:val="21"/>
                <w:szCs w:val="21"/>
              </w:rPr>
            </w:pPr>
            <w:r>
              <w:rPr>
                <w:rFonts w:hAnsi="宋体"/>
                <w:color w:val="auto"/>
                <w:sz w:val="21"/>
                <w:szCs w:val="21"/>
              </w:rPr>
              <w:t>中度危害（</w:t>
            </w:r>
            <w:r>
              <w:rPr>
                <w:color w:val="auto"/>
                <w:sz w:val="21"/>
                <w:szCs w:val="21"/>
              </w:rPr>
              <w:t>P3</w:t>
            </w:r>
            <w:r>
              <w:rPr>
                <w:rFonts w:hAnsi="宋体"/>
                <w:color w:val="auto"/>
                <w:sz w:val="21"/>
                <w:szCs w:val="21"/>
              </w:rPr>
              <w:t>）</w:t>
            </w:r>
          </w:p>
        </w:tc>
        <w:tc>
          <w:tcPr>
            <w:tcW w:w="1610" w:type="dxa"/>
            <w:vAlign w:val="center"/>
          </w:tcPr>
          <w:p>
            <w:pPr>
              <w:jc w:val="center"/>
              <w:rPr>
                <w:color w:val="auto"/>
                <w:sz w:val="21"/>
                <w:szCs w:val="21"/>
              </w:rPr>
            </w:pPr>
            <w:r>
              <w:rPr>
                <w:rFonts w:hAnsi="宋体"/>
                <w:color w:val="auto"/>
                <w:sz w:val="21"/>
                <w:szCs w:val="21"/>
              </w:rPr>
              <w:t>轻度危害（</w:t>
            </w:r>
            <w:r>
              <w:rPr>
                <w:color w:val="auto"/>
                <w:sz w:val="21"/>
                <w:szCs w:val="21"/>
              </w:rPr>
              <w:t>P4</w:t>
            </w:r>
            <w:r>
              <w:rPr>
                <w:rFonts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jc w:val="center"/>
              <w:rPr>
                <w:color w:val="auto"/>
                <w:sz w:val="21"/>
                <w:szCs w:val="21"/>
              </w:rPr>
            </w:pPr>
            <w:r>
              <w:rPr>
                <w:rFonts w:hAnsi="宋体"/>
                <w:color w:val="auto"/>
                <w:sz w:val="21"/>
                <w:szCs w:val="21"/>
              </w:rPr>
              <w:t>环境高度敏感区（</w:t>
            </w:r>
            <w:r>
              <w:rPr>
                <w:color w:val="auto"/>
                <w:sz w:val="21"/>
                <w:szCs w:val="21"/>
              </w:rPr>
              <w:t>E1</w:t>
            </w:r>
            <w:r>
              <w:rPr>
                <w:rFonts w:hAnsi="宋体"/>
                <w:color w:val="auto"/>
                <w:sz w:val="21"/>
                <w:szCs w:val="21"/>
              </w:rPr>
              <w:t>）</w:t>
            </w:r>
          </w:p>
        </w:tc>
        <w:tc>
          <w:tcPr>
            <w:tcW w:w="1559" w:type="dxa"/>
            <w:vAlign w:val="center"/>
          </w:tcPr>
          <w:p>
            <w:pPr>
              <w:jc w:val="center"/>
              <w:rPr>
                <w:color w:val="auto"/>
                <w:sz w:val="21"/>
                <w:szCs w:val="21"/>
              </w:rPr>
            </w:pPr>
            <w:r>
              <w:rPr>
                <w:rFonts w:hAnsi="宋体"/>
                <w:color w:val="auto"/>
                <w:sz w:val="21"/>
                <w:szCs w:val="21"/>
              </w:rPr>
              <w:t>Ⅳ</w:t>
            </w:r>
            <w:r>
              <w:rPr>
                <w:color w:val="auto"/>
                <w:sz w:val="21"/>
                <w:szCs w:val="21"/>
                <w:vertAlign w:val="superscript"/>
              </w:rPr>
              <w:t>+</w:t>
            </w:r>
          </w:p>
        </w:tc>
        <w:tc>
          <w:tcPr>
            <w:tcW w:w="1559" w:type="dxa"/>
            <w:vAlign w:val="center"/>
          </w:tcPr>
          <w:p>
            <w:pPr>
              <w:jc w:val="center"/>
              <w:rPr>
                <w:color w:val="auto"/>
                <w:sz w:val="21"/>
                <w:szCs w:val="21"/>
              </w:rPr>
            </w:pPr>
            <w:r>
              <w:rPr>
                <w:rFonts w:hAnsi="宋体"/>
                <w:color w:val="auto"/>
                <w:sz w:val="21"/>
                <w:szCs w:val="21"/>
              </w:rPr>
              <w:t>Ⅳ</w:t>
            </w:r>
          </w:p>
        </w:tc>
        <w:tc>
          <w:tcPr>
            <w:tcW w:w="1559" w:type="dxa"/>
            <w:vAlign w:val="center"/>
          </w:tcPr>
          <w:p>
            <w:pPr>
              <w:jc w:val="center"/>
              <w:rPr>
                <w:color w:val="auto"/>
                <w:sz w:val="21"/>
                <w:szCs w:val="21"/>
              </w:rPr>
            </w:pPr>
            <w:r>
              <w:rPr>
                <w:rFonts w:hAnsi="宋体"/>
                <w:color w:val="auto"/>
                <w:sz w:val="21"/>
                <w:szCs w:val="21"/>
              </w:rPr>
              <w:t>Ⅲ</w:t>
            </w:r>
          </w:p>
        </w:tc>
        <w:tc>
          <w:tcPr>
            <w:tcW w:w="1610" w:type="dxa"/>
            <w:vAlign w:val="center"/>
          </w:tcPr>
          <w:p>
            <w:pPr>
              <w:jc w:val="center"/>
              <w:rPr>
                <w:color w:val="auto"/>
                <w:sz w:val="21"/>
                <w:szCs w:val="21"/>
              </w:rPr>
            </w:pPr>
            <w:r>
              <w:rPr>
                <w:rFonts w:hAnsi="宋体"/>
                <w:color w:val="auto"/>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jc w:val="center"/>
              <w:rPr>
                <w:color w:val="auto"/>
                <w:sz w:val="21"/>
                <w:szCs w:val="21"/>
              </w:rPr>
            </w:pPr>
            <w:r>
              <w:rPr>
                <w:rFonts w:hAnsi="宋体"/>
                <w:color w:val="auto"/>
                <w:sz w:val="21"/>
                <w:szCs w:val="21"/>
              </w:rPr>
              <w:t>环境中度敏感区（</w:t>
            </w:r>
            <w:r>
              <w:rPr>
                <w:color w:val="auto"/>
                <w:sz w:val="21"/>
                <w:szCs w:val="21"/>
              </w:rPr>
              <w:t>E2</w:t>
            </w:r>
            <w:r>
              <w:rPr>
                <w:rFonts w:hAnsi="宋体"/>
                <w:color w:val="auto"/>
                <w:sz w:val="21"/>
                <w:szCs w:val="21"/>
              </w:rPr>
              <w:t>）</w:t>
            </w:r>
          </w:p>
        </w:tc>
        <w:tc>
          <w:tcPr>
            <w:tcW w:w="1559" w:type="dxa"/>
            <w:vAlign w:val="center"/>
          </w:tcPr>
          <w:p>
            <w:pPr>
              <w:jc w:val="center"/>
              <w:rPr>
                <w:color w:val="auto"/>
                <w:sz w:val="21"/>
                <w:szCs w:val="21"/>
              </w:rPr>
            </w:pPr>
            <w:r>
              <w:rPr>
                <w:rFonts w:hAnsi="宋体"/>
                <w:color w:val="auto"/>
                <w:sz w:val="21"/>
                <w:szCs w:val="21"/>
              </w:rPr>
              <w:t>Ⅳ</w:t>
            </w:r>
          </w:p>
        </w:tc>
        <w:tc>
          <w:tcPr>
            <w:tcW w:w="1559" w:type="dxa"/>
            <w:vAlign w:val="center"/>
          </w:tcPr>
          <w:p>
            <w:pPr>
              <w:jc w:val="center"/>
              <w:rPr>
                <w:color w:val="auto"/>
                <w:sz w:val="21"/>
                <w:szCs w:val="21"/>
              </w:rPr>
            </w:pPr>
            <w:r>
              <w:rPr>
                <w:rFonts w:hAnsi="宋体"/>
                <w:color w:val="auto"/>
                <w:sz w:val="21"/>
                <w:szCs w:val="21"/>
              </w:rPr>
              <w:t>Ⅲ</w:t>
            </w:r>
          </w:p>
        </w:tc>
        <w:tc>
          <w:tcPr>
            <w:tcW w:w="1559" w:type="dxa"/>
            <w:vAlign w:val="center"/>
          </w:tcPr>
          <w:p>
            <w:pPr>
              <w:jc w:val="center"/>
              <w:rPr>
                <w:color w:val="auto"/>
                <w:sz w:val="21"/>
                <w:szCs w:val="21"/>
              </w:rPr>
            </w:pPr>
            <w:r>
              <w:rPr>
                <w:rFonts w:hAnsi="宋体"/>
                <w:color w:val="auto"/>
                <w:sz w:val="21"/>
                <w:szCs w:val="21"/>
              </w:rPr>
              <w:t>Ⅲ</w:t>
            </w:r>
          </w:p>
        </w:tc>
        <w:tc>
          <w:tcPr>
            <w:tcW w:w="1610" w:type="dxa"/>
            <w:vAlign w:val="center"/>
          </w:tcPr>
          <w:p>
            <w:pPr>
              <w:jc w:val="center"/>
              <w:rPr>
                <w:color w:val="auto"/>
                <w:sz w:val="21"/>
                <w:szCs w:val="21"/>
              </w:rPr>
            </w:pPr>
            <w:r>
              <w:rPr>
                <w:rFonts w:hAnsi="宋体"/>
                <w:color w:val="auto"/>
                <w:sz w:val="21"/>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jc w:val="center"/>
              <w:rPr>
                <w:color w:val="auto"/>
                <w:sz w:val="21"/>
                <w:szCs w:val="21"/>
              </w:rPr>
            </w:pPr>
            <w:r>
              <w:rPr>
                <w:rFonts w:hAnsi="宋体"/>
                <w:color w:val="auto"/>
                <w:sz w:val="21"/>
                <w:szCs w:val="21"/>
              </w:rPr>
              <w:t>环境低度敏感区（</w:t>
            </w:r>
            <w:r>
              <w:rPr>
                <w:color w:val="auto"/>
                <w:sz w:val="21"/>
                <w:szCs w:val="21"/>
              </w:rPr>
              <w:t>E3</w:t>
            </w:r>
            <w:r>
              <w:rPr>
                <w:rFonts w:hAnsi="宋体"/>
                <w:color w:val="auto"/>
                <w:sz w:val="21"/>
                <w:szCs w:val="21"/>
              </w:rPr>
              <w:t>）</w:t>
            </w:r>
          </w:p>
        </w:tc>
        <w:tc>
          <w:tcPr>
            <w:tcW w:w="1559" w:type="dxa"/>
            <w:vAlign w:val="center"/>
          </w:tcPr>
          <w:p>
            <w:pPr>
              <w:jc w:val="center"/>
              <w:rPr>
                <w:color w:val="auto"/>
                <w:sz w:val="21"/>
                <w:szCs w:val="21"/>
              </w:rPr>
            </w:pPr>
            <w:r>
              <w:rPr>
                <w:rFonts w:hAnsi="宋体"/>
                <w:color w:val="auto"/>
                <w:sz w:val="21"/>
                <w:szCs w:val="21"/>
              </w:rPr>
              <w:t>Ⅲ</w:t>
            </w:r>
          </w:p>
        </w:tc>
        <w:tc>
          <w:tcPr>
            <w:tcW w:w="1559" w:type="dxa"/>
            <w:vAlign w:val="center"/>
          </w:tcPr>
          <w:p>
            <w:pPr>
              <w:jc w:val="center"/>
              <w:rPr>
                <w:color w:val="auto"/>
                <w:sz w:val="21"/>
                <w:szCs w:val="21"/>
              </w:rPr>
            </w:pPr>
            <w:r>
              <w:rPr>
                <w:rFonts w:hAnsi="宋体"/>
                <w:color w:val="auto"/>
                <w:sz w:val="21"/>
                <w:szCs w:val="21"/>
              </w:rPr>
              <w:t>Ⅲ</w:t>
            </w:r>
          </w:p>
        </w:tc>
        <w:tc>
          <w:tcPr>
            <w:tcW w:w="1559" w:type="dxa"/>
            <w:vAlign w:val="center"/>
          </w:tcPr>
          <w:p>
            <w:pPr>
              <w:jc w:val="center"/>
              <w:rPr>
                <w:color w:val="auto"/>
                <w:sz w:val="21"/>
                <w:szCs w:val="21"/>
              </w:rPr>
            </w:pPr>
            <w:r>
              <w:rPr>
                <w:rFonts w:hAnsi="宋体"/>
                <w:color w:val="auto"/>
                <w:sz w:val="21"/>
                <w:szCs w:val="21"/>
              </w:rPr>
              <w:t>Ⅱ</w:t>
            </w:r>
          </w:p>
        </w:tc>
        <w:tc>
          <w:tcPr>
            <w:tcW w:w="1610" w:type="dxa"/>
            <w:vAlign w:val="center"/>
          </w:tcPr>
          <w:p>
            <w:pPr>
              <w:jc w:val="center"/>
              <w:rPr>
                <w:color w:val="auto"/>
                <w:sz w:val="21"/>
                <w:szCs w:val="21"/>
              </w:rPr>
            </w:pPr>
            <w:r>
              <w:rPr>
                <w:rFonts w:hAnsi="宋体"/>
                <w:color w:val="auto"/>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jc w:val="left"/>
              <w:rPr>
                <w:color w:val="auto"/>
                <w:sz w:val="21"/>
                <w:szCs w:val="21"/>
              </w:rPr>
            </w:pPr>
            <w:r>
              <w:rPr>
                <w:rFonts w:hAnsi="宋体"/>
                <w:color w:val="auto"/>
                <w:sz w:val="21"/>
                <w:szCs w:val="21"/>
              </w:rPr>
              <w:t>注：Ⅳ</w:t>
            </w:r>
            <w:r>
              <w:rPr>
                <w:color w:val="auto"/>
                <w:sz w:val="21"/>
                <w:szCs w:val="21"/>
                <w:vertAlign w:val="superscript"/>
              </w:rPr>
              <w:t>+</w:t>
            </w:r>
            <w:r>
              <w:rPr>
                <w:rFonts w:hAnsi="宋体"/>
                <w:color w:val="auto"/>
                <w:sz w:val="21"/>
                <w:szCs w:val="21"/>
              </w:rPr>
              <w:t>为极高环境风险。</w:t>
            </w:r>
          </w:p>
        </w:tc>
      </w:tr>
    </w:tbl>
    <w:p>
      <w:pPr>
        <w:spacing w:line="360" w:lineRule="auto"/>
        <w:ind w:firstLine="480" w:firstLineChars="200"/>
        <w:jc w:val="left"/>
        <w:rPr>
          <w:color w:val="auto"/>
          <w:sz w:val="24"/>
          <w:szCs w:val="24"/>
        </w:rPr>
      </w:pPr>
      <w:r>
        <w:rPr>
          <w:rFonts w:hint="eastAsia"/>
          <w:color w:val="auto"/>
          <w:sz w:val="24"/>
          <w:szCs w:val="24"/>
        </w:rPr>
        <w:t>分析建设项目生产、使用、储存过程中涉及的有毒有害、易燃易爆物质，参见《建设项目环境风险评价技术导则》(HJ169-2018)附录B确定危险物质的临界量。定量分析危险物质数量与临界量的比值（Q）和所属行业及生产工艺特点（M），按《建设项目环境风险评价技术导则》(HJ169-2018)附录C对危险物质及工艺系统危险性（P）等级进行判断。</w:t>
      </w:r>
    </w:p>
    <w:p>
      <w:pPr>
        <w:spacing w:line="360" w:lineRule="auto"/>
        <w:ind w:firstLine="480" w:firstLineChars="200"/>
        <w:jc w:val="left"/>
        <w:rPr>
          <w:color w:val="auto"/>
          <w:sz w:val="24"/>
          <w:szCs w:val="24"/>
        </w:rPr>
      </w:pPr>
      <w:r>
        <w:rPr>
          <w:rFonts w:hint="eastAsia"/>
          <w:color w:val="auto"/>
          <w:sz w:val="24"/>
          <w:szCs w:val="24"/>
        </w:rPr>
        <w:t>计算所涉及的每种危险物质在厂界内的最大存在总量与其在《建设项目环境风险评价技术导则》(HJ169-2018)附录B中对应临界Q。当只涉及一种危险物质时，计算该物质的总量与其临界量比值，即为Q；当存在多种危险物质时，则按下式计算物质总量与其临界量比值（Q）：</w:t>
      </w:r>
    </w:p>
    <w:p>
      <w:pPr>
        <w:spacing w:line="360" w:lineRule="auto"/>
        <w:jc w:val="center"/>
        <w:rPr>
          <w:color w:val="auto"/>
          <w:sz w:val="24"/>
          <w:szCs w:val="24"/>
        </w:rPr>
      </w:pPr>
      <w:r>
        <w:rPr>
          <w:rFonts w:hint="eastAsia"/>
          <w:color w:val="auto"/>
          <w:sz w:val="24"/>
          <w:szCs w:val="24"/>
        </w:rPr>
        <w:drawing>
          <wp:inline distT="0" distB="0" distL="0" distR="0">
            <wp:extent cx="1492250" cy="396875"/>
            <wp:effectExtent l="1905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noChangeArrowheads="1"/>
                    </pic:cNvPicPr>
                  </pic:nvPicPr>
                  <pic:blipFill>
                    <a:blip r:embed="rId19" cstate="print"/>
                    <a:srcRect/>
                    <a:stretch>
                      <a:fillRect/>
                    </a:stretch>
                  </pic:blipFill>
                  <pic:spPr>
                    <a:xfrm>
                      <a:off x="0" y="0"/>
                      <a:ext cx="1492250" cy="396875"/>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式中：q</w:t>
      </w:r>
      <w:r>
        <w:rPr>
          <w:rFonts w:hint="eastAsia"/>
          <w:color w:val="auto"/>
          <w:sz w:val="24"/>
          <w:szCs w:val="24"/>
          <w:vertAlign w:val="subscript"/>
        </w:rPr>
        <w:t>1</w:t>
      </w:r>
      <w:r>
        <w:rPr>
          <w:rFonts w:hint="eastAsia"/>
          <w:color w:val="auto"/>
          <w:sz w:val="24"/>
          <w:szCs w:val="24"/>
        </w:rPr>
        <w:t>，q</w:t>
      </w:r>
      <w:r>
        <w:rPr>
          <w:rFonts w:hint="eastAsia"/>
          <w:color w:val="auto"/>
          <w:sz w:val="24"/>
          <w:szCs w:val="24"/>
          <w:vertAlign w:val="subscript"/>
        </w:rPr>
        <w:t>2</w:t>
      </w:r>
      <w:r>
        <w:rPr>
          <w:rFonts w:hint="eastAsia"/>
          <w:color w:val="auto"/>
          <w:sz w:val="24"/>
          <w:szCs w:val="24"/>
        </w:rPr>
        <w:t>，...，q</w:t>
      </w:r>
      <w:r>
        <w:rPr>
          <w:rFonts w:hint="eastAsia"/>
          <w:color w:val="auto"/>
          <w:sz w:val="24"/>
          <w:szCs w:val="24"/>
          <w:vertAlign w:val="subscript"/>
        </w:rPr>
        <w:t>n</w:t>
      </w:r>
      <w:r>
        <w:rPr>
          <w:rFonts w:hint="eastAsia"/>
          <w:color w:val="auto"/>
          <w:sz w:val="24"/>
          <w:szCs w:val="24"/>
        </w:rPr>
        <w:t>—每种危险物质的最大存在总量，t；</w:t>
      </w:r>
    </w:p>
    <w:p>
      <w:pPr>
        <w:spacing w:line="360" w:lineRule="auto"/>
        <w:ind w:firstLine="480" w:firstLineChars="200"/>
        <w:jc w:val="left"/>
        <w:rPr>
          <w:color w:val="auto"/>
          <w:sz w:val="24"/>
          <w:szCs w:val="24"/>
        </w:rPr>
      </w:pPr>
      <w:r>
        <w:rPr>
          <w:rFonts w:hint="eastAsia"/>
          <w:color w:val="auto"/>
          <w:sz w:val="24"/>
          <w:szCs w:val="24"/>
        </w:rPr>
        <w:t>Q</w:t>
      </w:r>
      <w:r>
        <w:rPr>
          <w:rFonts w:hint="eastAsia"/>
          <w:color w:val="auto"/>
          <w:sz w:val="24"/>
          <w:szCs w:val="24"/>
          <w:vertAlign w:val="subscript"/>
        </w:rPr>
        <w:t>1</w:t>
      </w:r>
      <w:r>
        <w:rPr>
          <w:rFonts w:hint="eastAsia"/>
          <w:color w:val="auto"/>
          <w:sz w:val="24"/>
          <w:szCs w:val="24"/>
        </w:rPr>
        <w:t>, Q</w:t>
      </w:r>
      <w:r>
        <w:rPr>
          <w:rFonts w:hint="eastAsia"/>
          <w:color w:val="auto"/>
          <w:sz w:val="24"/>
          <w:szCs w:val="24"/>
          <w:vertAlign w:val="subscript"/>
        </w:rPr>
        <w:t>2</w:t>
      </w:r>
      <w:r>
        <w:rPr>
          <w:rFonts w:hint="eastAsia"/>
          <w:color w:val="auto"/>
          <w:sz w:val="24"/>
          <w:szCs w:val="24"/>
        </w:rPr>
        <w:t>, ..., Q</w:t>
      </w:r>
      <w:r>
        <w:rPr>
          <w:rFonts w:hint="eastAsia"/>
          <w:color w:val="auto"/>
          <w:sz w:val="24"/>
          <w:szCs w:val="24"/>
          <w:vertAlign w:val="subscript"/>
        </w:rPr>
        <w:t>n</w:t>
      </w:r>
      <w:r>
        <w:rPr>
          <w:rFonts w:hint="eastAsia"/>
          <w:color w:val="auto"/>
          <w:sz w:val="24"/>
          <w:szCs w:val="24"/>
        </w:rPr>
        <w:t>—每种危险物质的临界量，t。</w:t>
      </w:r>
    </w:p>
    <w:p>
      <w:pPr>
        <w:spacing w:line="360" w:lineRule="auto"/>
        <w:ind w:firstLine="480" w:firstLineChars="200"/>
        <w:jc w:val="left"/>
        <w:rPr>
          <w:color w:val="auto"/>
          <w:sz w:val="24"/>
          <w:szCs w:val="24"/>
        </w:rPr>
      </w:pPr>
      <w:r>
        <w:rPr>
          <w:rFonts w:hint="eastAsia"/>
          <w:color w:val="auto"/>
          <w:sz w:val="24"/>
          <w:szCs w:val="24"/>
        </w:rPr>
        <w:t>当Q＜1 时，该项目环境风险潜势为Ⅰ。</w:t>
      </w:r>
    </w:p>
    <w:p>
      <w:pPr>
        <w:spacing w:line="360" w:lineRule="auto"/>
        <w:ind w:firstLine="480" w:firstLineChars="200"/>
        <w:jc w:val="left"/>
        <w:rPr>
          <w:color w:val="auto"/>
          <w:sz w:val="24"/>
          <w:szCs w:val="24"/>
        </w:rPr>
      </w:pPr>
      <w:r>
        <w:rPr>
          <w:rFonts w:hint="eastAsia"/>
          <w:color w:val="auto"/>
          <w:sz w:val="24"/>
          <w:szCs w:val="24"/>
        </w:rPr>
        <w:t>当Q≥1 时，将Q 值划分为：（1）1≤Q＜10；（2）10≤Q＜100；（3）Q≥100。</w:t>
      </w:r>
    </w:p>
    <w:p>
      <w:pPr>
        <w:spacing w:line="360" w:lineRule="auto"/>
        <w:ind w:firstLine="480" w:firstLineChars="200"/>
        <w:jc w:val="left"/>
        <w:rPr>
          <w:rFonts w:hint="eastAsia"/>
          <w:color w:val="auto"/>
          <w:sz w:val="24"/>
          <w:szCs w:val="24"/>
        </w:rPr>
      </w:pPr>
      <w:r>
        <w:rPr>
          <w:rFonts w:hint="eastAsia"/>
          <w:color w:val="auto"/>
          <w:sz w:val="24"/>
          <w:szCs w:val="24"/>
        </w:rPr>
        <w:t>本项目涉及危险物质总量与其临界量比值详见下表。</w:t>
      </w:r>
    </w:p>
    <w:p>
      <w:pPr>
        <w:spacing w:line="360" w:lineRule="auto"/>
        <w:ind w:firstLine="480" w:firstLineChars="200"/>
        <w:jc w:val="left"/>
        <w:rPr>
          <w:rFonts w:hint="eastAsia"/>
          <w:color w:val="auto"/>
          <w:sz w:val="24"/>
          <w:szCs w:val="24"/>
        </w:rPr>
      </w:pPr>
    </w:p>
    <w:p>
      <w:pPr>
        <w:spacing w:line="360" w:lineRule="auto"/>
        <w:jc w:val="center"/>
        <w:rPr>
          <w:b/>
          <w:color w:val="auto"/>
          <w:sz w:val="24"/>
          <w:szCs w:val="24"/>
        </w:rPr>
      </w:pPr>
      <w:r>
        <w:rPr>
          <w:rFonts w:hint="eastAsia"/>
          <w:b/>
          <w:color w:val="auto"/>
          <w:sz w:val="24"/>
          <w:szCs w:val="24"/>
        </w:rPr>
        <w:t>表2-7-13   建设项目 Q 值确定表</w:t>
      </w:r>
    </w:p>
    <w:tbl>
      <w:tblPr>
        <w:tblStyle w:val="29"/>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706"/>
        <w:gridCol w:w="1276"/>
        <w:gridCol w:w="1843"/>
        <w:gridCol w:w="127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jc w:val="center"/>
              <w:rPr>
                <w:b/>
                <w:color w:val="auto"/>
                <w:sz w:val="21"/>
                <w:szCs w:val="21"/>
              </w:rPr>
            </w:pPr>
            <w:r>
              <w:rPr>
                <w:b/>
                <w:color w:val="auto"/>
                <w:sz w:val="21"/>
                <w:szCs w:val="21"/>
              </w:rPr>
              <w:t>序号</w:t>
            </w:r>
          </w:p>
        </w:tc>
        <w:tc>
          <w:tcPr>
            <w:tcW w:w="1706" w:type="dxa"/>
            <w:vAlign w:val="center"/>
          </w:tcPr>
          <w:p>
            <w:pPr>
              <w:jc w:val="center"/>
              <w:rPr>
                <w:b/>
                <w:color w:val="auto"/>
                <w:sz w:val="21"/>
                <w:szCs w:val="21"/>
              </w:rPr>
            </w:pPr>
            <w:r>
              <w:rPr>
                <w:b/>
                <w:color w:val="auto"/>
                <w:sz w:val="21"/>
                <w:szCs w:val="21"/>
              </w:rPr>
              <w:t>危险物质名称</w:t>
            </w:r>
          </w:p>
        </w:tc>
        <w:tc>
          <w:tcPr>
            <w:tcW w:w="1276" w:type="dxa"/>
            <w:vAlign w:val="center"/>
          </w:tcPr>
          <w:p>
            <w:pPr>
              <w:jc w:val="center"/>
              <w:rPr>
                <w:b/>
                <w:color w:val="auto"/>
                <w:sz w:val="21"/>
                <w:szCs w:val="21"/>
              </w:rPr>
            </w:pPr>
            <w:r>
              <w:rPr>
                <w:b/>
                <w:color w:val="auto"/>
                <w:sz w:val="21"/>
                <w:szCs w:val="21"/>
              </w:rPr>
              <w:t>CAS号</w:t>
            </w:r>
          </w:p>
        </w:tc>
        <w:tc>
          <w:tcPr>
            <w:tcW w:w="1843" w:type="dxa"/>
            <w:vAlign w:val="center"/>
          </w:tcPr>
          <w:p>
            <w:pPr>
              <w:jc w:val="center"/>
              <w:rPr>
                <w:b/>
                <w:color w:val="auto"/>
                <w:sz w:val="21"/>
                <w:szCs w:val="21"/>
              </w:rPr>
            </w:pPr>
            <w:r>
              <w:rPr>
                <w:b/>
                <w:color w:val="auto"/>
                <w:sz w:val="21"/>
                <w:szCs w:val="21"/>
              </w:rPr>
              <w:t>最大存在总量q</w:t>
            </w:r>
            <w:r>
              <w:rPr>
                <w:b/>
                <w:color w:val="auto"/>
                <w:sz w:val="21"/>
                <w:szCs w:val="21"/>
                <w:vertAlign w:val="subscript"/>
              </w:rPr>
              <w:t>n</w:t>
            </w:r>
            <w:r>
              <w:rPr>
                <w:b/>
                <w:color w:val="auto"/>
                <w:sz w:val="21"/>
                <w:szCs w:val="21"/>
              </w:rPr>
              <w:t>/t</w:t>
            </w:r>
          </w:p>
        </w:tc>
        <w:tc>
          <w:tcPr>
            <w:tcW w:w="1276" w:type="dxa"/>
            <w:vAlign w:val="center"/>
          </w:tcPr>
          <w:p>
            <w:pPr>
              <w:jc w:val="center"/>
              <w:rPr>
                <w:b/>
                <w:color w:val="auto"/>
                <w:sz w:val="21"/>
                <w:szCs w:val="21"/>
              </w:rPr>
            </w:pPr>
            <w:r>
              <w:rPr>
                <w:b/>
                <w:color w:val="auto"/>
                <w:sz w:val="21"/>
                <w:szCs w:val="21"/>
              </w:rPr>
              <w:t>临界量Q</w:t>
            </w:r>
            <w:r>
              <w:rPr>
                <w:b/>
                <w:color w:val="auto"/>
                <w:sz w:val="21"/>
                <w:szCs w:val="21"/>
                <w:vertAlign w:val="subscript"/>
              </w:rPr>
              <w:t>n</w:t>
            </w:r>
            <w:r>
              <w:rPr>
                <w:b/>
                <w:color w:val="auto"/>
                <w:sz w:val="21"/>
                <w:szCs w:val="21"/>
              </w:rPr>
              <w:t>/t</w:t>
            </w:r>
          </w:p>
        </w:tc>
        <w:tc>
          <w:tcPr>
            <w:tcW w:w="1984" w:type="dxa"/>
            <w:vAlign w:val="center"/>
          </w:tcPr>
          <w:p>
            <w:pPr>
              <w:jc w:val="center"/>
              <w:rPr>
                <w:b/>
                <w:color w:val="auto"/>
                <w:sz w:val="21"/>
                <w:szCs w:val="21"/>
              </w:rPr>
            </w:pPr>
            <w:r>
              <w:rPr>
                <w:b/>
                <w:color w:val="auto"/>
                <w:sz w:val="21"/>
                <w:szCs w:val="21"/>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jc w:val="center"/>
              <w:rPr>
                <w:color w:val="auto"/>
                <w:sz w:val="21"/>
                <w:szCs w:val="21"/>
              </w:rPr>
            </w:pPr>
            <w:r>
              <w:rPr>
                <w:color w:val="auto"/>
                <w:sz w:val="21"/>
                <w:szCs w:val="21"/>
              </w:rPr>
              <w:t>1</w:t>
            </w:r>
          </w:p>
        </w:tc>
        <w:tc>
          <w:tcPr>
            <w:tcW w:w="1706" w:type="dxa"/>
            <w:vAlign w:val="center"/>
          </w:tcPr>
          <w:p>
            <w:pPr>
              <w:jc w:val="center"/>
              <w:rPr>
                <w:color w:val="auto"/>
                <w:sz w:val="21"/>
                <w:szCs w:val="21"/>
              </w:rPr>
            </w:pPr>
            <w:r>
              <w:rPr>
                <w:color w:val="auto"/>
                <w:sz w:val="21"/>
                <w:szCs w:val="21"/>
              </w:rPr>
              <w:t>10% NaClO溶液</w:t>
            </w:r>
          </w:p>
        </w:tc>
        <w:tc>
          <w:tcPr>
            <w:tcW w:w="1276" w:type="dxa"/>
            <w:vAlign w:val="center"/>
          </w:tcPr>
          <w:p>
            <w:pPr>
              <w:jc w:val="center"/>
              <w:rPr>
                <w:color w:val="auto"/>
                <w:sz w:val="22"/>
                <w:szCs w:val="22"/>
              </w:rPr>
            </w:pPr>
            <w:r>
              <w:rPr>
                <w:rFonts w:hint="eastAsia"/>
                <w:color w:val="auto"/>
                <w:sz w:val="22"/>
                <w:szCs w:val="22"/>
              </w:rPr>
              <w:t>7681-52-9</w:t>
            </w:r>
          </w:p>
        </w:tc>
        <w:tc>
          <w:tcPr>
            <w:tcW w:w="1843" w:type="dxa"/>
            <w:vAlign w:val="center"/>
          </w:tcPr>
          <w:p>
            <w:pPr>
              <w:jc w:val="center"/>
              <w:rPr>
                <w:color w:val="auto"/>
                <w:sz w:val="21"/>
                <w:szCs w:val="21"/>
              </w:rPr>
            </w:pPr>
            <w:r>
              <w:rPr>
                <w:color w:val="auto"/>
                <w:sz w:val="21"/>
                <w:szCs w:val="21"/>
              </w:rPr>
              <w:t>2（折纯）</w:t>
            </w:r>
          </w:p>
        </w:tc>
        <w:tc>
          <w:tcPr>
            <w:tcW w:w="1276" w:type="dxa"/>
            <w:vAlign w:val="center"/>
          </w:tcPr>
          <w:p>
            <w:pPr>
              <w:jc w:val="center"/>
              <w:rPr>
                <w:color w:val="auto"/>
                <w:sz w:val="22"/>
                <w:szCs w:val="22"/>
              </w:rPr>
            </w:pPr>
            <w:r>
              <w:rPr>
                <w:rFonts w:hint="eastAsia"/>
                <w:color w:val="auto"/>
                <w:sz w:val="22"/>
                <w:szCs w:val="22"/>
              </w:rPr>
              <w:t>5</w:t>
            </w:r>
          </w:p>
        </w:tc>
        <w:tc>
          <w:tcPr>
            <w:tcW w:w="1984" w:type="dxa"/>
            <w:vAlign w:val="center"/>
          </w:tcPr>
          <w:p>
            <w:pPr>
              <w:jc w:val="center"/>
              <w:rPr>
                <w:color w:val="auto"/>
                <w:sz w:val="22"/>
                <w:szCs w:val="22"/>
              </w:rPr>
            </w:pPr>
            <w:r>
              <w:rPr>
                <w:rFonts w:hint="eastAsia"/>
                <w:color w:val="auto"/>
                <w:sz w:val="22"/>
                <w:szCs w:val="22"/>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jc w:val="center"/>
              <w:rPr>
                <w:color w:val="auto"/>
                <w:sz w:val="21"/>
                <w:szCs w:val="21"/>
              </w:rPr>
            </w:pPr>
            <w:r>
              <w:rPr>
                <w:color w:val="auto"/>
                <w:sz w:val="21"/>
                <w:szCs w:val="21"/>
              </w:rPr>
              <w:t>2</w:t>
            </w:r>
          </w:p>
        </w:tc>
        <w:tc>
          <w:tcPr>
            <w:tcW w:w="1706" w:type="dxa"/>
            <w:vAlign w:val="center"/>
          </w:tcPr>
          <w:p>
            <w:pPr>
              <w:jc w:val="center"/>
              <w:rPr>
                <w:color w:val="auto"/>
                <w:sz w:val="21"/>
                <w:szCs w:val="21"/>
              </w:rPr>
            </w:pPr>
            <w:r>
              <w:rPr>
                <w:color w:val="auto"/>
                <w:sz w:val="21"/>
                <w:szCs w:val="21"/>
              </w:rPr>
              <w:t>10% PAC溶液</w:t>
            </w:r>
          </w:p>
        </w:tc>
        <w:tc>
          <w:tcPr>
            <w:tcW w:w="1276" w:type="dxa"/>
            <w:vAlign w:val="center"/>
          </w:tcPr>
          <w:p>
            <w:pPr>
              <w:jc w:val="center"/>
              <w:rPr>
                <w:color w:val="auto"/>
                <w:sz w:val="22"/>
                <w:szCs w:val="22"/>
              </w:rPr>
            </w:pPr>
            <w:r>
              <w:rPr>
                <w:color w:val="auto"/>
                <w:sz w:val="22"/>
                <w:szCs w:val="22"/>
              </w:rPr>
              <w:t>1327-41-9</w:t>
            </w:r>
          </w:p>
        </w:tc>
        <w:tc>
          <w:tcPr>
            <w:tcW w:w="1843" w:type="dxa"/>
            <w:vAlign w:val="center"/>
          </w:tcPr>
          <w:p>
            <w:pPr>
              <w:jc w:val="center"/>
              <w:rPr>
                <w:color w:val="auto"/>
                <w:sz w:val="21"/>
                <w:szCs w:val="21"/>
              </w:rPr>
            </w:pPr>
            <w:r>
              <w:rPr>
                <w:color w:val="auto"/>
                <w:sz w:val="21"/>
                <w:szCs w:val="21"/>
              </w:rPr>
              <w:t>2（折纯）</w:t>
            </w:r>
          </w:p>
        </w:tc>
        <w:tc>
          <w:tcPr>
            <w:tcW w:w="1276" w:type="dxa"/>
            <w:vAlign w:val="center"/>
          </w:tcPr>
          <w:p>
            <w:pPr>
              <w:jc w:val="center"/>
              <w:rPr>
                <w:color w:val="auto"/>
                <w:sz w:val="22"/>
                <w:szCs w:val="22"/>
              </w:rPr>
            </w:pPr>
            <w:r>
              <w:rPr>
                <w:color w:val="auto"/>
                <w:sz w:val="22"/>
                <w:szCs w:val="22"/>
              </w:rPr>
              <w:t>50</w:t>
            </w:r>
          </w:p>
        </w:tc>
        <w:tc>
          <w:tcPr>
            <w:tcW w:w="1984" w:type="dxa"/>
            <w:vAlign w:val="center"/>
          </w:tcPr>
          <w:p>
            <w:pPr>
              <w:jc w:val="center"/>
              <w:rPr>
                <w:color w:val="auto"/>
                <w:sz w:val="22"/>
                <w:szCs w:val="22"/>
              </w:rPr>
            </w:pPr>
            <w:r>
              <w:rPr>
                <w:color w:val="auto"/>
                <w:sz w:val="22"/>
                <w:szCs w:val="22"/>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670" w:type="dxa"/>
            <w:vAlign w:val="center"/>
          </w:tcPr>
          <w:p>
            <w:pPr>
              <w:adjustRightInd w:val="0"/>
              <w:snapToGrid w:val="0"/>
              <w:jc w:val="center"/>
              <w:rPr>
                <w:color w:val="auto"/>
                <w:sz w:val="21"/>
                <w:szCs w:val="21"/>
              </w:rPr>
            </w:pPr>
            <w:r>
              <w:rPr>
                <w:color w:val="auto"/>
                <w:sz w:val="21"/>
                <w:szCs w:val="21"/>
              </w:rPr>
              <w:t>3</w:t>
            </w:r>
          </w:p>
        </w:tc>
        <w:tc>
          <w:tcPr>
            <w:tcW w:w="1706" w:type="dxa"/>
            <w:vAlign w:val="center"/>
          </w:tcPr>
          <w:p>
            <w:pPr>
              <w:adjustRightInd w:val="0"/>
              <w:snapToGrid w:val="0"/>
              <w:jc w:val="center"/>
              <w:rPr>
                <w:color w:val="auto"/>
                <w:sz w:val="21"/>
                <w:szCs w:val="21"/>
              </w:rPr>
            </w:pPr>
            <w:r>
              <w:rPr>
                <w:color w:val="auto"/>
                <w:sz w:val="21"/>
                <w:szCs w:val="21"/>
              </w:rPr>
              <w:t>石灰</w:t>
            </w:r>
          </w:p>
        </w:tc>
        <w:tc>
          <w:tcPr>
            <w:tcW w:w="1276" w:type="dxa"/>
            <w:vAlign w:val="center"/>
          </w:tcPr>
          <w:p>
            <w:pPr>
              <w:adjustRightInd w:val="0"/>
              <w:snapToGrid w:val="0"/>
              <w:jc w:val="center"/>
              <w:rPr>
                <w:color w:val="auto"/>
                <w:sz w:val="22"/>
                <w:szCs w:val="22"/>
              </w:rPr>
            </w:pPr>
            <w:r>
              <w:rPr>
                <w:color w:val="auto"/>
                <w:sz w:val="22"/>
                <w:szCs w:val="22"/>
              </w:rPr>
              <w:t>1305-78-8</w:t>
            </w:r>
          </w:p>
        </w:tc>
        <w:tc>
          <w:tcPr>
            <w:tcW w:w="1843" w:type="dxa"/>
            <w:vAlign w:val="center"/>
          </w:tcPr>
          <w:p>
            <w:pPr>
              <w:keepNext/>
              <w:keepLines/>
              <w:adjustRightInd w:val="0"/>
              <w:snapToGrid w:val="0"/>
              <w:jc w:val="center"/>
              <w:outlineLvl w:val="3"/>
              <w:rPr>
                <w:color w:val="auto"/>
                <w:sz w:val="21"/>
                <w:szCs w:val="21"/>
              </w:rPr>
            </w:pPr>
            <w:r>
              <w:rPr>
                <w:rFonts w:hint="eastAsia"/>
                <w:color w:val="auto"/>
                <w:sz w:val="21"/>
                <w:szCs w:val="21"/>
              </w:rPr>
              <w:t>9</w:t>
            </w:r>
          </w:p>
        </w:tc>
        <w:tc>
          <w:tcPr>
            <w:tcW w:w="1276" w:type="dxa"/>
            <w:vAlign w:val="center"/>
          </w:tcPr>
          <w:p>
            <w:pPr>
              <w:keepNext/>
              <w:keepLines/>
              <w:adjustRightInd w:val="0"/>
              <w:snapToGrid w:val="0"/>
              <w:jc w:val="center"/>
              <w:rPr>
                <w:color w:val="auto"/>
                <w:sz w:val="22"/>
                <w:szCs w:val="22"/>
              </w:rPr>
            </w:pPr>
            <w:r>
              <w:rPr>
                <w:color w:val="auto"/>
                <w:sz w:val="22"/>
                <w:szCs w:val="22"/>
              </w:rPr>
              <w:t>50</w:t>
            </w:r>
          </w:p>
        </w:tc>
        <w:tc>
          <w:tcPr>
            <w:tcW w:w="1984" w:type="dxa"/>
            <w:vAlign w:val="center"/>
          </w:tcPr>
          <w:p>
            <w:pPr>
              <w:keepNext/>
              <w:keepLines/>
              <w:adjustRightInd w:val="0"/>
              <w:snapToGrid w:val="0"/>
              <w:jc w:val="center"/>
              <w:rPr>
                <w:color w:val="auto"/>
                <w:sz w:val="22"/>
                <w:szCs w:val="22"/>
              </w:rPr>
            </w:pPr>
            <w:r>
              <w:rPr>
                <w:rFonts w:hint="eastAsia"/>
                <w:color w:val="auto"/>
                <w:sz w:val="22"/>
                <w:szCs w:val="22"/>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jc w:val="center"/>
              <w:rPr>
                <w:color w:val="auto"/>
                <w:sz w:val="21"/>
                <w:szCs w:val="21"/>
              </w:rPr>
            </w:pPr>
            <w:r>
              <w:rPr>
                <w:color w:val="auto"/>
                <w:sz w:val="21"/>
                <w:szCs w:val="21"/>
              </w:rPr>
              <w:t>4</w:t>
            </w:r>
          </w:p>
        </w:tc>
        <w:tc>
          <w:tcPr>
            <w:tcW w:w="1706" w:type="dxa"/>
            <w:vAlign w:val="center"/>
          </w:tcPr>
          <w:p>
            <w:pPr>
              <w:jc w:val="center"/>
              <w:rPr>
                <w:color w:val="auto"/>
                <w:sz w:val="21"/>
                <w:szCs w:val="21"/>
              </w:rPr>
            </w:pPr>
            <w:r>
              <w:rPr>
                <w:color w:val="auto"/>
                <w:sz w:val="21"/>
                <w:szCs w:val="21"/>
              </w:rPr>
              <w:t>30% 铁盐溶液</w:t>
            </w:r>
          </w:p>
        </w:tc>
        <w:tc>
          <w:tcPr>
            <w:tcW w:w="1276" w:type="dxa"/>
            <w:vAlign w:val="center"/>
          </w:tcPr>
          <w:p>
            <w:pPr>
              <w:jc w:val="center"/>
              <w:rPr>
                <w:color w:val="auto"/>
                <w:sz w:val="22"/>
                <w:szCs w:val="22"/>
              </w:rPr>
            </w:pPr>
            <w:r>
              <w:rPr>
                <w:color w:val="auto"/>
                <w:sz w:val="22"/>
                <w:szCs w:val="22"/>
              </w:rPr>
              <w:t>10028-22-5</w:t>
            </w:r>
          </w:p>
        </w:tc>
        <w:tc>
          <w:tcPr>
            <w:tcW w:w="1843" w:type="dxa"/>
            <w:vAlign w:val="center"/>
          </w:tcPr>
          <w:p>
            <w:pPr>
              <w:jc w:val="center"/>
              <w:rPr>
                <w:color w:val="auto"/>
                <w:sz w:val="21"/>
                <w:szCs w:val="21"/>
              </w:rPr>
            </w:pPr>
            <w:r>
              <w:rPr>
                <w:color w:val="auto"/>
                <w:sz w:val="21"/>
                <w:szCs w:val="21"/>
              </w:rPr>
              <w:t>4.5（折纯）</w:t>
            </w:r>
          </w:p>
        </w:tc>
        <w:tc>
          <w:tcPr>
            <w:tcW w:w="1276" w:type="dxa"/>
            <w:vAlign w:val="center"/>
          </w:tcPr>
          <w:p>
            <w:pPr>
              <w:jc w:val="center"/>
              <w:rPr>
                <w:color w:val="auto"/>
                <w:sz w:val="22"/>
                <w:szCs w:val="22"/>
              </w:rPr>
            </w:pPr>
            <w:r>
              <w:rPr>
                <w:color w:val="auto"/>
                <w:sz w:val="22"/>
                <w:szCs w:val="22"/>
              </w:rPr>
              <w:t>50</w:t>
            </w:r>
          </w:p>
        </w:tc>
        <w:tc>
          <w:tcPr>
            <w:tcW w:w="1984" w:type="dxa"/>
            <w:vAlign w:val="center"/>
          </w:tcPr>
          <w:p>
            <w:pPr>
              <w:jc w:val="center"/>
              <w:rPr>
                <w:color w:val="auto"/>
                <w:sz w:val="22"/>
                <w:szCs w:val="22"/>
              </w:rPr>
            </w:pPr>
            <w:r>
              <w:rPr>
                <w:color w:val="auto"/>
                <w:sz w:val="22"/>
                <w:szCs w:val="22"/>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1" w:type="dxa"/>
            <w:gridSpan w:val="5"/>
            <w:vAlign w:val="center"/>
          </w:tcPr>
          <w:p>
            <w:pPr>
              <w:jc w:val="center"/>
              <w:rPr>
                <w:color w:val="auto"/>
                <w:sz w:val="24"/>
                <w:szCs w:val="24"/>
              </w:rPr>
            </w:pPr>
            <w:r>
              <w:rPr>
                <w:color w:val="auto"/>
                <w:sz w:val="21"/>
                <w:szCs w:val="21"/>
              </w:rPr>
              <w:t>项目Q值Σ</w:t>
            </w:r>
          </w:p>
        </w:tc>
        <w:tc>
          <w:tcPr>
            <w:tcW w:w="1984" w:type="dxa"/>
            <w:vAlign w:val="center"/>
          </w:tcPr>
          <w:p>
            <w:pPr>
              <w:jc w:val="center"/>
              <w:rPr>
                <w:color w:val="auto"/>
                <w:sz w:val="22"/>
                <w:szCs w:val="22"/>
              </w:rPr>
            </w:pPr>
            <w:r>
              <w:rPr>
                <w:rFonts w:hint="eastAsia"/>
                <w:color w:val="auto"/>
                <w:sz w:val="22"/>
                <w:szCs w:val="22"/>
              </w:rPr>
              <w:t>0.71</w:t>
            </w:r>
          </w:p>
        </w:tc>
      </w:tr>
    </w:tbl>
    <w:p>
      <w:pPr>
        <w:spacing w:line="360" w:lineRule="auto"/>
        <w:ind w:firstLine="480" w:firstLineChars="200"/>
        <w:jc w:val="left"/>
        <w:rPr>
          <w:color w:val="auto"/>
          <w:sz w:val="24"/>
          <w:szCs w:val="24"/>
        </w:rPr>
      </w:pPr>
      <w:r>
        <w:rPr>
          <w:rFonts w:hint="eastAsia"/>
          <w:color w:val="auto"/>
          <w:sz w:val="24"/>
          <w:szCs w:val="24"/>
        </w:rPr>
        <w:t>注：危险物质储存临界量出自《建设项目环境风险评价技术导则》(HJ169-2018)附录B。除</w:t>
      </w:r>
      <w:r>
        <w:rPr>
          <w:color w:val="auto"/>
          <w:sz w:val="24"/>
          <w:szCs w:val="24"/>
        </w:rPr>
        <w:t>NaClO</w:t>
      </w:r>
      <w:r>
        <w:rPr>
          <w:rFonts w:hint="eastAsia"/>
          <w:color w:val="auto"/>
          <w:sz w:val="24"/>
          <w:szCs w:val="24"/>
        </w:rPr>
        <w:t>外其他危险物质无明显临界量，取“健康危险急性毒性物质（类别2，类别3）”50t。</w:t>
      </w:r>
    </w:p>
    <w:p>
      <w:pPr>
        <w:spacing w:line="360" w:lineRule="auto"/>
        <w:ind w:firstLine="480" w:firstLineChars="200"/>
        <w:jc w:val="left"/>
        <w:rPr>
          <w:color w:val="auto"/>
          <w:sz w:val="24"/>
          <w:szCs w:val="24"/>
        </w:rPr>
      </w:pPr>
      <w:r>
        <w:rPr>
          <w:rFonts w:hint="eastAsia"/>
          <w:color w:val="auto"/>
          <w:sz w:val="24"/>
          <w:szCs w:val="24"/>
        </w:rPr>
        <w:t>本项目物质总量与其临界量比值（Q）为0.71＜1，因此，环境风险潜势为Ⅰ。</w:t>
      </w:r>
    </w:p>
    <w:p>
      <w:pPr>
        <w:spacing w:line="360" w:lineRule="auto"/>
        <w:ind w:firstLine="480" w:firstLineChars="200"/>
        <w:jc w:val="left"/>
        <w:rPr>
          <w:color w:val="auto"/>
          <w:sz w:val="24"/>
          <w:szCs w:val="24"/>
        </w:rPr>
      </w:pPr>
      <w:r>
        <w:rPr>
          <w:rFonts w:hint="eastAsia"/>
          <w:color w:val="auto"/>
          <w:sz w:val="24"/>
          <w:szCs w:val="24"/>
        </w:rPr>
        <w:t>根据《建设项目环境风险评价技术导则》(HJ169-2018)，环境风险评价工作等级划分依据如下：</w:t>
      </w:r>
    </w:p>
    <w:p>
      <w:pPr>
        <w:spacing w:line="360" w:lineRule="auto"/>
        <w:jc w:val="center"/>
        <w:rPr>
          <w:b/>
          <w:color w:val="auto"/>
          <w:sz w:val="24"/>
          <w:szCs w:val="24"/>
        </w:rPr>
      </w:pPr>
      <w:r>
        <w:rPr>
          <w:rFonts w:hint="eastAsia"/>
          <w:b/>
          <w:color w:val="auto"/>
          <w:sz w:val="24"/>
          <w:szCs w:val="24"/>
        </w:rPr>
        <w:t>表2-7-14   评价工作等级划分</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1704"/>
        <w:gridCol w:w="1705"/>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Align w:val="center"/>
          </w:tcPr>
          <w:p>
            <w:pPr>
              <w:jc w:val="center"/>
              <w:rPr>
                <w:color w:val="auto"/>
                <w:sz w:val="21"/>
                <w:szCs w:val="21"/>
              </w:rPr>
            </w:pPr>
            <w:r>
              <w:rPr>
                <w:rFonts w:hint="eastAsia"/>
                <w:color w:val="auto"/>
                <w:sz w:val="21"/>
                <w:szCs w:val="21"/>
              </w:rPr>
              <w:t>环境风险潜势</w:t>
            </w:r>
          </w:p>
        </w:tc>
        <w:tc>
          <w:tcPr>
            <w:tcW w:w="1704" w:type="dxa"/>
            <w:vAlign w:val="center"/>
          </w:tcPr>
          <w:p>
            <w:pPr>
              <w:jc w:val="center"/>
              <w:rPr>
                <w:color w:val="auto"/>
                <w:sz w:val="21"/>
                <w:szCs w:val="21"/>
              </w:rPr>
            </w:pPr>
            <w:r>
              <w:rPr>
                <w:rFonts w:hint="eastAsia"/>
                <w:color w:val="auto"/>
                <w:sz w:val="21"/>
                <w:szCs w:val="21"/>
              </w:rPr>
              <w:t>Ⅳ、Ⅳ</w:t>
            </w:r>
            <w:r>
              <w:rPr>
                <w:rFonts w:hint="eastAsia"/>
                <w:color w:val="auto"/>
                <w:sz w:val="21"/>
                <w:szCs w:val="21"/>
                <w:vertAlign w:val="superscript"/>
              </w:rPr>
              <w:t>+</w:t>
            </w:r>
          </w:p>
        </w:tc>
        <w:tc>
          <w:tcPr>
            <w:tcW w:w="1705" w:type="dxa"/>
            <w:vAlign w:val="center"/>
          </w:tcPr>
          <w:p>
            <w:pPr>
              <w:jc w:val="center"/>
              <w:rPr>
                <w:color w:val="auto"/>
                <w:sz w:val="21"/>
                <w:szCs w:val="21"/>
              </w:rPr>
            </w:pPr>
            <w:r>
              <w:rPr>
                <w:rFonts w:hint="eastAsia"/>
                <w:color w:val="auto"/>
                <w:sz w:val="21"/>
                <w:szCs w:val="21"/>
              </w:rPr>
              <w:t>Ⅲ</w:t>
            </w:r>
          </w:p>
        </w:tc>
        <w:tc>
          <w:tcPr>
            <w:tcW w:w="1705" w:type="dxa"/>
            <w:vAlign w:val="center"/>
          </w:tcPr>
          <w:p>
            <w:pPr>
              <w:jc w:val="center"/>
              <w:rPr>
                <w:color w:val="auto"/>
                <w:sz w:val="21"/>
                <w:szCs w:val="21"/>
              </w:rPr>
            </w:pPr>
            <w:r>
              <w:rPr>
                <w:rFonts w:hint="eastAsia"/>
                <w:color w:val="auto"/>
                <w:sz w:val="21"/>
                <w:szCs w:val="21"/>
              </w:rPr>
              <w:t>Ⅱ</w:t>
            </w:r>
          </w:p>
        </w:tc>
        <w:tc>
          <w:tcPr>
            <w:tcW w:w="1705" w:type="dxa"/>
            <w:vAlign w:val="center"/>
          </w:tcPr>
          <w:p>
            <w:pPr>
              <w:jc w:val="center"/>
              <w:rPr>
                <w:color w:val="auto"/>
                <w:sz w:val="21"/>
                <w:szCs w:val="21"/>
              </w:rPr>
            </w:pPr>
            <w:r>
              <w:rPr>
                <w:rFonts w:hint="eastAsia"/>
                <w:color w:val="auto"/>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Align w:val="center"/>
          </w:tcPr>
          <w:p>
            <w:pPr>
              <w:jc w:val="center"/>
              <w:rPr>
                <w:color w:val="auto"/>
                <w:sz w:val="21"/>
                <w:szCs w:val="21"/>
              </w:rPr>
            </w:pPr>
            <w:r>
              <w:rPr>
                <w:rFonts w:hint="eastAsia"/>
                <w:color w:val="auto"/>
                <w:sz w:val="21"/>
                <w:szCs w:val="21"/>
              </w:rPr>
              <w:t>评价工作等级</w:t>
            </w:r>
          </w:p>
        </w:tc>
        <w:tc>
          <w:tcPr>
            <w:tcW w:w="1704" w:type="dxa"/>
            <w:vAlign w:val="center"/>
          </w:tcPr>
          <w:p>
            <w:pPr>
              <w:jc w:val="center"/>
              <w:rPr>
                <w:color w:val="auto"/>
                <w:sz w:val="21"/>
                <w:szCs w:val="21"/>
              </w:rPr>
            </w:pPr>
            <w:r>
              <w:rPr>
                <w:rFonts w:hint="eastAsia"/>
                <w:color w:val="auto"/>
                <w:sz w:val="21"/>
                <w:szCs w:val="21"/>
              </w:rPr>
              <w:t>一</w:t>
            </w:r>
          </w:p>
        </w:tc>
        <w:tc>
          <w:tcPr>
            <w:tcW w:w="1705" w:type="dxa"/>
            <w:vAlign w:val="center"/>
          </w:tcPr>
          <w:p>
            <w:pPr>
              <w:jc w:val="center"/>
              <w:rPr>
                <w:color w:val="auto"/>
                <w:sz w:val="21"/>
                <w:szCs w:val="21"/>
              </w:rPr>
            </w:pPr>
            <w:r>
              <w:rPr>
                <w:rFonts w:hint="eastAsia"/>
                <w:color w:val="auto"/>
                <w:sz w:val="21"/>
                <w:szCs w:val="21"/>
              </w:rPr>
              <w:t>二</w:t>
            </w:r>
          </w:p>
        </w:tc>
        <w:tc>
          <w:tcPr>
            <w:tcW w:w="1705" w:type="dxa"/>
            <w:vAlign w:val="center"/>
          </w:tcPr>
          <w:p>
            <w:pPr>
              <w:jc w:val="center"/>
              <w:rPr>
                <w:color w:val="auto"/>
                <w:sz w:val="21"/>
                <w:szCs w:val="21"/>
              </w:rPr>
            </w:pPr>
            <w:r>
              <w:rPr>
                <w:rFonts w:hint="eastAsia"/>
                <w:color w:val="auto"/>
                <w:sz w:val="21"/>
                <w:szCs w:val="21"/>
              </w:rPr>
              <w:t>三</w:t>
            </w:r>
          </w:p>
        </w:tc>
        <w:tc>
          <w:tcPr>
            <w:tcW w:w="1705" w:type="dxa"/>
            <w:vAlign w:val="center"/>
          </w:tcPr>
          <w:p>
            <w:pPr>
              <w:jc w:val="center"/>
              <w:rPr>
                <w:color w:val="auto"/>
                <w:sz w:val="21"/>
                <w:szCs w:val="21"/>
              </w:rPr>
            </w:pPr>
            <w:r>
              <w:rPr>
                <w:rFonts w:hint="eastAsia"/>
                <w:color w:val="auto"/>
                <w:sz w:val="21"/>
                <w:szCs w:val="21"/>
              </w:rPr>
              <w:t>简单分析</w:t>
            </w:r>
            <w:r>
              <w:rPr>
                <w:rFonts w:hint="eastAsia"/>
                <w:color w:val="auto"/>
                <w:sz w:val="21"/>
                <w:szCs w:val="21"/>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5"/>
          </w:tcPr>
          <w:p>
            <w:pPr>
              <w:jc w:val="left"/>
              <w:rPr>
                <w:color w:val="auto"/>
                <w:sz w:val="21"/>
                <w:szCs w:val="21"/>
              </w:rPr>
            </w:pPr>
            <w:r>
              <w:rPr>
                <w:rFonts w:hint="eastAsia"/>
                <w:color w:val="auto"/>
                <w:sz w:val="21"/>
                <w:szCs w:val="21"/>
                <w:vertAlign w:val="superscript"/>
              </w:rPr>
              <w:t>a</w:t>
            </w:r>
            <w:r>
              <w:rPr>
                <w:rFonts w:hint="eastAsia"/>
                <w:color w:val="auto"/>
                <w:sz w:val="21"/>
                <w:szCs w:val="21"/>
              </w:rPr>
              <w:t>是相对于详细评价工作内容而言，在描述危险物质、环境影响途径、环境危害后果、风险防范措施等方面给出定性的说明。</w:t>
            </w:r>
          </w:p>
        </w:tc>
      </w:tr>
    </w:tbl>
    <w:p>
      <w:pPr>
        <w:spacing w:line="360" w:lineRule="auto"/>
        <w:ind w:firstLine="480" w:firstLineChars="200"/>
        <w:rPr>
          <w:color w:val="auto"/>
          <w:sz w:val="24"/>
          <w:szCs w:val="24"/>
        </w:rPr>
      </w:pPr>
      <w:r>
        <w:rPr>
          <w:rFonts w:hint="eastAsia"/>
          <w:color w:val="auto"/>
          <w:sz w:val="24"/>
          <w:szCs w:val="24"/>
        </w:rPr>
        <w:t>根据评价工作等级划分表，本项目风险评价等级为“简要分析”。</w:t>
      </w:r>
    </w:p>
    <w:p>
      <w:pPr>
        <w:pStyle w:val="3"/>
        <w:rPr>
          <w:color w:val="auto"/>
        </w:rPr>
      </w:pPr>
      <w:bookmarkStart w:id="56" w:name="_Toc26276792"/>
      <w:bookmarkStart w:id="57" w:name="_Toc26988"/>
      <w:r>
        <w:rPr>
          <w:rFonts w:hint="eastAsia"/>
          <w:color w:val="auto"/>
        </w:rPr>
        <w:t>2.8评价范围及评价时段</w:t>
      </w:r>
      <w:bookmarkEnd w:id="56"/>
      <w:bookmarkEnd w:id="57"/>
    </w:p>
    <w:p>
      <w:pPr>
        <w:pStyle w:val="4"/>
        <w:rPr>
          <w:color w:val="auto"/>
        </w:rPr>
      </w:pPr>
      <w:bookmarkStart w:id="58" w:name="_Toc26276793"/>
      <w:r>
        <w:rPr>
          <w:rFonts w:hint="eastAsia"/>
          <w:color w:val="auto"/>
        </w:rPr>
        <w:t>2.8.1评价范围</w:t>
      </w:r>
      <w:bookmarkEnd w:id="58"/>
    </w:p>
    <w:p>
      <w:pPr>
        <w:spacing w:line="360" w:lineRule="auto"/>
        <w:ind w:firstLine="480" w:firstLineChars="200"/>
        <w:rPr>
          <w:color w:val="auto"/>
          <w:sz w:val="24"/>
          <w:szCs w:val="24"/>
        </w:rPr>
      </w:pPr>
      <w:r>
        <w:rPr>
          <w:rFonts w:hint="eastAsia"/>
          <w:color w:val="auto"/>
          <w:sz w:val="24"/>
          <w:szCs w:val="24"/>
        </w:rPr>
        <w:t>按照《环境影响评价技术导则》的要求，确定本项目评价范围如下：</w:t>
      </w:r>
    </w:p>
    <w:p>
      <w:pPr>
        <w:spacing w:line="360" w:lineRule="auto"/>
        <w:ind w:firstLine="480" w:firstLineChars="200"/>
        <w:rPr>
          <w:color w:val="auto"/>
          <w:sz w:val="24"/>
          <w:szCs w:val="24"/>
        </w:rPr>
      </w:pPr>
      <w:r>
        <w:rPr>
          <w:rFonts w:hint="eastAsia"/>
          <w:color w:val="auto"/>
          <w:sz w:val="24"/>
          <w:szCs w:val="24"/>
        </w:rPr>
        <w:t>1、环境空气：根据《环境影响评价技术导则 大气环境》（HJ2.2-2018）规定，二级评价项目大气环境影响评价范围边长取5km。故，本项目评价范围确定以项目区为中心，取边长为5km的矩形区域，评价面积为25km</w:t>
      </w:r>
      <w:r>
        <w:rPr>
          <w:rFonts w:hint="eastAsia"/>
          <w:color w:val="auto"/>
          <w:sz w:val="24"/>
          <w:szCs w:val="24"/>
          <w:vertAlign w:val="superscript"/>
        </w:rPr>
        <w:t>2</w:t>
      </w:r>
      <w:r>
        <w:rPr>
          <w:rFonts w:hint="eastAsia"/>
          <w:color w:val="auto"/>
          <w:sz w:val="24"/>
          <w:szCs w:val="24"/>
        </w:rPr>
        <w:t>；管线工程评价范围为管道中心两侧200m的范围。</w:t>
      </w:r>
    </w:p>
    <w:p>
      <w:pPr>
        <w:spacing w:line="360" w:lineRule="auto"/>
        <w:ind w:firstLine="480" w:firstLineChars="200"/>
        <w:rPr>
          <w:color w:val="auto"/>
          <w:sz w:val="24"/>
          <w:szCs w:val="24"/>
        </w:rPr>
      </w:pPr>
      <w:r>
        <w:rPr>
          <w:rFonts w:hint="eastAsia"/>
          <w:color w:val="auto"/>
          <w:sz w:val="24"/>
          <w:szCs w:val="24"/>
        </w:rPr>
        <w:t>2、地表水环境：项目地表水环境影响评价工作等级为二级，根据《环境影响评价技术导则 地表水环境》（HJ2.3-2018）中的有关规定，确定地表水评价范围为：项目排污口上游400m至大嵩河与梅江干流交汇口（此段长度为5.2km）、大嵩河与梅江干流交汇口下游1120.87m处，共计河段长度6.32km。</w:t>
      </w:r>
    </w:p>
    <w:p>
      <w:pPr>
        <w:spacing w:line="360" w:lineRule="auto"/>
        <w:ind w:firstLine="480" w:firstLineChars="200"/>
        <w:rPr>
          <w:color w:val="auto"/>
          <w:sz w:val="24"/>
          <w:szCs w:val="24"/>
        </w:rPr>
      </w:pPr>
      <w:r>
        <w:rPr>
          <w:rFonts w:hint="eastAsia"/>
          <w:color w:val="auto"/>
          <w:sz w:val="24"/>
          <w:szCs w:val="24"/>
        </w:rPr>
        <w:t>3、地下水环境：根据《地下水环境影响评价技术导则 地下水环境》（HJ610-2016），地下水环境现状调查评价范围应包括建设项目相关的地下水环境保护目标，以能说明地下水环境现状，反映调查评价区地下水基本渗流特征，满足地下水环境影响预测和评价为基本原则。</w:t>
      </w:r>
    </w:p>
    <w:p>
      <w:pPr>
        <w:spacing w:line="360" w:lineRule="auto"/>
        <w:ind w:firstLine="480" w:firstLineChars="200"/>
        <w:rPr>
          <w:color w:val="auto"/>
          <w:sz w:val="24"/>
          <w:szCs w:val="24"/>
        </w:rPr>
      </w:pPr>
      <w:r>
        <w:rPr>
          <w:rFonts w:hint="eastAsia"/>
          <w:color w:val="auto"/>
          <w:sz w:val="24"/>
          <w:szCs w:val="24"/>
        </w:rPr>
        <w:t>项目地下水环境影响评价工作等级为二级，根据《环境影响评价技术导则 地下水环境》（HJ610-2016）中的有关规定，重点区域为项目场址，同时调查项目周边6km</w:t>
      </w:r>
      <w:r>
        <w:rPr>
          <w:rFonts w:hint="eastAsia"/>
          <w:color w:val="auto"/>
          <w:sz w:val="24"/>
          <w:szCs w:val="24"/>
          <w:vertAlign w:val="superscript"/>
        </w:rPr>
        <w:t>2</w:t>
      </w:r>
      <w:r>
        <w:rPr>
          <w:rFonts w:hint="eastAsia"/>
          <w:color w:val="auto"/>
          <w:sz w:val="24"/>
          <w:szCs w:val="24"/>
        </w:rPr>
        <w:t>范围的地下水利用和污染物排放情况。</w:t>
      </w:r>
    </w:p>
    <w:p>
      <w:pPr>
        <w:spacing w:line="360" w:lineRule="auto"/>
        <w:ind w:firstLine="480" w:firstLineChars="200"/>
        <w:rPr>
          <w:color w:val="auto"/>
          <w:sz w:val="24"/>
          <w:szCs w:val="24"/>
        </w:rPr>
      </w:pPr>
      <w:r>
        <w:rPr>
          <w:rFonts w:hint="eastAsia"/>
          <w:color w:val="auto"/>
          <w:sz w:val="24"/>
          <w:szCs w:val="24"/>
        </w:rPr>
        <w:t>4、声环境：根据《环境影响评价技术导则 声环境》（HJ2.4-2009）中的有关规定，确定噪声评价范围为项目厂界外200m范围内。</w:t>
      </w:r>
    </w:p>
    <w:p>
      <w:pPr>
        <w:spacing w:line="360" w:lineRule="auto"/>
        <w:ind w:firstLine="480" w:firstLineChars="200"/>
        <w:rPr>
          <w:color w:val="auto"/>
          <w:sz w:val="24"/>
          <w:szCs w:val="24"/>
        </w:rPr>
      </w:pPr>
      <w:r>
        <w:rPr>
          <w:rFonts w:hint="eastAsia"/>
          <w:color w:val="auto"/>
          <w:sz w:val="24"/>
          <w:szCs w:val="24"/>
        </w:rPr>
        <w:t>5、生态环境：工程生态环境直接影响范围主要集中在项目区，考虑工程分布和运行特点，以及对区域生态环境景观的影响状况，确定项目生态评价范围为：水质净化厂所在地及其周边200m范围内，管道工程沿线200m范围。</w:t>
      </w:r>
    </w:p>
    <w:p>
      <w:pPr>
        <w:spacing w:line="360" w:lineRule="auto"/>
        <w:ind w:firstLine="480" w:firstLineChars="200"/>
        <w:rPr>
          <w:color w:val="auto"/>
          <w:sz w:val="24"/>
          <w:szCs w:val="24"/>
        </w:rPr>
      </w:pPr>
      <w:r>
        <w:rPr>
          <w:rFonts w:hint="eastAsia"/>
          <w:color w:val="auto"/>
          <w:sz w:val="24"/>
          <w:szCs w:val="24"/>
        </w:rPr>
        <w:t>6、土壤环境：根据《环境影响评价技术导则 土壤环境（试行）》（HJ964-2018）中的有关规定，确定土壤环境评价范围为项目厂界外0.05km范围内。</w:t>
      </w:r>
    </w:p>
    <w:p>
      <w:pPr>
        <w:spacing w:line="360" w:lineRule="auto"/>
        <w:ind w:firstLine="480" w:firstLineChars="200"/>
        <w:rPr>
          <w:color w:val="auto"/>
          <w:sz w:val="24"/>
          <w:szCs w:val="24"/>
        </w:rPr>
      </w:pPr>
      <w:r>
        <w:rPr>
          <w:rFonts w:hint="eastAsia"/>
          <w:color w:val="auto"/>
          <w:sz w:val="24"/>
          <w:szCs w:val="24"/>
        </w:rPr>
        <w:t>7、环境风险：本项目环境风险评价等级为：简单分析。按照《建设项目环境风险评价技术导则》（HJ169-2018）的有关规定进行定性评价。</w:t>
      </w:r>
    </w:p>
    <w:p>
      <w:pPr>
        <w:pStyle w:val="4"/>
        <w:rPr>
          <w:color w:val="auto"/>
        </w:rPr>
      </w:pPr>
      <w:bookmarkStart w:id="59" w:name="_Toc26276794"/>
      <w:r>
        <w:rPr>
          <w:rFonts w:hint="eastAsia"/>
          <w:color w:val="auto"/>
        </w:rPr>
        <w:t>2.8.2评价时段</w:t>
      </w:r>
      <w:bookmarkEnd w:id="59"/>
    </w:p>
    <w:p>
      <w:pPr>
        <w:spacing w:line="360" w:lineRule="auto"/>
        <w:ind w:firstLine="480" w:firstLineChars="200"/>
        <w:rPr>
          <w:color w:val="auto"/>
          <w:sz w:val="24"/>
          <w:szCs w:val="24"/>
        </w:rPr>
      </w:pPr>
      <w:r>
        <w:rPr>
          <w:rFonts w:hint="eastAsia"/>
          <w:color w:val="auto"/>
          <w:sz w:val="24"/>
          <w:szCs w:val="24"/>
        </w:rPr>
        <w:t>1、现状评价时段分为基本资料收集利用时段和环境质量现状监测时段，其中大气环境质量评价基准年取2019 年。</w:t>
      </w:r>
    </w:p>
    <w:p>
      <w:pPr>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r>
        <w:rPr>
          <w:rFonts w:hint="eastAsia"/>
          <w:color w:val="auto"/>
          <w:sz w:val="24"/>
          <w:szCs w:val="24"/>
        </w:rPr>
        <w:t>2、影响预测时段为：施工期和运营期。</w:t>
      </w:r>
    </w:p>
    <w:p>
      <w:pPr>
        <w:jc w:val="center"/>
        <w:rPr>
          <w:color w:val="auto"/>
        </w:rPr>
      </w:pPr>
      <w:bookmarkStart w:id="60" w:name="_Toc26276795"/>
      <w:r>
        <w:rPr>
          <w:color w:val="auto"/>
        </w:rPr>
        <w:drawing>
          <wp:inline distT="0" distB="0" distL="0" distR="0">
            <wp:extent cx="6772275" cy="4949825"/>
            <wp:effectExtent l="19050" t="0" r="930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0" cstate="print"/>
                    <a:srcRect/>
                    <a:stretch>
                      <a:fillRect/>
                    </a:stretch>
                  </pic:blipFill>
                  <pic:spPr>
                    <a:xfrm>
                      <a:off x="0" y="0"/>
                      <a:ext cx="6772500" cy="4950000"/>
                    </a:xfrm>
                    <a:prstGeom prst="rect">
                      <a:avLst/>
                    </a:prstGeom>
                    <a:noFill/>
                    <a:ln w="9525">
                      <a:noFill/>
                      <a:miter lim="800000"/>
                      <a:headEnd/>
                      <a:tailEnd/>
                    </a:ln>
                  </pic:spPr>
                </pic:pic>
              </a:graphicData>
            </a:graphic>
          </wp:inline>
        </w:drawing>
      </w:r>
    </w:p>
    <w:p>
      <w:pPr>
        <w:jc w:val="center"/>
        <w:rPr>
          <w:b/>
          <w:color w:val="auto"/>
          <w:sz w:val="24"/>
          <w:szCs w:val="24"/>
        </w:rPr>
      </w:pPr>
      <w:r>
        <w:rPr>
          <w:rFonts w:hint="eastAsia"/>
          <w:b/>
          <w:color w:val="auto"/>
          <w:sz w:val="24"/>
          <w:szCs w:val="24"/>
        </w:rPr>
        <w:t>图2-8-1   地表水、大气、地下水环境评价范围示意图</w:t>
      </w:r>
    </w:p>
    <w:p>
      <w:pPr>
        <w:jc w:val="center"/>
        <w:rPr>
          <w:color w:val="auto"/>
        </w:rPr>
      </w:pPr>
      <w:r>
        <w:rPr>
          <w:color w:val="auto"/>
        </w:rPr>
        <w:drawing>
          <wp:inline distT="0" distB="0" distL="0" distR="0">
            <wp:extent cx="7978775" cy="4931410"/>
            <wp:effectExtent l="19050" t="0" r="2874" b="0"/>
            <wp:docPr id="7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8"/>
                    <pic:cNvPicPr>
                      <a:picLocks noChangeAspect="1" noChangeArrowheads="1"/>
                    </pic:cNvPicPr>
                  </pic:nvPicPr>
                  <pic:blipFill>
                    <a:blip r:embed="rId21" cstate="print"/>
                    <a:srcRect/>
                    <a:stretch>
                      <a:fillRect/>
                    </a:stretch>
                  </pic:blipFill>
                  <pic:spPr>
                    <a:xfrm>
                      <a:off x="0" y="0"/>
                      <a:ext cx="7979076" cy="4932000"/>
                    </a:xfrm>
                    <a:prstGeom prst="rect">
                      <a:avLst/>
                    </a:prstGeom>
                    <a:noFill/>
                    <a:ln w="9525">
                      <a:noFill/>
                      <a:miter lim="800000"/>
                      <a:headEnd/>
                      <a:tailEnd/>
                    </a:ln>
                  </pic:spPr>
                </pic:pic>
              </a:graphicData>
            </a:graphic>
          </wp:inline>
        </w:drawing>
      </w:r>
    </w:p>
    <w:p>
      <w:pPr>
        <w:jc w:val="center"/>
        <w:rPr>
          <w:b/>
          <w:color w:val="auto"/>
          <w:sz w:val="24"/>
          <w:szCs w:val="24"/>
        </w:rPr>
      </w:pPr>
      <w:r>
        <w:rPr>
          <w:rFonts w:hint="eastAsia"/>
          <w:b/>
          <w:color w:val="auto"/>
          <w:sz w:val="24"/>
          <w:szCs w:val="24"/>
        </w:rPr>
        <w:t>图2-8-2   生态、土壤、声环境评价范围示意图</w:t>
      </w:r>
    </w:p>
    <w:p>
      <w:pPr>
        <w:rPr>
          <w:color w:val="auto"/>
        </w:rPr>
        <w:sectPr>
          <w:pgSz w:w="16838" w:h="11906" w:orient="landscape"/>
          <w:pgMar w:top="1797" w:right="1440" w:bottom="1797" w:left="1440" w:header="851" w:footer="992" w:gutter="0"/>
          <w:cols w:space="425" w:num="1"/>
          <w:docGrid w:type="lines" w:linePitch="312" w:charSpace="0"/>
        </w:sectPr>
      </w:pPr>
    </w:p>
    <w:p>
      <w:pPr>
        <w:pStyle w:val="3"/>
        <w:rPr>
          <w:color w:val="auto"/>
        </w:rPr>
      </w:pPr>
      <w:bookmarkStart w:id="61" w:name="_Toc18124"/>
      <w:r>
        <w:rPr>
          <w:rFonts w:hint="eastAsia"/>
          <w:color w:val="auto"/>
        </w:rPr>
        <w:t>2.9项目外环境关系和主要保护目标</w:t>
      </w:r>
      <w:bookmarkEnd w:id="60"/>
      <w:bookmarkEnd w:id="61"/>
    </w:p>
    <w:p>
      <w:pPr>
        <w:pStyle w:val="4"/>
        <w:rPr>
          <w:color w:val="auto"/>
        </w:rPr>
      </w:pPr>
      <w:bookmarkStart w:id="62" w:name="_Toc26276796"/>
      <w:r>
        <w:rPr>
          <w:rFonts w:hint="eastAsia"/>
          <w:color w:val="auto"/>
        </w:rPr>
        <w:t>2.9.1项目外环境关系</w:t>
      </w:r>
      <w:bookmarkEnd w:id="62"/>
    </w:p>
    <w:p>
      <w:pPr>
        <w:spacing w:line="360" w:lineRule="auto"/>
        <w:ind w:firstLine="480" w:firstLineChars="200"/>
        <w:rPr>
          <w:color w:val="auto"/>
          <w:sz w:val="24"/>
          <w:szCs w:val="24"/>
        </w:rPr>
      </w:pPr>
      <w:r>
        <w:rPr>
          <w:rFonts w:hint="eastAsia"/>
          <w:color w:val="auto"/>
          <w:sz w:val="24"/>
          <w:szCs w:val="24"/>
        </w:rPr>
        <w:t>本项目位于梅州市五华县河东镇，选址于畲华高速的东侧、油新公园的西南侧，目前，项目已取得河东镇人民政府出具的《关于五华县河东绿色生态工业小镇水质净化厂一期工程（油新水质净化厂）项目房屋拆迁与安置方案》，选址地块东面化群学校已迁离，东面、东南面及西北部留有零散居民楼（属于化裕村），正在进行拆迁工作。</w:t>
      </w:r>
    </w:p>
    <w:p>
      <w:pPr>
        <w:spacing w:line="360" w:lineRule="auto"/>
        <w:ind w:firstLine="480" w:firstLineChars="200"/>
        <w:rPr>
          <w:color w:val="auto"/>
          <w:sz w:val="24"/>
          <w:szCs w:val="24"/>
        </w:rPr>
      </w:pPr>
      <w:r>
        <w:rPr>
          <w:rFonts w:hint="eastAsia"/>
          <w:color w:val="auto"/>
          <w:sz w:val="24"/>
          <w:szCs w:val="24"/>
        </w:rPr>
        <w:t>本项目周边不存在自然保护区、名胜古迹区、地质遗址、风景旅游区、饮用水水源保护区等，附近水体为项目北侧的鸡子社灌溉渠及东侧的大嵩河。本项目周边污染源主要为来自附近居民的生活污水及生活垃圾、县道乡道的运输扬尘与噪音等。</w:t>
      </w:r>
    </w:p>
    <w:p>
      <w:pPr>
        <w:pStyle w:val="4"/>
        <w:rPr>
          <w:color w:val="auto"/>
        </w:rPr>
      </w:pPr>
      <w:bookmarkStart w:id="63" w:name="_Toc26276797"/>
      <w:r>
        <w:rPr>
          <w:rFonts w:hint="eastAsia"/>
          <w:color w:val="auto"/>
        </w:rPr>
        <w:t>2.9.2主要环境保护目标</w:t>
      </w:r>
      <w:bookmarkEnd w:id="63"/>
    </w:p>
    <w:p>
      <w:pPr>
        <w:spacing w:line="360" w:lineRule="auto"/>
        <w:ind w:firstLine="480" w:firstLineChars="200"/>
        <w:rPr>
          <w:color w:val="auto"/>
          <w:sz w:val="24"/>
          <w:szCs w:val="24"/>
        </w:rPr>
      </w:pPr>
      <w:r>
        <w:rPr>
          <w:rFonts w:hint="eastAsia"/>
          <w:color w:val="auto"/>
          <w:sz w:val="24"/>
          <w:szCs w:val="24"/>
        </w:rPr>
        <w:t>根据本项目工程特点和所在地区的环境特点，确定本项目主要环境保护对象及保护目标见下表。</w:t>
      </w:r>
    </w:p>
    <w:p>
      <w:pPr>
        <w:spacing w:line="360" w:lineRule="auto"/>
        <w:jc w:val="center"/>
        <w:rPr>
          <w:b/>
          <w:color w:val="auto"/>
          <w:sz w:val="24"/>
          <w:szCs w:val="24"/>
        </w:rPr>
      </w:pPr>
      <w:r>
        <w:rPr>
          <w:rFonts w:hint="eastAsia"/>
          <w:b/>
          <w:color w:val="auto"/>
          <w:sz w:val="24"/>
          <w:szCs w:val="24"/>
        </w:rPr>
        <w:t>表2-9-1   本项目主要环境保护目标一览表</w:t>
      </w:r>
    </w:p>
    <w:tbl>
      <w:tblPr>
        <w:tblStyle w:val="28"/>
        <w:tblW w:w="9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801"/>
        <w:gridCol w:w="844"/>
        <w:gridCol w:w="1073"/>
        <w:gridCol w:w="1383"/>
        <w:gridCol w:w="1670"/>
        <w:gridCol w:w="957"/>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211"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名称</w:t>
            </w:r>
          </w:p>
        </w:tc>
        <w:tc>
          <w:tcPr>
            <w:tcW w:w="1645" w:type="dxa"/>
            <w:gridSpan w:val="2"/>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坐标</w:t>
            </w:r>
            <w:r>
              <w:rPr>
                <w:rFonts w:ascii="Times New Roman" w:hAnsi="Times New Roman" w:eastAsia="宋体"/>
                <w:b/>
                <w:color w:val="auto"/>
                <w:sz w:val="21"/>
                <w:szCs w:val="21"/>
              </w:rPr>
              <w:t>/m</w:t>
            </w:r>
          </w:p>
        </w:tc>
        <w:tc>
          <w:tcPr>
            <w:tcW w:w="1073"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保护对象</w:t>
            </w:r>
          </w:p>
        </w:tc>
        <w:tc>
          <w:tcPr>
            <w:tcW w:w="1383"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保护内容</w:t>
            </w:r>
          </w:p>
        </w:tc>
        <w:tc>
          <w:tcPr>
            <w:tcW w:w="1670"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环境功能区</w:t>
            </w:r>
          </w:p>
        </w:tc>
        <w:tc>
          <w:tcPr>
            <w:tcW w:w="957"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相对厂址方位</w:t>
            </w:r>
          </w:p>
        </w:tc>
        <w:tc>
          <w:tcPr>
            <w:tcW w:w="1247"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相对厂界距离</w:t>
            </w:r>
            <w:r>
              <w:rPr>
                <w:rFonts w:ascii="Times New Roman" w:hAnsi="Times New Roman" w:eastAsia="宋体"/>
                <w:b/>
                <w:color w:val="auto"/>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11" w:type="dxa"/>
            <w:vMerge w:val="continue"/>
            <w:vAlign w:val="center"/>
          </w:tcPr>
          <w:p>
            <w:pPr>
              <w:pStyle w:val="49"/>
              <w:spacing w:line="240" w:lineRule="auto"/>
              <w:rPr>
                <w:rFonts w:ascii="Times New Roman" w:hAnsi="Times New Roman" w:eastAsia="宋体"/>
                <w:color w:val="auto"/>
                <w:sz w:val="21"/>
                <w:szCs w:val="21"/>
              </w:rPr>
            </w:pPr>
          </w:p>
        </w:tc>
        <w:tc>
          <w:tcPr>
            <w:tcW w:w="801"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X</w:t>
            </w:r>
          </w:p>
        </w:tc>
        <w:tc>
          <w:tcPr>
            <w:tcW w:w="844"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Y</w:t>
            </w:r>
          </w:p>
        </w:tc>
        <w:tc>
          <w:tcPr>
            <w:tcW w:w="1073" w:type="dxa"/>
            <w:vMerge w:val="continue"/>
            <w:vAlign w:val="center"/>
          </w:tcPr>
          <w:p>
            <w:pPr>
              <w:pStyle w:val="49"/>
              <w:spacing w:line="240" w:lineRule="auto"/>
              <w:rPr>
                <w:rFonts w:ascii="Times New Roman" w:hAnsi="Times New Roman" w:eastAsia="宋体"/>
                <w:color w:val="auto"/>
                <w:sz w:val="21"/>
                <w:szCs w:val="21"/>
              </w:rPr>
            </w:pPr>
          </w:p>
        </w:tc>
        <w:tc>
          <w:tcPr>
            <w:tcW w:w="1383" w:type="dxa"/>
            <w:vMerge w:val="continue"/>
            <w:vAlign w:val="center"/>
          </w:tcPr>
          <w:p>
            <w:pPr>
              <w:pStyle w:val="49"/>
              <w:spacing w:line="240" w:lineRule="auto"/>
              <w:rPr>
                <w:rFonts w:ascii="Times New Roman" w:hAnsi="Times New Roman" w:eastAsia="宋体"/>
                <w:color w:val="auto"/>
                <w:sz w:val="21"/>
                <w:szCs w:val="21"/>
              </w:rPr>
            </w:pPr>
          </w:p>
        </w:tc>
        <w:tc>
          <w:tcPr>
            <w:tcW w:w="1670" w:type="dxa"/>
            <w:vMerge w:val="continue"/>
            <w:vAlign w:val="center"/>
          </w:tcPr>
          <w:p>
            <w:pPr>
              <w:pStyle w:val="49"/>
              <w:spacing w:line="240" w:lineRule="auto"/>
              <w:rPr>
                <w:rFonts w:ascii="Times New Roman" w:hAnsi="Times New Roman" w:eastAsia="宋体"/>
                <w:color w:val="auto"/>
                <w:sz w:val="21"/>
                <w:szCs w:val="21"/>
              </w:rPr>
            </w:pPr>
          </w:p>
        </w:tc>
        <w:tc>
          <w:tcPr>
            <w:tcW w:w="957" w:type="dxa"/>
            <w:vMerge w:val="continue"/>
            <w:vAlign w:val="center"/>
          </w:tcPr>
          <w:p>
            <w:pPr>
              <w:pStyle w:val="49"/>
              <w:spacing w:line="240" w:lineRule="auto"/>
              <w:rPr>
                <w:rFonts w:ascii="Times New Roman" w:hAnsi="Times New Roman" w:eastAsia="宋体"/>
                <w:color w:val="auto"/>
                <w:sz w:val="21"/>
                <w:szCs w:val="21"/>
              </w:rPr>
            </w:pPr>
          </w:p>
        </w:tc>
        <w:tc>
          <w:tcPr>
            <w:tcW w:w="1247" w:type="dxa"/>
            <w:vMerge w:val="continue"/>
            <w:vAlign w:val="center"/>
          </w:tcPr>
          <w:p>
            <w:pPr>
              <w:pStyle w:val="49"/>
              <w:spacing w:line="240" w:lineRule="auto"/>
              <w:rPr>
                <w:rFonts w:ascii="Times New Roman" w:hAnsi="Times New Roman"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211" w:type="dxa"/>
            <w:vAlign w:val="center"/>
          </w:tcPr>
          <w:p>
            <w:pPr>
              <w:jc w:val="center"/>
              <w:rPr>
                <w:rFonts w:hAnsi="宋体"/>
                <w:color w:val="auto"/>
                <w:sz w:val="21"/>
                <w:szCs w:val="21"/>
              </w:rPr>
            </w:pPr>
            <w:r>
              <w:rPr>
                <w:rFonts w:hint="eastAsia" w:hAnsi="宋体"/>
                <w:color w:val="auto"/>
                <w:sz w:val="21"/>
                <w:szCs w:val="21"/>
              </w:rPr>
              <w:t>化裕村零散居民楼（待拆迁）</w:t>
            </w:r>
          </w:p>
        </w:tc>
        <w:tc>
          <w:tcPr>
            <w:tcW w:w="801" w:type="dxa"/>
            <w:vAlign w:val="center"/>
          </w:tcPr>
          <w:p>
            <w:pPr>
              <w:jc w:val="center"/>
              <w:rPr>
                <w:color w:val="auto"/>
                <w:sz w:val="21"/>
                <w:szCs w:val="21"/>
              </w:rPr>
            </w:pPr>
            <w:r>
              <w:rPr>
                <w:rFonts w:hint="eastAsia"/>
                <w:color w:val="auto"/>
                <w:sz w:val="21"/>
                <w:szCs w:val="21"/>
              </w:rPr>
              <w:t>15</w:t>
            </w:r>
          </w:p>
        </w:tc>
        <w:tc>
          <w:tcPr>
            <w:tcW w:w="844" w:type="dxa"/>
            <w:vAlign w:val="center"/>
          </w:tcPr>
          <w:p>
            <w:pPr>
              <w:jc w:val="center"/>
              <w:rPr>
                <w:color w:val="auto"/>
                <w:sz w:val="21"/>
                <w:szCs w:val="21"/>
              </w:rPr>
            </w:pPr>
            <w:r>
              <w:rPr>
                <w:rFonts w:hint="eastAsia"/>
                <w:color w:val="auto"/>
                <w:sz w:val="21"/>
                <w:szCs w:val="21"/>
              </w:rPr>
              <w:t>0</w:t>
            </w:r>
          </w:p>
        </w:tc>
        <w:tc>
          <w:tcPr>
            <w:tcW w:w="1073" w:type="dxa"/>
            <w:vAlign w:val="center"/>
          </w:tcPr>
          <w:p>
            <w:pPr>
              <w:pStyle w:val="49"/>
              <w:spacing w:line="240" w:lineRule="auto"/>
              <w:rPr>
                <w:rFonts w:ascii="Times New Roman" w:hAnsi="宋体"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rFonts w:hAnsi="宋体"/>
                <w:color w:val="auto"/>
                <w:sz w:val="21"/>
                <w:szCs w:val="21"/>
              </w:rPr>
            </w:pPr>
            <w:r>
              <w:rPr>
                <w:rFonts w:hint="eastAsia" w:hAnsi="宋体"/>
                <w:color w:val="auto"/>
                <w:sz w:val="21"/>
                <w:szCs w:val="21"/>
              </w:rPr>
              <w:t>约30人</w:t>
            </w:r>
          </w:p>
        </w:tc>
        <w:tc>
          <w:tcPr>
            <w:tcW w:w="1670" w:type="dxa"/>
            <w:vMerge w:val="restart"/>
            <w:vAlign w:val="center"/>
          </w:tcPr>
          <w:p>
            <w:pPr>
              <w:pStyle w:val="49"/>
              <w:rPr>
                <w:rFonts w:ascii="Times New Roman" w:hAnsi="Times New Roman" w:eastAsia="宋体"/>
                <w:color w:val="auto"/>
                <w:sz w:val="21"/>
                <w:szCs w:val="21"/>
              </w:rPr>
            </w:pPr>
            <w:r>
              <w:rPr>
                <w:rFonts w:ascii="Times New Roman" w:hAnsi="宋体" w:eastAsia="宋体"/>
                <w:color w:val="auto"/>
                <w:sz w:val="21"/>
                <w:szCs w:val="21"/>
              </w:rPr>
              <w:t>大气环境二类区、声环境</w:t>
            </w:r>
            <w:r>
              <w:rPr>
                <w:rFonts w:ascii="Times New Roman" w:hAnsi="Times New Roman" w:eastAsia="宋体"/>
                <w:color w:val="auto"/>
                <w:sz w:val="21"/>
                <w:szCs w:val="21"/>
              </w:rPr>
              <w:t>2</w:t>
            </w:r>
            <w:r>
              <w:rPr>
                <w:rFonts w:ascii="Times New Roman" w:hAnsi="宋体" w:eastAsia="宋体"/>
                <w:color w:val="auto"/>
                <w:sz w:val="21"/>
                <w:szCs w:val="21"/>
              </w:rPr>
              <w:t>类区</w:t>
            </w:r>
          </w:p>
        </w:tc>
        <w:tc>
          <w:tcPr>
            <w:tcW w:w="957" w:type="dxa"/>
            <w:vAlign w:val="center"/>
          </w:tcPr>
          <w:p>
            <w:pPr>
              <w:jc w:val="center"/>
              <w:rPr>
                <w:rFonts w:hAnsi="宋体"/>
                <w:color w:val="auto"/>
                <w:sz w:val="21"/>
                <w:szCs w:val="21"/>
              </w:rPr>
            </w:pPr>
            <w:r>
              <w:rPr>
                <w:rFonts w:hint="eastAsia" w:hAnsi="宋体"/>
                <w:color w:val="auto"/>
                <w:sz w:val="21"/>
                <w:szCs w:val="21"/>
              </w:rPr>
              <w:t>东、东南、西北</w:t>
            </w:r>
          </w:p>
        </w:tc>
        <w:tc>
          <w:tcPr>
            <w:tcW w:w="1247" w:type="dxa"/>
            <w:vAlign w:val="center"/>
          </w:tcPr>
          <w:p>
            <w:pPr>
              <w:jc w:val="center"/>
              <w:rPr>
                <w:color w:val="auto"/>
                <w:sz w:val="21"/>
                <w:szCs w:val="21"/>
              </w:rPr>
            </w:pPr>
            <w:r>
              <w:rPr>
                <w:rFonts w:hint="eastAsia"/>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211" w:type="dxa"/>
            <w:vAlign w:val="center"/>
          </w:tcPr>
          <w:p>
            <w:pPr>
              <w:jc w:val="center"/>
              <w:rPr>
                <w:color w:val="auto"/>
                <w:sz w:val="21"/>
                <w:szCs w:val="21"/>
              </w:rPr>
            </w:pPr>
            <w:r>
              <w:rPr>
                <w:rFonts w:hAnsi="宋体"/>
                <w:color w:val="auto"/>
                <w:sz w:val="21"/>
                <w:szCs w:val="21"/>
              </w:rPr>
              <w:t>化裕村</w:t>
            </w:r>
          </w:p>
        </w:tc>
        <w:tc>
          <w:tcPr>
            <w:tcW w:w="801" w:type="dxa"/>
            <w:vAlign w:val="center"/>
          </w:tcPr>
          <w:p>
            <w:pPr>
              <w:jc w:val="center"/>
              <w:rPr>
                <w:color w:val="auto"/>
                <w:sz w:val="21"/>
                <w:szCs w:val="21"/>
              </w:rPr>
            </w:pPr>
            <w:r>
              <w:rPr>
                <w:color w:val="auto"/>
                <w:sz w:val="21"/>
                <w:szCs w:val="21"/>
              </w:rPr>
              <w:t>128</w:t>
            </w:r>
          </w:p>
        </w:tc>
        <w:tc>
          <w:tcPr>
            <w:tcW w:w="844" w:type="dxa"/>
            <w:vAlign w:val="center"/>
          </w:tcPr>
          <w:p>
            <w:pPr>
              <w:jc w:val="center"/>
              <w:rPr>
                <w:color w:val="auto"/>
                <w:sz w:val="21"/>
                <w:szCs w:val="21"/>
              </w:rPr>
            </w:pPr>
            <w:r>
              <w:rPr>
                <w:color w:val="auto"/>
                <w:sz w:val="21"/>
                <w:szCs w:val="21"/>
              </w:rPr>
              <w:t>-250</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500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东南</w:t>
            </w:r>
          </w:p>
        </w:tc>
        <w:tc>
          <w:tcPr>
            <w:tcW w:w="1247" w:type="dxa"/>
            <w:vAlign w:val="center"/>
          </w:tcPr>
          <w:p>
            <w:pPr>
              <w:jc w:val="center"/>
              <w:rPr>
                <w:color w:val="auto"/>
                <w:sz w:val="21"/>
                <w:szCs w:val="21"/>
              </w:rPr>
            </w:pPr>
            <w:r>
              <w:rPr>
                <w:color w:val="auto"/>
                <w:sz w:val="21"/>
                <w:szCs w:val="21"/>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211" w:type="dxa"/>
            <w:vAlign w:val="center"/>
          </w:tcPr>
          <w:p>
            <w:pPr>
              <w:jc w:val="center"/>
              <w:rPr>
                <w:color w:val="auto"/>
                <w:sz w:val="21"/>
                <w:szCs w:val="21"/>
              </w:rPr>
            </w:pPr>
            <w:r>
              <w:rPr>
                <w:rFonts w:hAnsi="宋体"/>
                <w:color w:val="auto"/>
                <w:sz w:val="21"/>
                <w:szCs w:val="21"/>
              </w:rPr>
              <w:t>零散居民区</w:t>
            </w:r>
          </w:p>
        </w:tc>
        <w:tc>
          <w:tcPr>
            <w:tcW w:w="801" w:type="dxa"/>
            <w:vAlign w:val="center"/>
          </w:tcPr>
          <w:p>
            <w:pPr>
              <w:jc w:val="center"/>
              <w:rPr>
                <w:color w:val="auto"/>
                <w:sz w:val="21"/>
                <w:szCs w:val="21"/>
              </w:rPr>
            </w:pPr>
            <w:r>
              <w:rPr>
                <w:color w:val="auto"/>
                <w:sz w:val="21"/>
                <w:szCs w:val="21"/>
              </w:rPr>
              <w:t>-431</w:t>
            </w:r>
          </w:p>
        </w:tc>
        <w:tc>
          <w:tcPr>
            <w:tcW w:w="844" w:type="dxa"/>
            <w:vAlign w:val="center"/>
          </w:tcPr>
          <w:p>
            <w:pPr>
              <w:jc w:val="center"/>
              <w:rPr>
                <w:color w:val="auto"/>
                <w:sz w:val="21"/>
                <w:szCs w:val="21"/>
              </w:rPr>
            </w:pPr>
            <w:r>
              <w:rPr>
                <w:color w:val="auto"/>
                <w:sz w:val="21"/>
                <w:szCs w:val="21"/>
              </w:rPr>
              <w:t>281</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200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西</w:t>
            </w:r>
          </w:p>
        </w:tc>
        <w:tc>
          <w:tcPr>
            <w:tcW w:w="1247" w:type="dxa"/>
            <w:vAlign w:val="center"/>
          </w:tcPr>
          <w:p>
            <w:pPr>
              <w:jc w:val="center"/>
              <w:rPr>
                <w:color w:val="auto"/>
                <w:sz w:val="21"/>
                <w:szCs w:val="21"/>
              </w:rPr>
            </w:pPr>
            <w:r>
              <w:rPr>
                <w:color w:val="auto"/>
                <w:sz w:val="21"/>
                <w:szCs w:val="21"/>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上楼</w:t>
            </w:r>
          </w:p>
        </w:tc>
        <w:tc>
          <w:tcPr>
            <w:tcW w:w="801" w:type="dxa"/>
            <w:vAlign w:val="center"/>
          </w:tcPr>
          <w:p>
            <w:pPr>
              <w:jc w:val="center"/>
              <w:rPr>
                <w:color w:val="auto"/>
                <w:sz w:val="21"/>
                <w:szCs w:val="21"/>
              </w:rPr>
            </w:pPr>
            <w:r>
              <w:rPr>
                <w:color w:val="auto"/>
                <w:sz w:val="21"/>
                <w:szCs w:val="21"/>
              </w:rPr>
              <w:t>104</w:t>
            </w:r>
          </w:p>
        </w:tc>
        <w:tc>
          <w:tcPr>
            <w:tcW w:w="844" w:type="dxa"/>
            <w:vAlign w:val="center"/>
          </w:tcPr>
          <w:p>
            <w:pPr>
              <w:jc w:val="center"/>
              <w:rPr>
                <w:color w:val="auto"/>
                <w:sz w:val="21"/>
                <w:szCs w:val="21"/>
              </w:rPr>
            </w:pPr>
            <w:r>
              <w:rPr>
                <w:color w:val="auto"/>
                <w:sz w:val="21"/>
                <w:szCs w:val="21"/>
              </w:rPr>
              <w:t>330</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800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北</w:t>
            </w:r>
          </w:p>
        </w:tc>
        <w:tc>
          <w:tcPr>
            <w:tcW w:w="1247" w:type="dxa"/>
            <w:vAlign w:val="center"/>
          </w:tcPr>
          <w:p>
            <w:pPr>
              <w:jc w:val="center"/>
              <w:rPr>
                <w:color w:val="auto"/>
                <w:sz w:val="21"/>
                <w:szCs w:val="21"/>
              </w:rPr>
            </w:pPr>
            <w:r>
              <w:rPr>
                <w:color w:val="auto"/>
                <w:sz w:val="21"/>
                <w:szCs w:val="21"/>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园墩围</w:t>
            </w:r>
          </w:p>
        </w:tc>
        <w:tc>
          <w:tcPr>
            <w:tcW w:w="801" w:type="dxa"/>
            <w:vAlign w:val="center"/>
          </w:tcPr>
          <w:p>
            <w:pPr>
              <w:jc w:val="center"/>
              <w:rPr>
                <w:color w:val="auto"/>
                <w:sz w:val="21"/>
                <w:szCs w:val="21"/>
              </w:rPr>
            </w:pPr>
            <w:r>
              <w:rPr>
                <w:color w:val="auto"/>
                <w:sz w:val="21"/>
                <w:szCs w:val="21"/>
              </w:rPr>
              <w:t>102</w:t>
            </w:r>
          </w:p>
        </w:tc>
        <w:tc>
          <w:tcPr>
            <w:tcW w:w="844" w:type="dxa"/>
            <w:vAlign w:val="center"/>
          </w:tcPr>
          <w:p>
            <w:pPr>
              <w:jc w:val="center"/>
              <w:rPr>
                <w:color w:val="auto"/>
                <w:sz w:val="21"/>
                <w:szCs w:val="21"/>
              </w:rPr>
            </w:pPr>
            <w:r>
              <w:rPr>
                <w:color w:val="auto"/>
                <w:sz w:val="21"/>
                <w:szCs w:val="21"/>
              </w:rPr>
              <w:t>-568</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850</w:t>
            </w:r>
            <w:r>
              <w:rPr>
                <w:rFonts w:hAnsi="宋体"/>
                <w:color w:val="auto"/>
                <w:sz w:val="21"/>
                <w:szCs w:val="21"/>
              </w:rPr>
              <w:t>人</w:t>
            </w:r>
          </w:p>
        </w:tc>
        <w:tc>
          <w:tcPr>
            <w:tcW w:w="1670" w:type="dxa"/>
            <w:vMerge w:val="restart"/>
            <w:vAlign w:val="center"/>
          </w:tcPr>
          <w:p>
            <w:pPr>
              <w:pStyle w:val="49"/>
              <w:rPr>
                <w:rFonts w:ascii="Times New Roman" w:hAnsi="Times New Roman" w:eastAsia="宋体"/>
                <w:color w:val="auto"/>
                <w:sz w:val="21"/>
                <w:szCs w:val="21"/>
              </w:rPr>
            </w:pPr>
            <w:r>
              <w:rPr>
                <w:rFonts w:ascii="Times New Roman" w:hAnsi="宋体" w:eastAsia="宋体"/>
                <w:color w:val="auto"/>
                <w:sz w:val="21"/>
                <w:szCs w:val="21"/>
              </w:rPr>
              <w:t>大气环境二类区</w:t>
            </w:r>
          </w:p>
        </w:tc>
        <w:tc>
          <w:tcPr>
            <w:tcW w:w="957" w:type="dxa"/>
            <w:vAlign w:val="center"/>
          </w:tcPr>
          <w:p>
            <w:pPr>
              <w:jc w:val="center"/>
              <w:rPr>
                <w:color w:val="auto"/>
                <w:sz w:val="21"/>
                <w:szCs w:val="21"/>
              </w:rPr>
            </w:pPr>
            <w:r>
              <w:rPr>
                <w:rFonts w:hAnsi="宋体"/>
                <w:color w:val="auto"/>
                <w:sz w:val="21"/>
                <w:szCs w:val="21"/>
              </w:rPr>
              <w:t>南偏东</w:t>
            </w:r>
          </w:p>
        </w:tc>
        <w:tc>
          <w:tcPr>
            <w:tcW w:w="1247" w:type="dxa"/>
            <w:vAlign w:val="center"/>
          </w:tcPr>
          <w:p>
            <w:pPr>
              <w:jc w:val="center"/>
              <w:rPr>
                <w:color w:val="auto"/>
                <w:sz w:val="21"/>
                <w:szCs w:val="21"/>
              </w:rPr>
            </w:pPr>
            <w:r>
              <w:rPr>
                <w:color w:val="auto"/>
                <w:sz w:val="21"/>
                <w:szCs w:val="21"/>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大路排</w:t>
            </w:r>
          </w:p>
        </w:tc>
        <w:tc>
          <w:tcPr>
            <w:tcW w:w="801" w:type="dxa"/>
            <w:vAlign w:val="center"/>
          </w:tcPr>
          <w:p>
            <w:pPr>
              <w:jc w:val="center"/>
              <w:rPr>
                <w:color w:val="auto"/>
                <w:sz w:val="21"/>
                <w:szCs w:val="21"/>
              </w:rPr>
            </w:pPr>
            <w:r>
              <w:rPr>
                <w:color w:val="auto"/>
                <w:sz w:val="21"/>
                <w:szCs w:val="21"/>
              </w:rPr>
              <w:t>419</w:t>
            </w:r>
          </w:p>
        </w:tc>
        <w:tc>
          <w:tcPr>
            <w:tcW w:w="844" w:type="dxa"/>
            <w:vAlign w:val="center"/>
          </w:tcPr>
          <w:p>
            <w:pPr>
              <w:jc w:val="center"/>
              <w:rPr>
                <w:color w:val="auto"/>
                <w:sz w:val="21"/>
                <w:szCs w:val="21"/>
              </w:rPr>
            </w:pPr>
            <w:r>
              <w:rPr>
                <w:color w:val="auto"/>
                <w:sz w:val="21"/>
                <w:szCs w:val="21"/>
              </w:rPr>
              <w:t>611</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800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东北</w:t>
            </w:r>
          </w:p>
        </w:tc>
        <w:tc>
          <w:tcPr>
            <w:tcW w:w="1247" w:type="dxa"/>
            <w:vAlign w:val="center"/>
          </w:tcPr>
          <w:p>
            <w:pPr>
              <w:jc w:val="center"/>
              <w:rPr>
                <w:color w:val="auto"/>
                <w:sz w:val="21"/>
                <w:szCs w:val="21"/>
              </w:rPr>
            </w:pPr>
            <w:r>
              <w:rPr>
                <w:color w:val="auto"/>
                <w:sz w:val="21"/>
                <w:szCs w:val="21"/>
              </w:rPr>
              <w:t>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田坑里</w:t>
            </w:r>
          </w:p>
        </w:tc>
        <w:tc>
          <w:tcPr>
            <w:tcW w:w="801" w:type="dxa"/>
            <w:vAlign w:val="center"/>
          </w:tcPr>
          <w:p>
            <w:pPr>
              <w:jc w:val="center"/>
              <w:rPr>
                <w:color w:val="auto"/>
                <w:sz w:val="21"/>
                <w:szCs w:val="21"/>
              </w:rPr>
            </w:pPr>
            <w:r>
              <w:rPr>
                <w:color w:val="auto"/>
                <w:sz w:val="21"/>
                <w:szCs w:val="21"/>
              </w:rPr>
              <w:t>699</w:t>
            </w:r>
          </w:p>
        </w:tc>
        <w:tc>
          <w:tcPr>
            <w:tcW w:w="844" w:type="dxa"/>
            <w:vAlign w:val="center"/>
          </w:tcPr>
          <w:p>
            <w:pPr>
              <w:jc w:val="center"/>
              <w:rPr>
                <w:color w:val="auto"/>
                <w:sz w:val="21"/>
                <w:szCs w:val="21"/>
              </w:rPr>
            </w:pPr>
            <w:r>
              <w:rPr>
                <w:color w:val="auto"/>
                <w:sz w:val="21"/>
                <w:szCs w:val="21"/>
              </w:rPr>
              <w:t>96</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1000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东偏北</w:t>
            </w:r>
          </w:p>
        </w:tc>
        <w:tc>
          <w:tcPr>
            <w:tcW w:w="1247" w:type="dxa"/>
            <w:vAlign w:val="center"/>
          </w:tcPr>
          <w:p>
            <w:pPr>
              <w:jc w:val="center"/>
              <w:rPr>
                <w:color w:val="auto"/>
                <w:sz w:val="21"/>
                <w:szCs w:val="21"/>
              </w:rPr>
            </w:pPr>
            <w:r>
              <w:rPr>
                <w:color w:val="auto"/>
                <w:sz w:val="21"/>
                <w:szCs w:val="21"/>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油新村</w:t>
            </w:r>
          </w:p>
        </w:tc>
        <w:tc>
          <w:tcPr>
            <w:tcW w:w="801" w:type="dxa"/>
            <w:vAlign w:val="center"/>
          </w:tcPr>
          <w:p>
            <w:pPr>
              <w:jc w:val="center"/>
              <w:rPr>
                <w:color w:val="auto"/>
                <w:sz w:val="21"/>
                <w:szCs w:val="21"/>
              </w:rPr>
            </w:pPr>
            <w:r>
              <w:rPr>
                <w:color w:val="auto"/>
                <w:sz w:val="21"/>
                <w:szCs w:val="21"/>
              </w:rPr>
              <w:t>-193</w:t>
            </w:r>
          </w:p>
        </w:tc>
        <w:tc>
          <w:tcPr>
            <w:tcW w:w="844" w:type="dxa"/>
            <w:vAlign w:val="center"/>
          </w:tcPr>
          <w:p>
            <w:pPr>
              <w:jc w:val="center"/>
              <w:rPr>
                <w:color w:val="auto"/>
                <w:sz w:val="21"/>
                <w:szCs w:val="21"/>
              </w:rPr>
            </w:pPr>
            <w:r>
              <w:rPr>
                <w:color w:val="auto"/>
                <w:sz w:val="21"/>
                <w:szCs w:val="21"/>
              </w:rPr>
              <w:t>-1131</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1500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南</w:t>
            </w:r>
          </w:p>
        </w:tc>
        <w:tc>
          <w:tcPr>
            <w:tcW w:w="1247" w:type="dxa"/>
            <w:vAlign w:val="center"/>
          </w:tcPr>
          <w:p>
            <w:pPr>
              <w:jc w:val="center"/>
              <w:rPr>
                <w:color w:val="auto"/>
                <w:sz w:val="21"/>
                <w:szCs w:val="21"/>
              </w:rPr>
            </w:pPr>
            <w:r>
              <w:rPr>
                <w:color w:val="auto"/>
                <w:sz w:val="21"/>
                <w:szCs w:val="21"/>
              </w:rPr>
              <w:t>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钟屋</w:t>
            </w:r>
          </w:p>
        </w:tc>
        <w:tc>
          <w:tcPr>
            <w:tcW w:w="801" w:type="dxa"/>
            <w:vAlign w:val="center"/>
          </w:tcPr>
          <w:p>
            <w:pPr>
              <w:jc w:val="center"/>
              <w:rPr>
                <w:color w:val="auto"/>
                <w:sz w:val="21"/>
                <w:szCs w:val="21"/>
              </w:rPr>
            </w:pPr>
            <w:r>
              <w:rPr>
                <w:color w:val="auto"/>
                <w:sz w:val="21"/>
                <w:szCs w:val="21"/>
              </w:rPr>
              <w:t>-329</w:t>
            </w:r>
          </w:p>
        </w:tc>
        <w:tc>
          <w:tcPr>
            <w:tcW w:w="844" w:type="dxa"/>
            <w:vAlign w:val="center"/>
          </w:tcPr>
          <w:p>
            <w:pPr>
              <w:jc w:val="center"/>
              <w:rPr>
                <w:color w:val="auto"/>
                <w:sz w:val="21"/>
                <w:szCs w:val="21"/>
              </w:rPr>
            </w:pPr>
            <w:r>
              <w:rPr>
                <w:color w:val="auto"/>
                <w:sz w:val="21"/>
                <w:szCs w:val="21"/>
              </w:rPr>
              <w:t>1011</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300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西北</w:t>
            </w:r>
          </w:p>
        </w:tc>
        <w:tc>
          <w:tcPr>
            <w:tcW w:w="1247" w:type="dxa"/>
            <w:vAlign w:val="center"/>
          </w:tcPr>
          <w:p>
            <w:pPr>
              <w:jc w:val="center"/>
              <w:rPr>
                <w:color w:val="auto"/>
                <w:sz w:val="21"/>
                <w:szCs w:val="21"/>
              </w:rPr>
            </w:pPr>
            <w:r>
              <w:rPr>
                <w:color w:val="auto"/>
                <w:sz w:val="21"/>
                <w:szCs w:val="21"/>
              </w:rPr>
              <w:t>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云兴楼</w:t>
            </w:r>
          </w:p>
        </w:tc>
        <w:tc>
          <w:tcPr>
            <w:tcW w:w="801" w:type="dxa"/>
            <w:vAlign w:val="center"/>
          </w:tcPr>
          <w:p>
            <w:pPr>
              <w:jc w:val="center"/>
              <w:rPr>
                <w:color w:val="auto"/>
                <w:sz w:val="21"/>
                <w:szCs w:val="21"/>
              </w:rPr>
            </w:pPr>
            <w:r>
              <w:rPr>
                <w:color w:val="auto"/>
                <w:sz w:val="21"/>
                <w:szCs w:val="21"/>
              </w:rPr>
              <w:t>1021</w:t>
            </w:r>
          </w:p>
        </w:tc>
        <w:tc>
          <w:tcPr>
            <w:tcW w:w="844" w:type="dxa"/>
            <w:vAlign w:val="center"/>
          </w:tcPr>
          <w:p>
            <w:pPr>
              <w:jc w:val="center"/>
              <w:rPr>
                <w:color w:val="auto"/>
                <w:sz w:val="21"/>
                <w:szCs w:val="21"/>
              </w:rPr>
            </w:pPr>
            <w:r>
              <w:rPr>
                <w:color w:val="auto"/>
                <w:sz w:val="21"/>
                <w:szCs w:val="21"/>
              </w:rPr>
              <w:t>1121</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1200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东北</w:t>
            </w:r>
          </w:p>
        </w:tc>
        <w:tc>
          <w:tcPr>
            <w:tcW w:w="1247" w:type="dxa"/>
            <w:vAlign w:val="center"/>
          </w:tcPr>
          <w:p>
            <w:pPr>
              <w:jc w:val="center"/>
              <w:rPr>
                <w:color w:val="auto"/>
                <w:sz w:val="21"/>
                <w:szCs w:val="21"/>
              </w:rPr>
            </w:pPr>
            <w:r>
              <w:rPr>
                <w:color w:val="auto"/>
                <w:sz w:val="21"/>
                <w:szCs w:val="21"/>
              </w:rPr>
              <w:t>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和民村</w:t>
            </w:r>
          </w:p>
        </w:tc>
        <w:tc>
          <w:tcPr>
            <w:tcW w:w="801" w:type="dxa"/>
            <w:vAlign w:val="center"/>
          </w:tcPr>
          <w:p>
            <w:pPr>
              <w:jc w:val="center"/>
              <w:rPr>
                <w:color w:val="auto"/>
                <w:sz w:val="21"/>
                <w:szCs w:val="21"/>
              </w:rPr>
            </w:pPr>
            <w:r>
              <w:rPr>
                <w:color w:val="auto"/>
                <w:sz w:val="21"/>
                <w:szCs w:val="21"/>
              </w:rPr>
              <w:t>1436</w:t>
            </w:r>
          </w:p>
        </w:tc>
        <w:tc>
          <w:tcPr>
            <w:tcW w:w="844" w:type="dxa"/>
            <w:vAlign w:val="center"/>
          </w:tcPr>
          <w:p>
            <w:pPr>
              <w:jc w:val="center"/>
              <w:rPr>
                <w:color w:val="auto"/>
                <w:sz w:val="21"/>
                <w:szCs w:val="21"/>
              </w:rPr>
            </w:pPr>
            <w:r>
              <w:rPr>
                <w:color w:val="auto"/>
                <w:sz w:val="21"/>
                <w:szCs w:val="21"/>
              </w:rPr>
              <w:t>364</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1200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东偏北</w:t>
            </w:r>
          </w:p>
        </w:tc>
        <w:tc>
          <w:tcPr>
            <w:tcW w:w="1247" w:type="dxa"/>
            <w:vAlign w:val="center"/>
          </w:tcPr>
          <w:p>
            <w:pPr>
              <w:jc w:val="center"/>
              <w:rPr>
                <w:color w:val="auto"/>
                <w:sz w:val="21"/>
                <w:szCs w:val="21"/>
              </w:rPr>
            </w:pPr>
            <w:r>
              <w:rPr>
                <w:color w:val="auto"/>
                <w:sz w:val="21"/>
                <w:szCs w:val="21"/>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油田中学</w:t>
            </w:r>
          </w:p>
        </w:tc>
        <w:tc>
          <w:tcPr>
            <w:tcW w:w="801" w:type="dxa"/>
            <w:vAlign w:val="center"/>
          </w:tcPr>
          <w:p>
            <w:pPr>
              <w:jc w:val="center"/>
              <w:rPr>
                <w:color w:val="auto"/>
                <w:sz w:val="21"/>
                <w:szCs w:val="21"/>
              </w:rPr>
            </w:pPr>
            <w:r>
              <w:rPr>
                <w:color w:val="auto"/>
                <w:sz w:val="21"/>
                <w:szCs w:val="21"/>
              </w:rPr>
              <w:t>-781</w:t>
            </w:r>
          </w:p>
        </w:tc>
        <w:tc>
          <w:tcPr>
            <w:tcW w:w="844" w:type="dxa"/>
            <w:vAlign w:val="center"/>
          </w:tcPr>
          <w:p>
            <w:pPr>
              <w:jc w:val="center"/>
              <w:rPr>
                <w:color w:val="auto"/>
                <w:sz w:val="21"/>
                <w:szCs w:val="21"/>
              </w:rPr>
            </w:pPr>
            <w:r>
              <w:rPr>
                <w:color w:val="auto"/>
                <w:sz w:val="21"/>
                <w:szCs w:val="21"/>
              </w:rPr>
              <w:t>-1338</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学校</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700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南偏西</w:t>
            </w:r>
          </w:p>
        </w:tc>
        <w:tc>
          <w:tcPr>
            <w:tcW w:w="1247" w:type="dxa"/>
            <w:vAlign w:val="center"/>
          </w:tcPr>
          <w:p>
            <w:pPr>
              <w:jc w:val="center"/>
              <w:rPr>
                <w:color w:val="auto"/>
                <w:sz w:val="21"/>
                <w:szCs w:val="21"/>
              </w:rPr>
            </w:pPr>
            <w:r>
              <w:rPr>
                <w:color w:val="auto"/>
                <w:sz w:val="21"/>
                <w:szCs w:val="21"/>
              </w:rPr>
              <w:t>1390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凌角寨</w:t>
            </w:r>
          </w:p>
        </w:tc>
        <w:tc>
          <w:tcPr>
            <w:tcW w:w="801" w:type="dxa"/>
            <w:vAlign w:val="center"/>
          </w:tcPr>
          <w:p>
            <w:pPr>
              <w:jc w:val="center"/>
              <w:rPr>
                <w:color w:val="auto"/>
                <w:sz w:val="21"/>
                <w:szCs w:val="21"/>
              </w:rPr>
            </w:pPr>
            <w:r>
              <w:rPr>
                <w:color w:val="auto"/>
                <w:sz w:val="21"/>
                <w:szCs w:val="21"/>
              </w:rPr>
              <w:t>1535</w:t>
            </w:r>
          </w:p>
        </w:tc>
        <w:tc>
          <w:tcPr>
            <w:tcW w:w="844" w:type="dxa"/>
            <w:vAlign w:val="center"/>
          </w:tcPr>
          <w:p>
            <w:pPr>
              <w:jc w:val="center"/>
              <w:rPr>
                <w:color w:val="auto"/>
                <w:sz w:val="21"/>
                <w:szCs w:val="21"/>
              </w:rPr>
            </w:pPr>
            <w:r>
              <w:rPr>
                <w:color w:val="auto"/>
                <w:sz w:val="21"/>
                <w:szCs w:val="21"/>
              </w:rPr>
              <w:t>1052</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1200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东北</w:t>
            </w:r>
          </w:p>
        </w:tc>
        <w:tc>
          <w:tcPr>
            <w:tcW w:w="1247" w:type="dxa"/>
            <w:vAlign w:val="center"/>
          </w:tcPr>
          <w:p>
            <w:pPr>
              <w:jc w:val="center"/>
              <w:rPr>
                <w:color w:val="auto"/>
                <w:sz w:val="21"/>
                <w:szCs w:val="21"/>
              </w:rPr>
            </w:pPr>
            <w:r>
              <w:rPr>
                <w:color w:val="auto"/>
                <w:sz w:val="21"/>
                <w:szCs w:val="21"/>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油田</w:t>
            </w:r>
          </w:p>
        </w:tc>
        <w:tc>
          <w:tcPr>
            <w:tcW w:w="801" w:type="dxa"/>
            <w:vAlign w:val="center"/>
          </w:tcPr>
          <w:p>
            <w:pPr>
              <w:jc w:val="center"/>
              <w:rPr>
                <w:color w:val="auto"/>
                <w:sz w:val="21"/>
                <w:szCs w:val="21"/>
              </w:rPr>
            </w:pPr>
            <w:r>
              <w:rPr>
                <w:color w:val="auto"/>
                <w:sz w:val="21"/>
                <w:szCs w:val="21"/>
              </w:rPr>
              <w:t>-1336</w:t>
            </w:r>
          </w:p>
        </w:tc>
        <w:tc>
          <w:tcPr>
            <w:tcW w:w="844" w:type="dxa"/>
            <w:vAlign w:val="center"/>
          </w:tcPr>
          <w:p>
            <w:pPr>
              <w:jc w:val="center"/>
              <w:rPr>
                <w:color w:val="auto"/>
                <w:sz w:val="21"/>
                <w:szCs w:val="21"/>
              </w:rPr>
            </w:pPr>
            <w:r>
              <w:rPr>
                <w:color w:val="auto"/>
                <w:sz w:val="21"/>
                <w:szCs w:val="21"/>
              </w:rPr>
              <w:t>-1875</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4000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西南</w:t>
            </w:r>
          </w:p>
        </w:tc>
        <w:tc>
          <w:tcPr>
            <w:tcW w:w="1247" w:type="dxa"/>
            <w:vAlign w:val="center"/>
          </w:tcPr>
          <w:p>
            <w:pPr>
              <w:jc w:val="center"/>
              <w:rPr>
                <w:color w:val="auto"/>
                <w:sz w:val="21"/>
                <w:szCs w:val="21"/>
              </w:rPr>
            </w:pPr>
            <w:r>
              <w:rPr>
                <w:color w:val="auto"/>
                <w:sz w:val="21"/>
                <w:szCs w:val="21"/>
              </w:rPr>
              <w:t>1480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乌石下</w:t>
            </w:r>
          </w:p>
        </w:tc>
        <w:tc>
          <w:tcPr>
            <w:tcW w:w="801" w:type="dxa"/>
            <w:vAlign w:val="center"/>
          </w:tcPr>
          <w:p>
            <w:pPr>
              <w:jc w:val="center"/>
              <w:rPr>
                <w:color w:val="auto"/>
                <w:sz w:val="21"/>
                <w:szCs w:val="21"/>
              </w:rPr>
            </w:pPr>
            <w:r>
              <w:rPr>
                <w:color w:val="auto"/>
                <w:sz w:val="21"/>
                <w:szCs w:val="21"/>
              </w:rPr>
              <w:t>711</w:t>
            </w:r>
          </w:p>
        </w:tc>
        <w:tc>
          <w:tcPr>
            <w:tcW w:w="844" w:type="dxa"/>
            <w:vAlign w:val="center"/>
          </w:tcPr>
          <w:p>
            <w:pPr>
              <w:jc w:val="center"/>
              <w:rPr>
                <w:color w:val="auto"/>
                <w:sz w:val="21"/>
                <w:szCs w:val="21"/>
              </w:rPr>
            </w:pPr>
            <w:r>
              <w:rPr>
                <w:color w:val="auto"/>
                <w:sz w:val="21"/>
                <w:szCs w:val="21"/>
              </w:rPr>
              <w:t>-1800</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500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东南</w:t>
            </w:r>
          </w:p>
        </w:tc>
        <w:tc>
          <w:tcPr>
            <w:tcW w:w="1247" w:type="dxa"/>
            <w:vAlign w:val="center"/>
          </w:tcPr>
          <w:p>
            <w:pPr>
              <w:jc w:val="center"/>
              <w:rPr>
                <w:color w:val="auto"/>
                <w:sz w:val="21"/>
                <w:szCs w:val="21"/>
              </w:rPr>
            </w:pPr>
            <w:r>
              <w:rPr>
                <w:color w:val="auto"/>
                <w:sz w:val="21"/>
                <w:szCs w:val="21"/>
              </w:rPr>
              <w:t>1580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高简</w:t>
            </w:r>
          </w:p>
        </w:tc>
        <w:tc>
          <w:tcPr>
            <w:tcW w:w="801" w:type="dxa"/>
            <w:vAlign w:val="center"/>
          </w:tcPr>
          <w:p>
            <w:pPr>
              <w:jc w:val="center"/>
              <w:rPr>
                <w:color w:val="auto"/>
                <w:sz w:val="21"/>
                <w:szCs w:val="21"/>
              </w:rPr>
            </w:pPr>
            <w:r>
              <w:rPr>
                <w:color w:val="auto"/>
                <w:sz w:val="21"/>
                <w:szCs w:val="21"/>
              </w:rPr>
              <w:t>-377</w:t>
            </w:r>
          </w:p>
        </w:tc>
        <w:tc>
          <w:tcPr>
            <w:tcW w:w="844" w:type="dxa"/>
            <w:vAlign w:val="center"/>
          </w:tcPr>
          <w:p>
            <w:pPr>
              <w:jc w:val="center"/>
              <w:rPr>
                <w:color w:val="auto"/>
                <w:sz w:val="21"/>
                <w:szCs w:val="21"/>
              </w:rPr>
            </w:pPr>
            <w:r>
              <w:rPr>
                <w:color w:val="auto"/>
                <w:sz w:val="21"/>
                <w:szCs w:val="21"/>
              </w:rPr>
              <w:t>-2093</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800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南</w:t>
            </w:r>
          </w:p>
        </w:tc>
        <w:tc>
          <w:tcPr>
            <w:tcW w:w="1247" w:type="dxa"/>
            <w:vAlign w:val="center"/>
          </w:tcPr>
          <w:p>
            <w:pPr>
              <w:jc w:val="center"/>
              <w:rPr>
                <w:color w:val="auto"/>
                <w:sz w:val="21"/>
                <w:szCs w:val="21"/>
              </w:rPr>
            </w:pPr>
            <w:r>
              <w:rPr>
                <w:color w:val="auto"/>
                <w:sz w:val="21"/>
                <w:szCs w:val="21"/>
              </w:rPr>
              <w:t>1590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和平</w:t>
            </w:r>
          </w:p>
        </w:tc>
        <w:tc>
          <w:tcPr>
            <w:tcW w:w="801" w:type="dxa"/>
            <w:vAlign w:val="center"/>
          </w:tcPr>
          <w:p>
            <w:pPr>
              <w:jc w:val="center"/>
              <w:rPr>
                <w:color w:val="auto"/>
                <w:sz w:val="21"/>
                <w:szCs w:val="21"/>
              </w:rPr>
            </w:pPr>
            <w:r>
              <w:rPr>
                <w:color w:val="auto"/>
                <w:sz w:val="21"/>
                <w:szCs w:val="21"/>
              </w:rPr>
              <w:t>1380</w:t>
            </w:r>
          </w:p>
        </w:tc>
        <w:tc>
          <w:tcPr>
            <w:tcW w:w="844" w:type="dxa"/>
            <w:vAlign w:val="center"/>
          </w:tcPr>
          <w:p>
            <w:pPr>
              <w:jc w:val="center"/>
              <w:rPr>
                <w:color w:val="auto"/>
                <w:sz w:val="21"/>
                <w:szCs w:val="21"/>
              </w:rPr>
            </w:pPr>
            <w:r>
              <w:rPr>
                <w:color w:val="auto"/>
                <w:sz w:val="21"/>
                <w:szCs w:val="21"/>
              </w:rPr>
              <w:t>1495</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1000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东北</w:t>
            </w:r>
          </w:p>
        </w:tc>
        <w:tc>
          <w:tcPr>
            <w:tcW w:w="1247" w:type="dxa"/>
            <w:vAlign w:val="center"/>
          </w:tcPr>
          <w:p>
            <w:pPr>
              <w:jc w:val="center"/>
              <w:rPr>
                <w:color w:val="auto"/>
                <w:sz w:val="21"/>
                <w:szCs w:val="21"/>
              </w:rPr>
            </w:pPr>
            <w:r>
              <w:rPr>
                <w:color w:val="auto"/>
                <w:sz w:val="21"/>
                <w:szCs w:val="21"/>
              </w:rPr>
              <w:t>1720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下陶村</w:t>
            </w:r>
          </w:p>
        </w:tc>
        <w:tc>
          <w:tcPr>
            <w:tcW w:w="801" w:type="dxa"/>
            <w:vAlign w:val="center"/>
          </w:tcPr>
          <w:p>
            <w:pPr>
              <w:jc w:val="center"/>
              <w:rPr>
                <w:color w:val="auto"/>
                <w:sz w:val="21"/>
                <w:szCs w:val="21"/>
              </w:rPr>
            </w:pPr>
            <w:r>
              <w:rPr>
                <w:color w:val="auto"/>
                <w:sz w:val="21"/>
                <w:szCs w:val="21"/>
              </w:rPr>
              <w:t>1375</w:t>
            </w:r>
          </w:p>
        </w:tc>
        <w:tc>
          <w:tcPr>
            <w:tcW w:w="844" w:type="dxa"/>
            <w:vAlign w:val="center"/>
          </w:tcPr>
          <w:p>
            <w:pPr>
              <w:jc w:val="center"/>
              <w:rPr>
                <w:color w:val="auto"/>
                <w:sz w:val="21"/>
                <w:szCs w:val="21"/>
              </w:rPr>
            </w:pPr>
            <w:r>
              <w:rPr>
                <w:color w:val="auto"/>
                <w:sz w:val="21"/>
                <w:szCs w:val="21"/>
              </w:rPr>
              <w:t>-1805</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600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东南</w:t>
            </w:r>
          </w:p>
        </w:tc>
        <w:tc>
          <w:tcPr>
            <w:tcW w:w="1247" w:type="dxa"/>
            <w:vAlign w:val="center"/>
          </w:tcPr>
          <w:p>
            <w:pPr>
              <w:jc w:val="center"/>
              <w:rPr>
                <w:color w:val="auto"/>
                <w:sz w:val="21"/>
                <w:szCs w:val="21"/>
              </w:rPr>
            </w:pPr>
            <w:r>
              <w:rPr>
                <w:color w:val="auto"/>
                <w:sz w:val="21"/>
                <w:szCs w:val="21"/>
              </w:rPr>
              <w:t>1820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倚龙寨</w:t>
            </w:r>
          </w:p>
        </w:tc>
        <w:tc>
          <w:tcPr>
            <w:tcW w:w="801" w:type="dxa"/>
            <w:vAlign w:val="center"/>
          </w:tcPr>
          <w:p>
            <w:pPr>
              <w:jc w:val="center"/>
              <w:rPr>
                <w:color w:val="auto"/>
                <w:sz w:val="21"/>
                <w:szCs w:val="21"/>
              </w:rPr>
            </w:pPr>
            <w:r>
              <w:rPr>
                <w:color w:val="auto"/>
                <w:sz w:val="21"/>
                <w:szCs w:val="21"/>
              </w:rPr>
              <w:t>1087</w:t>
            </w:r>
          </w:p>
        </w:tc>
        <w:tc>
          <w:tcPr>
            <w:tcW w:w="844" w:type="dxa"/>
            <w:vAlign w:val="center"/>
          </w:tcPr>
          <w:p>
            <w:pPr>
              <w:jc w:val="center"/>
              <w:rPr>
                <w:color w:val="auto"/>
                <w:sz w:val="21"/>
                <w:szCs w:val="21"/>
              </w:rPr>
            </w:pPr>
            <w:r>
              <w:rPr>
                <w:color w:val="auto"/>
                <w:sz w:val="21"/>
                <w:szCs w:val="21"/>
              </w:rPr>
              <w:t>2001</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850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北偏东</w:t>
            </w:r>
          </w:p>
        </w:tc>
        <w:tc>
          <w:tcPr>
            <w:tcW w:w="1247" w:type="dxa"/>
            <w:vAlign w:val="center"/>
          </w:tcPr>
          <w:p>
            <w:pPr>
              <w:jc w:val="center"/>
              <w:rPr>
                <w:color w:val="auto"/>
                <w:sz w:val="21"/>
                <w:szCs w:val="21"/>
              </w:rPr>
            </w:pPr>
            <w:r>
              <w:rPr>
                <w:color w:val="auto"/>
                <w:sz w:val="21"/>
                <w:szCs w:val="21"/>
              </w:rPr>
              <w:t>1830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嶂下</w:t>
            </w:r>
          </w:p>
        </w:tc>
        <w:tc>
          <w:tcPr>
            <w:tcW w:w="801" w:type="dxa"/>
            <w:vAlign w:val="center"/>
          </w:tcPr>
          <w:p>
            <w:pPr>
              <w:jc w:val="center"/>
              <w:rPr>
                <w:color w:val="auto"/>
                <w:sz w:val="21"/>
                <w:szCs w:val="21"/>
              </w:rPr>
            </w:pPr>
            <w:r>
              <w:rPr>
                <w:color w:val="auto"/>
                <w:sz w:val="21"/>
                <w:szCs w:val="21"/>
              </w:rPr>
              <w:t>1845</w:t>
            </w:r>
          </w:p>
        </w:tc>
        <w:tc>
          <w:tcPr>
            <w:tcW w:w="844" w:type="dxa"/>
            <w:vAlign w:val="center"/>
          </w:tcPr>
          <w:p>
            <w:pPr>
              <w:jc w:val="center"/>
              <w:rPr>
                <w:color w:val="auto"/>
                <w:sz w:val="21"/>
                <w:szCs w:val="21"/>
              </w:rPr>
            </w:pPr>
            <w:r>
              <w:rPr>
                <w:color w:val="auto"/>
                <w:sz w:val="21"/>
                <w:szCs w:val="21"/>
              </w:rPr>
              <w:t>-1174</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600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东南</w:t>
            </w:r>
          </w:p>
        </w:tc>
        <w:tc>
          <w:tcPr>
            <w:tcW w:w="1247" w:type="dxa"/>
            <w:vAlign w:val="center"/>
          </w:tcPr>
          <w:p>
            <w:pPr>
              <w:jc w:val="center"/>
              <w:rPr>
                <w:color w:val="auto"/>
                <w:sz w:val="21"/>
                <w:szCs w:val="21"/>
              </w:rPr>
            </w:pPr>
            <w:r>
              <w:rPr>
                <w:color w:val="auto"/>
                <w:sz w:val="21"/>
                <w:szCs w:val="21"/>
              </w:rPr>
              <w:t>1990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11" w:type="dxa"/>
            <w:vAlign w:val="center"/>
          </w:tcPr>
          <w:p>
            <w:pPr>
              <w:jc w:val="center"/>
              <w:rPr>
                <w:color w:val="auto"/>
                <w:sz w:val="21"/>
                <w:szCs w:val="21"/>
              </w:rPr>
            </w:pPr>
            <w:r>
              <w:rPr>
                <w:rFonts w:hAnsi="宋体"/>
                <w:color w:val="auto"/>
                <w:sz w:val="21"/>
                <w:szCs w:val="21"/>
              </w:rPr>
              <w:t>永兴楼</w:t>
            </w:r>
          </w:p>
        </w:tc>
        <w:tc>
          <w:tcPr>
            <w:tcW w:w="801" w:type="dxa"/>
            <w:vAlign w:val="center"/>
          </w:tcPr>
          <w:p>
            <w:pPr>
              <w:jc w:val="center"/>
              <w:rPr>
                <w:color w:val="auto"/>
                <w:sz w:val="21"/>
                <w:szCs w:val="21"/>
              </w:rPr>
            </w:pPr>
            <w:r>
              <w:rPr>
                <w:color w:val="auto"/>
                <w:sz w:val="21"/>
                <w:szCs w:val="21"/>
              </w:rPr>
              <w:t>-945</w:t>
            </w:r>
          </w:p>
        </w:tc>
        <w:tc>
          <w:tcPr>
            <w:tcW w:w="844" w:type="dxa"/>
            <w:vAlign w:val="center"/>
          </w:tcPr>
          <w:p>
            <w:pPr>
              <w:jc w:val="center"/>
              <w:rPr>
                <w:color w:val="auto"/>
                <w:sz w:val="21"/>
                <w:szCs w:val="21"/>
              </w:rPr>
            </w:pPr>
            <w:r>
              <w:rPr>
                <w:color w:val="auto"/>
                <w:sz w:val="21"/>
                <w:szCs w:val="21"/>
              </w:rPr>
              <w:t>-2394</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jc w:val="center"/>
              <w:rPr>
                <w:color w:val="auto"/>
                <w:sz w:val="21"/>
                <w:szCs w:val="21"/>
              </w:rPr>
            </w:pPr>
            <w:r>
              <w:rPr>
                <w:rFonts w:hAnsi="宋体"/>
                <w:color w:val="auto"/>
                <w:sz w:val="21"/>
                <w:szCs w:val="21"/>
              </w:rPr>
              <w:t>约</w:t>
            </w:r>
            <w:r>
              <w:rPr>
                <w:color w:val="auto"/>
                <w:sz w:val="21"/>
                <w:szCs w:val="21"/>
              </w:rPr>
              <w:t>700</w:t>
            </w:r>
            <w:r>
              <w:rPr>
                <w:rFonts w:hAnsi="宋体"/>
                <w:color w:val="auto"/>
                <w:sz w:val="21"/>
                <w:szCs w:val="21"/>
              </w:rPr>
              <w:t>人</w:t>
            </w:r>
          </w:p>
        </w:tc>
        <w:tc>
          <w:tcPr>
            <w:tcW w:w="1670" w:type="dxa"/>
            <w:vMerge w:val="continue"/>
            <w:vAlign w:val="center"/>
          </w:tcPr>
          <w:p>
            <w:pPr>
              <w:pStyle w:val="49"/>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南偏西</w:t>
            </w:r>
          </w:p>
        </w:tc>
        <w:tc>
          <w:tcPr>
            <w:tcW w:w="1247" w:type="dxa"/>
            <w:vAlign w:val="center"/>
          </w:tcPr>
          <w:p>
            <w:pPr>
              <w:jc w:val="center"/>
              <w:rPr>
                <w:color w:val="auto"/>
                <w:sz w:val="21"/>
                <w:szCs w:val="21"/>
              </w:rPr>
            </w:pPr>
            <w:r>
              <w:rPr>
                <w:color w:val="auto"/>
                <w:sz w:val="21"/>
                <w:szCs w:val="21"/>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211" w:type="dxa"/>
            <w:vAlign w:val="center"/>
          </w:tcPr>
          <w:p>
            <w:pPr>
              <w:jc w:val="center"/>
              <w:rPr>
                <w:color w:val="auto"/>
                <w:sz w:val="21"/>
                <w:szCs w:val="21"/>
              </w:rPr>
            </w:pPr>
            <w:r>
              <w:rPr>
                <w:rFonts w:hAnsi="宋体"/>
                <w:color w:val="auto"/>
                <w:sz w:val="21"/>
                <w:szCs w:val="21"/>
              </w:rPr>
              <w:t>大湖洋</w:t>
            </w:r>
          </w:p>
        </w:tc>
        <w:tc>
          <w:tcPr>
            <w:tcW w:w="801" w:type="dxa"/>
            <w:vAlign w:val="center"/>
          </w:tcPr>
          <w:p>
            <w:pPr>
              <w:jc w:val="center"/>
              <w:rPr>
                <w:color w:val="auto"/>
                <w:sz w:val="21"/>
                <w:szCs w:val="21"/>
              </w:rPr>
            </w:pPr>
            <w:r>
              <w:rPr>
                <w:color w:val="auto"/>
                <w:sz w:val="21"/>
                <w:szCs w:val="21"/>
              </w:rPr>
              <w:t>1866</w:t>
            </w:r>
          </w:p>
        </w:tc>
        <w:tc>
          <w:tcPr>
            <w:tcW w:w="844" w:type="dxa"/>
            <w:vAlign w:val="center"/>
          </w:tcPr>
          <w:p>
            <w:pPr>
              <w:jc w:val="center"/>
              <w:rPr>
                <w:color w:val="auto"/>
                <w:sz w:val="21"/>
                <w:szCs w:val="21"/>
              </w:rPr>
            </w:pPr>
            <w:r>
              <w:rPr>
                <w:color w:val="auto"/>
                <w:sz w:val="21"/>
                <w:szCs w:val="21"/>
              </w:rPr>
              <w:t>1734</w:t>
            </w:r>
          </w:p>
        </w:tc>
        <w:tc>
          <w:tcPr>
            <w:tcW w:w="107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居民区</w:t>
            </w:r>
          </w:p>
        </w:tc>
        <w:tc>
          <w:tcPr>
            <w:tcW w:w="1383"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约</w:t>
            </w:r>
            <w:r>
              <w:rPr>
                <w:rFonts w:ascii="Times New Roman" w:hAnsi="Times New Roman" w:eastAsia="宋体"/>
                <w:color w:val="auto"/>
                <w:sz w:val="21"/>
                <w:szCs w:val="21"/>
              </w:rPr>
              <w:t>800</w:t>
            </w:r>
            <w:r>
              <w:rPr>
                <w:rFonts w:ascii="Times New Roman" w:hAnsi="宋体" w:eastAsia="宋体"/>
                <w:color w:val="auto"/>
                <w:sz w:val="21"/>
                <w:szCs w:val="21"/>
              </w:rPr>
              <w:t>人</w:t>
            </w:r>
          </w:p>
        </w:tc>
        <w:tc>
          <w:tcPr>
            <w:tcW w:w="1670" w:type="dxa"/>
            <w:vMerge w:val="continue"/>
            <w:vAlign w:val="center"/>
          </w:tcPr>
          <w:p>
            <w:pPr>
              <w:pStyle w:val="49"/>
              <w:spacing w:line="240" w:lineRule="auto"/>
              <w:rPr>
                <w:rFonts w:ascii="Times New Roman" w:hAnsi="Times New Roman" w:eastAsia="宋体"/>
                <w:color w:val="auto"/>
                <w:sz w:val="21"/>
                <w:szCs w:val="21"/>
              </w:rPr>
            </w:pPr>
          </w:p>
        </w:tc>
        <w:tc>
          <w:tcPr>
            <w:tcW w:w="957" w:type="dxa"/>
            <w:vAlign w:val="center"/>
          </w:tcPr>
          <w:p>
            <w:pPr>
              <w:jc w:val="center"/>
              <w:rPr>
                <w:color w:val="auto"/>
                <w:sz w:val="21"/>
                <w:szCs w:val="21"/>
              </w:rPr>
            </w:pPr>
            <w:r>
              <w:rPr>
                <w:rFonts w:hAnsi="宋体"/>
                <w:color w:val="auto"/>
                <w:sz w:val="21"/>
                <w:szCs w:val="21"/>
              </w:rPr>
              <w:t>东北</w:t>
            </w:r>
          </w:p>
        </w:tc>
        <w:tc>
          <w:tcPr>
            <w:tcW w:w="1247" w:type="dxa"/>
            <w:vAlign w:val="center"/>
          </w:tcPr>
          <w:p>
            <w:pPr>
              <w:jc w:val="center"/>
              <w:rPr>
                <w:color w:val="auto"/>
                <w:sz w:val="21"/>
                <w:szCs w:val="21"/>
              </w:rPr>
            </w:pPr>
            <w:r>
              <w:rPr>
                <w:color w:val="auto"/>
                <w:sz w:val="21"/>
                <w:szCs w:val="21"/>
              </w:rPr>
              <w:t>2220</w:t>
            </w:r>
          </w:p>
        </w:tc>
      </w:tr>
    </w:tbl>
    <w:p>
      <w:pPr>
        <w:adjustRightInd w:val="0"/>
        <w:snapToGrid w:val="0"/>
        <w:spacing w:line="360" w:lineRule="auto"/>
        <w:ind w:firstLine="480" w:firstLineChars="200"/>
        <w:jc w:val="left"/>
        <w:rPr>
          <w:color w:val="auto"/>
          <w:sz w:val="24"/>
          <w:szCs w:val="24"/>
        </w:rPr>
        <w:sectPr>
          <w:pgSz w:w="11906" w:h="16838"/>
          <w:pgMar w:top="1440" w:right="1800" w:bottom="1440" w:left="1800" w:header="851" w:footer="992" w:gutter="0"/>
          <w:cols w:space="425" w:num="1"/>
          <w:docGrid w:type="lines" w:linePitch="312" w:charSpace="0"/>
        </w:sectPr>
      </w:pPr>
      <w:r>
        <w:rPr>
          <w:rFonts w:hint="eastAsia"/>
          <w:color w:val="auto"/>
          <w:sz w:val="24"/>
          <w:szCs w:val="24"/>
        </w:rPr>
        <w:t>注：坐标原点为项目中心点，相对厂界距离为最近距离。选址地块东面化群学校已迁离，不纳入环境保护目标。</w:t>
      </w:r>
    </w:p>
    <w:p>
      <w:pPr>
        <w:pStyle w:val="2"/>
        <w:rPr>
          <w:color w:val="auto"/>
        </w:rPr>
      </w:pPr>
      <w:bookmarkStart w:id="64" w:name="_Toc26276801"/>
      <w:bookmarkStart w:id="65" w:name="_Toc24354"/>
      <w:r>
        <w:rPr>
          <w:rFonts w:hint="eastAsia"/>
          <w:color w:val="auto"/>
        </w:rPr>
        <w:t>3建设项目工程分析</w:t>
      </w:r>
      <w:bookmarkEnd w:id="64"/>
      <w:bookmarkEnd w:id="65"/>
    </w:p>
    <w:p>
      <w:pPr>
        <w:pStyle w:val="3"/>
        <w:rPr>
          <w:color w:val="auto"/>
        </w:rPr>
      </w:pPr>
      <w:bookmarkStart w:id="66" w:name="_Toc14382"/>
      <w:bookmarkStart w:id="67" w:name="_Toc26276802"/>
      <w:r>
        <w:rPr>
          <w:rFonts w:hint="eastAsia"/>
          <w:color w:val="auto"/>
        </w:rPr>
        <w:t>3.1建设项目概况</w:t>
      </w:r>
      <w:bookmarkEnd w:id="66"/>
      <w:bookmarkEnd w:id="67"/>
    </w:p>
    <w:p>
      <w:pPr>
        <w:pStyle w:val="4"/>
        <w:rPr>
          <w:color w:val="auto"/>
        </w:rPr>
      </w:pPr>
      <w:bookmarkStart w:id="68" w:name="_Toc26276803"/>
      <w:r>
        <w:rPr>
          <w:rFonts w:hint="eastAsia"/>
          <w:color w:val="auto"/>
        </w:rPr>
        <w:t>3.1.1项目基本情况</w:t>
      </w:r>
      <w:bookmarkEnd w:id="68"/>
    </w:p>
    <w:p>
      <w:pPr>
        <w:spacing w:line="360" w:lineRule="auto"/>
        <w:ind w:firstLine="482" w:firstLineChars="200"/>
        <w:rPr>
          <w:color w:val="auto"/>
          <w:sz w:val="24"/>
          <w:szCs w:val="24"/>
        </w:rPr>
      </w:pPr>
      <w:r>
        <w:rPr>
          <w:rFonts w:hint="eastAsia"/>
          <w:b/>
          <w:color w:val="auto"/>
          <w:sz w:val="24"/>
          <w:szCs w:val="24"/>
        </w:rPr>
        <w:t>1、工程名称：</w:t>
      </w:r>
      <w:r>
        <w:rPr>
          <w:rFonts w:hint="eastAsia"/>
          <w:color w:val="auto"/>
          <w:sz w:val="24"/>
          <w:szCs w:val="24"/>
        </w:rPr>
        <w:t>五华河东绿色生态工业小镇油新水质净化厂一期工程建设项目。</w:t>
      </w:r>
    </w:p>
    <w:p>
      <w:pPr>
        <w:spacing w:line="360" w:lineRule="auto"/>
        <w:ind w:firstLine="482" w:firstLineChars="200"/>
        <w:rPr>
          <w:color w:val="auto"/>
          <w:sz w:val="24"/>
          <w:szCs w:val="24"/>
        </w:rPr>
      </w:pPr>
      <w:r>
        <w:rPr>
          <w:rFonts w:hint="eastAsia"/>
          <w:b/>
          <w:color w:val="auto"/>
          <w:sz w:val="24"/>
          <w:szCs w:val="24"/>
        </w:rPr>
        <w:t>2、建设地点及占地：</w:t>
      </w:r>
      <w:r>
        <w:rPr>
          <w:rFonts w:hint="eastAsia"/>
          <w:color w:val="auto"/>
          <w:sz w:val="24"/>
          <w:szCs w:val="24"/>
        </w:rPr>
        <w:t>本项目位于梅州市五华县河东镇，选址于畲华高速的东侧、油新公园的西南侧。本项目规划用地面积4.0hm</w:t>
      </w:r>
      <w:r>
        <w:rPr>
          <w:rFonts w:hint="eastAsia"/>
          <w:color w:val="auto"/>
          <w:sz w:val="24"/>
          <w:szCs w:val="24"/>
          <w:vertAlign w:val="superscript"/>
        </w:rPr>
        <w:t>2</w:t>
      </w:r>
      <w:r>
        <w:rPr>
          <w:rFonts w:hint="eastAsia"/>
          <w:color w:val="auto"/>
          <w:sz w:val="24"/>
          <w:szCs w:val="24"/>
        </w:rPr>
        <w:t>，一期工程用地面积为3.12 hm</w:t>
      </w:r>
      <w:r>
        <w:rPr>
          <w:rFonts w:hint="eastAsia"/>
          <w:color w:val="auto"/>
          <w:sz w:val="24"/>
          <w:szCs w:val="24"/>
          <w:vertAlign w:val="superscript"/>
        </w:rPr>
        <w:t>2</w:t>
      </w:r>
      <w:r>
        <w:rPr>
          <w:rFonts w:hint="eastAsia"/>
          <w:color w:val="auto"/>
          <w:sz w:val="24"/>
          <w:szCs w:val="24"/>
        </w:rPr>
        <w:t>，约 46.67 亩（不含远景用地）。</w:t>
      </w:r>
    </w:p>
    <w:p>
      <w:pPr>
        <w:spacing w:line="360" w:lineRule="auto"/>
        <w:ind w:firstLine="482" w:firstLineChars="200"/>
        <w:rPr>
          <w:color w:val="auto"/>
          <w:sz w:val="24"/>
          <w:szCs w:val="24"/>
        </w:rPr>
      </w:pPr>
      <w:r>
        <w:rPr>
          <w:rFonts w:hint="eastAsia"/>
          <w:b/>
          <w:color w:val="auto"/>
          <w:sz w:val="24"/>
          <w:szCs w:val="24"/>
        </w:rPr>
        <w:t>3、建设单位：</w:t>
      </w:r>
      <w:r>
        <w:rPr>
          <w:rFonts w:hint="eastAsia"/>
          <w:color w:val="auto"/>
          <w:sz w:val="24"/>
          <w:szCs w:val="24"/>
        </w:rPr>
        <w:t>广东五华经济开发区管理委员会。</w:t>
      </w:r>
    </w:p>
    <w:p>
      <w:pPr>
        <w:spacing w:line="360" w:lineRule="auto"/>
        <w:ind w:firstLine="482" w:firstLineChars="200"/>
        <w:rPr>
          <w:color w:val="auto"/>
          <w:sz w:val="24"/>
          <w:szCs w:val="24"/>
        </w:rPr>
      </w:pPr>
      <w:r>
        <w:rPr>
          <w:rFonts w:hint="eastAsia"/>
          <w:b/>
          <w:color w:val="auto"/>
          <w:sz w:val="24"/>
          <w:szCs w:val="24"/>
        </w:rPr>
        <w:t>4、建设性质：</w:t>
      </w:r>
      <w:r>
        <w:rPr>
          <w:rFonts w:hint="eastAsia"/>
          <w:color w:val="auto"/>
          <w:sz w:val="24"/>
          <w:szCs w:val="24"/>
        </w:rPr>
        <w:t>新建。</w:t>
      </w:r>
    </w:p>
    <w:p>
      <w:pPr>
        <w:spacing w:line="360" w:lineRule="auto"/>
        <w:ind w:firstLine="482" w:firstLineChars="200"/>
        <w:rPr>
          <w:color w:val="auto"/>
          <w:sz w:val="24"/>
          <w:szCs w:val="24"/>
        </w:rPr>
      </w:pPr>
      <w:r>
        <w:rPr>
          <w:rFonts w:hint="eastAsia"/>
          <w:b/>
          <w:color w:val="auto"/>
          <w:sz w:val="24"/>
          <w:szCs w:val="24"/>
        </w:rPr>
        <w:t>5、排水去向：</w:t>
      </w:r>
      <w:r>
        <w:rPr>
          <w:rFonts w:hint="eastAsia"/>
          <w:color w:val="auto"/>
          <w:sz w:val="24"/>
          <w:szCs w:val="24"/>
        </w:rPr>
        <w:t>本项目设计处理能力0.8万m</w:t>
      </w:r>
      <w:r>
        <w:rPr>
          <w:rFonts w:hint="eastAsia"/>
          <w:color w:val="auto"/>
          <w:sz w:val="24"/>
          <w:szCs w:val="24"/>
          <w:vertAlign w:val="superscript"/>
        </w:rPr>
        <w:t>3</w:t>
      </w:r>
      <w:r>
        <w:rPr>
          <w:rFonts w:hint="eastAsia"/>
          <w:color w:val="auto"/>
          <w:sz w:val="24"/>
          <w:szCs w:val="24"/>
        </w:rPr>
        <w:t>/d，尾水部分回用于水质净化厂自用、园区内城市绿化、道路清扫和冲厕，回用率达到30%以上，其余尾水排入大嵩河，排放水量为5600 m</w:t>
      </w:r>
      <w:r>
        <w:rPr>
          <w:rFonts w:hint="eastAsia"/>
          <w:color w:val="auto"/>
          <w:sz w:val="24"/>
          <w:szCs w:val="24"/>
          <w:vertAlign w:val="superscript"/>
        </w:rPr>
        <w:t>3</w:t>
      </w:r>
      <w:r>
        <w:rPr>
          <w:rFonts w:hint="eastAsia"/>
          <w:color w:val="auto"/>
          <w:sz w:val="24"/>
          <w:szCs w:val="24"/>
        </w:rPr>
        <w:t>/d。</w:t>
      </w:r>
    </w:p>
    <w:p>
      <w:pPr>
        <w:spacing w:line="360" w:lineRule="auto"/>
        <w:ind w:firstLine="482" w:firstLineChars="200"/>
        <w:rPr>
          <w:color w:val="auto"/>
          <w:sz w:val="24"/>
          <w:szCs w:val="24"/>
        </w:rPr>
      </w:pPr>
      <w:r>
        <w:rPr>
          <w:rFonts w:hint="eastAsia"/>
          <w:b/>
          <w:bCs/>
          <w:color w:val="auto"/>
          <w:sz w:val="24"/>
          <w:szCs w:val="24"/>
        </w:rPr>
        <w:t>6、排污口位置：</w:t>
      </w:r>
      <w:r>
        <w:rPr>
          <w:rFonts w:hint="eastAsia"/>
          <w:color w:val="auto"/>
          <w:sz w:val="24"/>
          <w:szCs w:val="24"/>
        </w:rPr>
        <w:t>鸡子社灌溉渠和大嵩河交汇处，地理坐标：23.938771°，115.844167°。</w:t>
      </w:r>
    </w:p>
    <w:p>
      <w:pPr>
        <w:spacing w:line="360" w:lineRule="auto"/>
        <w:ind w:firstLine="482" w:firstLineChars="200"/>
        <w:rPr>
          <w:color w:val="auto"/>
          <w:sz w:val="24"/>
          <w:szCs w:val="24"/>
        </w:rPr>
      </w:pPr>
      <w:r>
        <w:rPr>
          <w:rFonts w:hint="eastAsia"/>
          <w:b/>
          <w:color w:val="auto"/>
          <w:sz w:val="24"/>
          <w:szCs w:val="24"/>
        </w:rPr>
        <w:t>7、劳动定员及工作制度：</w:t>
      </w:r>
      <w:r>
        <w:rPr>
          <w:rFonts w:hint="eastAsia"/>
          <w:color w:val="auto"/>
          <w:sz w:val="24"/>
          <w:szCs w:val="24"/>
        </w:rPr>
        <w:t>本项目劳动定员25人，全年工作365天，每天工作24小时，三班制。厂内设有员工食堂（位于综合楼一层），不设职工宿舍。</w:t>
      </w:r>
    </w:p>
    <w:p>
      <w:pPr>
        <w:spacing w:line="360" w:lineRule="auto"/>
        <w:ind w:firstLine="482" w:firstLineChars="200"/>
        <w:rPr>
          <w:color w:val="auto"/>
          <w:sz w:val="24"/>
          <w:szCs w:val="24"/>
        </w:rPr>
      </w:pPr>
      <w:r>
        <w:rPr>
          <w:rFonts w:hint="eastAsia"/>
          <w:b/>
          <w:color w:val="auto"/>
          <w:sz w:val="24"/>
          <w:szCs w:val="24"/>
        </w:rPr>
        <w:t>8、建设进度：</w:t>
      </w:r>
      <w:r>
        <w:rPr>
          <w:rFonts w:hint="eastAsia"/>
          <w:color w:val="auto"/>
          <w:sz w:val="24"/>
          <w:szCs w:val="24"/>
        </w:rPr>
        <w:t>本项目建设工期为12个月，即2021年7月初~2022年6月底。</w:t>
      </w:r>
    </w:p>
    <w:p>
      <w:pPr>
        <w:spacing w:line="360" w:lineRule="auto"/>
        <w:ind w:firstLine="482" w:firstLineChars="200"/>
        <w:rPr>
          <w:color w:val="auto"/>
          <w:sz w:val="24"/>
          <w:szCs w:val="24"/>
        </w:rPr>
      </w:pPr>
      <w:r>
        <w:rPr>
          <w:rFonts w:hint="eastAsia"/>
          <w:b/>
          <w:color w:val="auto"/>
          <w:sz w:val="24"/>
          <w:szCs w:val="24"/>
        </w:rPr>
        <w:t>9、工程总投资：</w:t>
      </w:r>
      <w:r>
        <w:rPr>
          <w:rFonts w:hint="eastAsia"/>
          <w:color w:val="auto"/>
          <w:sz w:val="24"/>
          <w:szCs w:val="24"/>
        </w:rPr>
        <w:t>项目总投资5202.73万元。</w:t>
      </w:r>
    </w:p>
    <w:p>
      <w:pPr>
        <w:pStyle w:val="4"/>
        <w:rPr>
          <w:color w:val="auto"/>
        </w:rPr>
      </w:pPr>
      <w:bookmarkStart w:id="69" w:name="_Toc26276804"/>
      <w:r>
        <w:rPr>
          <w:rFonts w:hint="eastAsia"/>
          <w:color w:val="auto"/>
        </w:rPr>
        <w:t>3.1.2水质净化厂服务园区概况</w:t>
      </w:r>
      <w:bookmarkEnd w:id="69"/>
    </w:p>
    <w:p>
      <w:pPr>
        <w:spacing w:line="360" w:lineRule="auto"/>
        <w:ind w:firstLine="482" w:firstLineChars="200"/>
        <w:rPr>
          <w:color w:val="auto"/>
          <w:sz w:val="24"/>
          <w:szCs w:val="24"/>
        </w:rPr>
      </w:pPr>
      <w:r>
        <w:rPr>
          <w:rFonts w:hint="eastAsia"/>
          <w:b/>
          <w:color w:val="auto"/>
          <w:sz w:val="24"/>
          <w:szCs w:val="24"/>
        </w:rPr>
        <w:t>1、服务范围及面积</w:t>
      </w:r>
    </w:p>
    <w:p>
      <w:pPr>
        <w:spacing w:line="360" w:lineRule="auto"/>
        <w:ind w:firstLine="480" w:firstLineChars="200"/>
        <w:rPr>
          <w:color w:val="auto"/>
          <w:sz w:val="24"/>
          <w:szCs w:val="24"/>
        </w:rPr>
      </w:pPr>
      <w:r>
        <w:rPr>
          <w:rFonts w:hint="eastAsia"/>
          <w:color w:val="auto"/>
          <w:sz w:val="24"/>
          <w:szCs w:val="24"/>
        </w:rPr>
        <w:t>本项目位于五华河东绿色生态工业小镇内，根据《五华河东绿色生态工业小镇污水专项规划（2018-2035）》，五华河东绿色生态工业小镇规划为5大污水分区，即“西北分区”、“北部分区”、“东北分区”、“中部分区”、“南部分区”。本项目位于五华河东绿色生态工业小镇南部分区的东北部。五华河东绿色生态工业小镇拟建设2座水质净化厂，即化裕水质净化厂和油新水质净化厂，其中，化裕水质净化厂主要收集西北分区、北部分区、东北分区、中部分区的全部和南部片区的部分污水；油新水质净化厂主要收集南部片区的大部分污水及五华河东绿色生态工业小镇南区东边村庄的生活污水。本项目纳污范围详见附图3。</w:t>
      </w:r>
    </w:p>
    <w:p>
      <w:pPr>
        <w:spacing w:line="360" w:lineRule="auto"/>
        <w:ind w:firstLine="482" w:firstLineChars="200"/>
        <w:rPr>
          <w:b/>
          <w:color w:val="auto"/>
          <w:sz w:val="24"/>
          <w:szCs w:val="24"/>
        </w:rPr>
      </w:pPr>
      <w:r>
        <w:rPr>
          <w:rFonts w:hint="eastAsia"/>
          <w:b/>
          <w:color w:val="auto"/>
          <w:sz w:val="24"/>
          <w:szCs w:val="24"/>
        </w:rPr>
        <w:t>2、五华河东绿色生态工业小镇概况</w:t>
      </w:r>
    </w:p>
    <w:p>
      <w:pPr>
        <w:spacing w:line="360" w:lineRule="auto"/>
        <w:ind w:firstLine="480" w:firstLineChars="200"/>
        <w:rPr>
          <w:color w:val="auto"/>
          <w:sz w:val="24"/>
          <w:szCs w:val="24"/>
        </w:rPr>
      </w:pPr>
      <w:r>
        <w:rPr>
          <w:rFonts w:hint="eastAsia"/>
          <w:color w:val="auto"/>
          <w:sz w:val="24"/>
          <w:szCs w:val="24"/>
        </w:rPr>
        <w:t>五华河东绿色生态工业小镇位于五华县河东镇，规划范围北以梅江为界、东和南至120 省道（梅华公路）、西至黄湖水库，总用地面积25.34km</w:t>
      </w:r>
      <w:r>
        <w:rPr>
          <w:rFonts w:hint="eastAsia"/>
          <w:color w:val="auto"/>
          <w:sz w:val="24"/>
          <w:szCs w:val="24"/>
          <w:vertAlign w:val="superscript"/>
        </w:rPr>
        <w:t>2</w:t>
      </w:r>
      <w:r>
        <w:rPr>
          <w:rFonts w:hint="eastAsia"/>
          <w:color w:val="auto"/>
          <w:sz w:val="24"/>
          <w:szCs w:val="24"/>
        </w:rPr>
        <w:t>。根据《梅州市人民政府关于印发广东梅兴华丰产业集聚带发展总体规划</w:t>
      </w:r>
      <w:r>
        <w:rPr>
          <w:color w:val="auto"/>
          <w:sz w:val="24"/>
          <w:szCs w:val="24"/>
        </w:rPr>
        <w:t>（2015—2030年）</w:t>
      </w:r>
      <w:r>
        <w:rPr>
          <w:rFonts w:hint="eastAsia"/>
          <w:color w:val="auto"/>
          <w:sz w:val="24"/>
          <w:szCs w:val="24"/>
        </w:rPr>
        <w:t>实施方案的通知》（梅市府函〔2016〕67号）和《五华县县城总体规划（2012-2030）》，五华河东绿色生态工业小镇规划定位为广东梅兴华丰原中央苏区绿色发展示范区的重要组成部分，与五华县城联动发展的生态型综合产业园区。</w:t>
      </w:r>
    </w:p>
    <w:p>
      <w:pPr>
        <w:spacing w:line="360" w:lineRule="auto"/>
        <w:ind w:firstLine="480" w:firstLineChars="200"/>
        <w:rPr>
          <w:color w:val="auto"/>
          <w:sz w:val="24"/>
          <w:szCs w:val="24"/>
        </w:rPr>
      </w:pPr>
      <w:r>
        <w:rPr>
          <w:rFonts w:hint="eastAsia"/>
          <w:color w:val="auto"/>
          <w:sz w:val="24"/>
          <w:szCs w:val="24"/>
        </w:rPr>
        <w:t>至2030年，五华河东绿色生态工业小镇规划总用地面积2533.94hm</w:t>
      </w:r>
      <w:r>
        <w:rPr>
          <w:rFonts w:hint="eastAsia"/>
          <w:color w:val="auto"/>
          <w:sz w:val="24"/>
          <w:szCs w:val="24"/>
          <w:vertAlign w:val="superscript"/>
        </w:rPr>
        <w:t>2</w:t>
      </w:r>
      <w:r>
        <w:rPr>
          <w:rFonts w:hint="eastAsia"/>
          <w:color w:val="auto"/>
          <w:sz w:val="24"/>
          <w:szCs w:val="24"/>
        </w:rPr>
        <w:t>，建设用地1732.26hm</w:t>
      </w:r>
      <w:r>
        <w:rPr>
          <w:rFonts w:hint="eastAsia"/>
          <w:color w:val="auto"/>
          <w:sz w:val="24"/>
          <w:szCs w:val="24"/>
          <w:vertAlign w:val="superscript"/>
        </w:rPr>
        <w:t>2</w:t>
      </w:r>
      <w:r>
        <w:rPr>
          <w:rFonts w:hint="eastAsia"/>
          <w:color w:val="auto"/>
          <w:sz w:val="24"/>
          <w:szCs w:val="24"/>
        </w:rPr>
        <w:t>，其中城乡居民点建设用地规模为1682.62 hm</w:t>
      </w:r>
      <w:r>
        <w:rPr>
          <w:rFonts w:hint="eastAsia"/>
          <w:color w:val="auto"/>
          <w:sz w:val="24"/>
          <w:szCs w:val="24"/>
          <w:vertAlign w:val="superscript"/>
        </w:rPr>
        <w:t>2</w:t>
      </w:r>
      <w:r>
        <w:rPr>
          <w:rFonts w:hint="eastAsia"/>
          <w:color w:val="auto"/>
          <w:sz w:val="24"/>
          <w:szCs w:val="24"/>
        </w:rPr>
        <w:t>，城市建设用地面积1568.28hm</w:t>
      </w:r>
      <w:r>
        <w:rPr>
          <w:rFonts w:hint="eastAsia"/>
          <w:color w:val="auto"/>
          <w:sz w:val="24"/>
          <w:szCs w:val="24"/>
          <w:vertAlign w:val="superscript"/>
        </w:rPr>
        <w:t>2</w:t>
      </w:r>
      <w:r>
        <w:rPr>
          <w:rFonts w:hint="eastAsia"/>
          <w:color w:val="auto"/>
          <w:sz w:val="24"/>
          <w:szCs w:val="24"/>
        </w:rPr>
        <w:t>，村庄建设用地114.34hm</w:t>
      </w:r>
      <w:r>
        <w:rPr>
          <w:rFonts w:hint="eastAsia"/>
          <w:color w:val="auto"/>
          <w:sz w:val="24"/>
          <w:szCs w:val="24"/>
          <w:vertAlign w:val="superscript"/>
        </w:rPr>
        <w:t>2</w:t>
      </w:r>
      <w:r>
        <w:rPr>
          <w:rFonts w:hint="eastAsia"/>
          <w:color w:val="auto"/>
          <w:sz w:val="24"/>
          <w:szCs w:val="24"/>
        </w:rPr>
        <w:t>。其用地情况如下表所示。</w:t>
      </w:r>
    </w:p>
    <w:p>
      <w:pPr>
        <w:spacing w:line="360" w:lineRule="auto"/>
        <w:jc w:val="center"/>
        <w:rPr>
          <w:b/>
          <w:color w:val="auto"/>
          <w:sz w:val="24"/>
          <w:szCs w:val="24"/>
        </w:rPr>
      </w:pPr>
      <w:r>
        <w:rPr>
          <w:rFonts w:hint="eastAsia"/>
          <w:b/>
          <w:color w:val="auto"/>
          <w:sz w:val="24"/>
          <w:szCs w:val="24"/>
        </w:rPr>
        <w:t>表3-1-1   规划城乡用地汇总表</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6"/>
        <w:gridCol w:w="1135"/>
        <w:gridCol w:w="709"/>
        <w:gridCol w:w="2410"/>
        <w:gridCol w:w="1417"/>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Align w:val="center"/>
          </w:tcPr>
          <w:p>
            <w:pPr>
              <w:adjustRightInd w:val="0"/>
              <w:snapToGrid w:val="0"/>
              <w:jc w:val="center"/>
              <w:rPr>
                <w:b/>
                <w:color w:val="auto"/>
                <w:sz w:val="21"/>
                <w:szCs w:val="21"/>
              </w:rPr>
            </w:pPr>
            <w:r>
              <w:rPr>
                <w:rFonts w:hAnsi="宋体"/>
                <w:b/>
                <w:color w:val="auto"/>
                <w:sz w:val="21"/>
                <w:szCs w:val="21"/>
              </w:rPr>
              <w:t>序号</w:t>
            </w:r>
          </w:p>
        </w:tc>
        <w:tc>
          <w:tcPr>
            <w:tcW w:w="1135" w:type="dxa"/>
            <w:vAlign w:val="center"/>
          </w:tcPr>
          <w:p>
            <w:pPr>
              <w:adjustRightInd w:val="0"/>
              <w:snapToGrid w:val="0"/>
              <w:jc w:val="center"/>
              <w:rPr>
                <w:b/>
                <w:color w:val="auto"/>
                <w:sz w:val="21"/>
                <w:szCs w:val="21"/>
              </w:rPr>
            </w:pPr>
            <w:r>
              <w:rPr>
                <w:rFonts w:hAnsi="宋体"/>
                <w:b/>
                <w:color w:val="auto"/>
                <w:sz w:val="21"/>
                <w:szCs w:val="21"/>
              </w:rPr>
              <w:t>用地代号</w:t>
            </w:r>
          </w:p>
        </w:tc>
        <w:tc>
          <w:tcPr>
            <w:tcW w:w="3119" w:type="dxa"/>
            <w:gridSpan w:val="2"/>
            <w:vAlign w:val="center"/>
          </w:tcPr>
          <w:p>
            <w:pPr>
              <w:adjustRightInd w:val="0"/>
              <w:snapToGrid w:val="0"/>
              <w:jc w:val="center"/>
              <w:rPr>
                <w:b/>
                <w:color w:val="auto"/>
                <w:sz w:val="21"/>
                <w:szCs w:val="21"/>
              </w:rPr>
            </w:pPr>
            <w:r>
              <w:rPr>
                <w:rFonts w:hAnsi="宋体"/>
                <w:b/>
                <w:color w:val="auto"/>
                <w:sz w:val="21"/>
                <w:szCs w:val="21"/>
              </w:rPr>
              <w:t>用地名称</w:t>
            </w:r>
          </w:p>
        </w:tc>
        <w:tc>
          <w:tcPr>
            <w:tcW w:w="1417" w:type="dxa"/>
            <w:vAlign w:val="center"/>
          </w:tcPr>
          <w:p>
            <w:pPr>
              <w:adjustRightInd w:val="0"/>
              <w:snapToGrid w:val="0"/>
              <w:jc w:val="center"/>
              <w:rPr>
                <w:b/>
                <w:color w:val="auto"/>
                <w:sz w:val="21"/>
                <w:szCs w:val="21"/>
              </w:rPr>
            </w:pPr>
            <w:r>
              <w:rPr>
                <w:rFonts w:hAnsi="宋体"/>
                <w:b/>
                <w:color w:val="auto"/>
                <w:sz w:val="21"/>
                <w:szCs w:val="21"/>
              </w:rPr>
              <w:t>面积（公顷）</w:t>
            </w:r>
          </w:p>
        </w:tc>
        <w:tc>
          <w:tcPr>
            <w:tcW w:w="2035" w:type="dxa"/>
            <w:vAlign w:val="center"/>
          </w:tcPr>
          <w:p>
            <w:pPr>
              <w:adjustRightInd w:val="0"/>
              <w:snapToGrid w:val="0"/>
              <w:jc w:val="center"/>
              <w:rPr>
                <w:b/>
                <w:color w:val="auto"/>
                <w:sz w:val="21"/>
                <w:szCs w:val="21"/>
              </w:rPr>
            </w:pPr>
            <w:r>
              <w:rPr>
                <w:rFonts w:hAnsi="宋体"/>
                <w:b/>
                <w:color w:val="auto"/>
                <w:sz w:val="21"/>
                <w:szCs w:val="21"/>
              </w:rPr>
              <w:t>占总用地比例（</w:t>
            </w:r>
            <w:r>
              <w:rPr>
                <w:b/>
                <w:color w:val="auto"/>
                <w:sz w:val="21"/>
                <w:szCs w:val="21"/>
              </w:rPr>
              <w:t>%</w:t>
            </w:r>
            <w:r>
              <w:rPr>
                <w:rFonts w:hAnsi="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restart"/>
            <w:vAlign w:val="center"/>
          </w:tcPr>
          <w:p>
            <w:pPr>
              <w:adjustRightInd w:val="0"/>
              <w:snapToGrid w:val="0"/>
              <w:jc w:val="center"/>
              <w:rPr>
                <w:color w:val="auto"/>
                <w:sz w:val="21"/>
                <w:szCs w:val="21"/>
              </w:rPr>
            </w:pPr>
            <w:r>
              <w:rPr>
                <w:color w:val="auto"/>
                <w:sz w:val="21"/>
                <w:szCs w:val="21"/>
              </w:rPr>
              <w:t>1</w:t>
            </w:r>
          </w:p>
        </w:tc>
        <w:tc>
          <w:tcPr>
            <w:tcW w:w="1135" w:type="dxa"/>
            <w:vMerge w:val="restart"/>
            <w:vAlign w:val="center"/>
          </w:tcPr>
          <w:p>
            <w:pPr>
              <w:adjustRightInd w:val="0"/>
              <w:snapToGrid w:val="0"/>
              <w:jc w:val="center"/>
              <w:rPr>
                <w:color w:val="auto"/>
                <w:sz w:val="21"/>
                <w:szCs w:val="21"/>
              </w:rPr>
            </w:pPr>
            <w:r>
              <w:rPr>
                <w:color w:val="auto"/>
                <w:sz w:val="21"/>
                <w:szCs w:val="21"/>
              </w:rPr>
              <w:t>H</w:t>
            </w:r>
          </w:p>
        </w:tc>
        <w:tc>
          <w:tcPr>
            <w:tcW w:w="3119" w:type="dxa"/>
            <w:gridSpan w:val="2"/>
            <w:vAlign w:val="center"/>
          </w:tcPr>
          <w:p>
            <w:pPr>
              <w:adjustRightInd w:val="0"/>
              <w:snapToGrid w:val="0"/>
              <w:jc w:val="center"/>
              <w:rPr>
                <w:color w:val="auto"/>
                <w:sz w:val="21"/>
                <w:szCs w:val="21"/>
              </w:rPr>
            </w:pPr>
            <w:r>
              <w:rPr>
                <w:rFonts w:hAnsi="宋体"/>
                <w:color w:val="auto"/>
                <w:sz w:val="21"/>
                <w:szCs w:val="21"/>
              </w:rPr>
              <w:t>建设用地</w:t>
            </w:r>
          </w:p>
        </w:tc>
        <w:tc>
          <w:tcPr>
            <w:tcW w:w="1417" w:type="dxa"/>
            <w:vAlign w:val="center"/>
          </w:tcPr>
          <w:p>
            <w:pPr>
              <w:adjustRightInd w:val="0"/>
              <w:snapToGrid w:val="0"/>
              <w:jc w:val="center"/>
              <w:rPr>
                <w:color w:val="auto"/>
                <w:sz w:val="21"/>
                <w:szCs w:val="21"/>
              </w:rPr>
            </w:pPr>
            <w:r>
              <w:rPr>
                <w:color w:val="auto"/>
                <w:sz w:val="21"/>
                <w:szCs w:val="21"/>
              </w:rPr>
              <w:t>1732.26</w:t>
            </w:r>
          </w:p>
        </w:tc>
        <w:tc>
          <w:tcPr>
            <w:tcW w:w="2035" w:type="dxa"/>
            <w:vMerge w:val="restart"/>
            <w:vAlign w:val="center"/>
          </w:tcPr>
          <w:p>
            <w:pPr>
              <w:adjustRightInd w:val="0"/>
              <w:snapToGrid w:val="0"/>
              <w:jc w:val="center"/>
              <w:rPr>
                <w:color w:val="auto"/>
                <w:sz w:val="21"/>
                <w:szCs w:val="21"/>
              </w:rPr>
            </w:pPr>
            <w:r>
              <w:rPr>
                <w:color w:val="auto"/>
                <w:sz w:val="21"/>
                <w:szCs w:val="21"/>
              </w:rPr>
              <w:t>68.33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continue"/>
            <w:vAlign w:val="center"/>
          </w:tcPr>
          <w:p>
            <w:pPr>
              <w:adjustRightInd w:val="0"/>
              <w:snapToGrid w:val="0"/>
              <w:jc w:val="center"/>
              <w:rPr>
                <w:color w:val="auto"/>
                <w:sz w:val="21"/>
                <w:szCs w:val="21"/>
              </w:rPr>
            </w:pPr>
          </w:p>
        </w:tc>
        <w:tc>
          <w:tcPr>
            <w:tcW w:w="1135" w:type="dxa"/>
            <w:vMerge w:val="continue"/>
            <w:vAlign w:val="center"/>
          </w:tcPr>
          <w:p>
            <w:pPr>
              <w:adjustRightInd w:val="0"/>
              <w:snapToGrid w:val="0"/>
              <w:jc w:val="center"/>
              <w:rPr>
                <w:color w:val="auto"/>
                <w:sz w:val="21"/>
                <w:szCs w:val="21"/>
              </w:rPr>
            </w:pPr>
          </w:p>
        </w:tc>
        <w:tc>
          <w:tcPr>
            <w:tcW w:w="3119" w:type="dxa"/>
            <w:gridSpan w:val="2"/>
            <w:vAlign w:val="center"/>
          </w:tcPr>
          <w:p>
            <w:pPr>
              <w:adjustRightInd w:val="0"/>
              <w:snapToGrid w:val="0"/>
              <w:jc w:val="center"/>
              <w:rPr>
                <w:color w:val="auto"/>
                <w:sz w:val="21"/>
                <w:szCs w:val="21"/>
              </w:rPr>
            </w:pPr>
            <w:r>
              <w:rPr>
                <w:rFonts w:hAnsi="宋体"/>
                <w:color w:val="auto"/>
                <w:sz w:val="21"/>
                <w:szCs w:val="21"/>
              </w:rPr>
              <w:t>城乡居民点建设用地（</w:t>
            </w:r>
            <w:r>
              <w:rPr>
                <w:color w:val="auto"/>
                <w:sz w:val="21"/>
                <w:szCs w:val="21"/>
              </w:rPr>
              <w:t>H1</w:t>
            </w:r>
            <w:r>
              <w:rPr>
                <w:rFonts w:hAnsi="宋体"/>
                <w:color w:val="auto"/>
                <w:sz w:val="21"/>
                <w:szCs w:val="21"/>
              </w:rPr>
              <w:t>）</w:t>
            </w:r>
          </w:p>
        </w:tc>
        <w:tc>
          <w:tcPr>
            <w:tcW w:w="1417" w:type="dxa"/>
            <w:vAlign w:val="center"/>
          </w:tcPr>
          <w:p>
            <w:pPr>
              <w:adjustRightInd w:val="0"/>
              <w:snapToGrid w:val="0"/>
              <w:jc w:val="center"/>
              <w:rPr>
                <w:color w:val="auto"/>
                <w:sz w:val="21"/>
                <w:szCs w:val="21"/>
              </w:rPr>
            </w:pPr>
            <w:r>
              <w:rPr>
                <w:color w:val="auto"/>
                <w:sz w:val="21"/>
                <w:szCs w:val="21"/>
              </w:rPr>
              <w:t>1682.62</w:t>
            </w:r>
          </w:p>
        </w:tc>
        <w:tc>
          <w:tcPr>
            <w:tcW w:w="2035"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continue"/>
            <w:vAlign w:val="center"/>
          </w:tcPr>
          <w:p>
            <w:pPr>
              <w:adjustRightInd w:val="0"/>
              <w:snapToGrid w:val="0"/>
              <w:jc w:val="center"/>
              <w:rPr>
                <w:color w:val="auto"/>
                <w:sz w:val="21"/>
                <w:szCs w:val="21"/>
              </w:rPr>
            </w:pPr>
          </w:p>
        </w:tc>
        <w:tc>
          <w:tcPr>
            <w:tcW w:w="1135" w:type="dxa"/>
            <w:vMerge w:val="continue"/>
            <w:vAlign w:val="center"/>
          </w:tcPr>
          <w:p>
            <w:pPr>
              <w:adjustRightInd w:val="0"/>
              <w:snapToGrid w:val="0"/>
              <w:jc w:val="center"/>
              <w:rPr>
                <w:color w:val="auto"/>
                <w:sz w:val="21"/>
                <w:szCs w:val="21"/>
              </w:rPr>
            </w:pPr>
          </w:p>
        </w:tc>
        <w:tc>
          <w:tcPr>
            <w:tcW w:w="709" w:type="dxa"/>
            <w:vMerge w:val="restart"/>
            <w:tcBorders>
              <w:right w:val="single" w:color="auto" w:sz="4" w:space="0"/>
            </w:tcBorders>
            <w:vAlign w:val="center"/>
          </w:tcPr>
          <w:p>
            <w:pPr>
              <w:adjustRightInd w:val="0"/>
              <w:snapToGrid w:val="0"/>
              <w:jc w:val="center"/>
              <w:rPr>
                <w:color w:val="auto"/>
                <w:sz w:val="21"/>
                <w:szCs w:val="21"/>
              </w:rPr>
            </w:pPr>
            <w:r>
              <w:rPr>
                <w:rFonts w:hAnsi="宋体"/>
                <w:color w:val="auto"/>
                <w:sz w:val="21"/>
                <w:szCs w:val="21"/>
              </w:rPr>
              <w:t>其中</w:t>
            </w:r>
          </w:p>
        </w:tc>
        <w:tc>
          <w:tcPr>
            <w:tcW w:w="2410" w:type="dxa"/>
            <w:tcBorders>
              <w:left w:val="single" w:color="auto" w:sz="4" w:space="0"/>
            </w:tcBorders>
            <w:vAlign w:val="center"/>
          </w:tcPr>
          <w:p>
            <w:pPr>
              <w:adjustRightInd w:val="0"/>
              <w:snapToGrid w:val="0"/>
              <w:jc w:val="center"/>
              <w:rPr>
                <w:color w:val="auto"/>
                <w:sz w:val="21"/>
                <w:szCs w:val="21"/>
              </w:rPr>
            </w:pPr>
            <w:r>
              <w:rPr>
                <w:rFonts w:hAnsi="宋体"/>
                <w:color w:val="auto"/>
                <w:sz w:val="21"/>
                <w:szCs w:val="21"/>
              </w:rPr>
              <w:t>城市建设用地（</w:t>
            </w:r>
            <w:r>
              <w:rPr>
                <w:color w:val="auto"/>
                <w:sz w:val="21"/>
                <w:szCs w:val="21"/>
              </w:rPr>
              <w:t>H11</w:t>
            </w:r>
            <w:r>
              <w:rPr>
                <w:rFonts w:hAnsi="宋体"/>
                <w:color w:val="auto"/>
                <w:sz w:val="21"/>
                <w:szCs w:val="21"/>
              </w:rPr>
              <w:t>）</w:t>
            </w:r>
          </w:p>
        </w:tc>
        <w:tc>
          <w:tcPr>
            <w:tcW w:w="1417" w:type="dxa"/>
            <w:vAlign w:val="center"/>
          </w:tcPr>
          <w:p>
            <w:pPr>
              <w:adjustRightInd w:val="0"/>
              <w:snapToGrid w:val="0"/>
              <w:jc w:val="center"/>
              <w:rPr>
                <w:color w:val="auto"/>
                <w:sz w:val="21"/>
                <w:szCs w:val="21"/>
              </w:rPr>
            </w:pPr>
            <w:r>
              <w:rPr>
                <w:color w:val="auto"/>
                <w:sz w:val="21"/>
                <w:szCs w:val="21"/>
              </w:rPr>
              <w:t>1568.28</w:t>
            </w:r>
          </w:p>
        </w:tc>
        <w:tc>
          <w:tcPr>
            <w:tcW w:w="2035"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continue"/>
            <w:vAlign w:val="center"/>
          </w:tcPr>
          <w:p>
            <w:pPr>
              <w:adjustRightInd w:val="0"/>
              <w:snapToGrid w:val="0"/>
              <w:jc w:val="center"/>
              <w:rPr>
                <w:color w:val="auto"/>
                <w:sz w:val="21"/>
                <w:szCs w:val="21"/>
              </w:rPr>
            </w:pPr>
          </w:p>
        </w:tc>
        <w:tc>
          <w:tcPr>
            <w:tcW w:w="1135" w:type="dxa"/>
            <w:vMerge w:val="continue"/>
            <w:vAlign w:val="center"/>
          </w:tcPr>
          <w:p>
            <w:pPr>
              <w:adjustRightInd w:val="0"/>
              <w:snapToGrid w:val="0"/>
              <w:jc w:val="center"/>
              <w:rPr>
                <w:color w:val="auto"/>
                <w:sz w:val="21"/>
                <w:szCs w:val="21"/>
              </w:rPr>
            </w:pPr>
          </w:p>
        </w:tc>
        <w:tc>
          <w:tcPr>
            <w:tcW w:w="709" w:type="dxa"/>
            <w:vMerge w:val="continue"/>
            <w:tcBorders>
              <w:right w:val="single" w:color="auto" w:sz="4" w:space="0"/>
            </w:tcBorders>
            <w:vAlign w:val="center"/>
          </w:tcPr>
          <w:p>
            <w:pPr>
              <w:adjustRightInd w:val="0"/>
              <w:snapToGrid w:val="0"/>
              <w:jc w:val="center"/>
              <w:rPr>
                <w:color w:val="auto"/>
                <w:sz w:val="21"/>
                <w:szCs w:val="21"/>
              </w:rPr>
            </w:pPr>
          </w:p>
        </w:tc>
        <w:tc>
          <w:tcPr>
            <w:tcW w:w="2410" w:type="dxa"/>
            <w:tcBorders>
              <w:left w:val="single" w:color="auto" w:sz="4" w:space="0"/>
            </w:tcBorders>
            <w:vAlign w:val="center"/>
          </w:tcPr>
          <w:p>
            <w:pPr>
              <w:adjustRightInd w:val="0"/>
              <w:snapToGrid w:val="0"/>
              <w:jc w:val="center"/>
              <w:rPr>
                <w:color w:val="auto"/>
                <w:sz w:val="21"/>
                <w:szCs w:val="21"/>
              </w:rPr>
            </w:pPr>
            <w:r>
              <w:rPr>
                <w:rFonts w:hAnsi="宋体"/>
                <w:color w:val="auto"/>
                <w:sz w:val="21"/>
                <w:szCs w:val="21"/>
              </w:rPr>
              <w:t>村庄建设用地（</w:t>
            </w:r>
            <w:r>
              <w:rPr>
                <w:color w:val="auto"/>
                <w:sz w:val="21"/>
                <w:szCs w:val="21"/>
              </w:rPr>
              <w:t>H14</w:t>
            </w:r>
            <w:r>
              <w:rPr>
                <w:rFonts w:hAnsi="宋体"/>
                <w:color w:val="auto"/>
                <w:sz w:val="21"/>
                <w:szCs w:val="21"/>
              </w:rPr>
              <w:t>）</w:t>
            </w:r>
          </w:p>
        </w:tc>
        <w:tc>
          <w:tcPr>
            <w:tcW w:w="1417" w:type="dxa"/>
            <w:vAlign w:val="center"/>
          </w:tcPr>
          <w:p>
            <w:pPr>
              <w:adjustRightInd w:val="0"/>
              <w:snapToGrid w:val="0"/>
              <w:jc w:val="center"/>
              <w:rPr>
                <w:color w:val="auto"/>
                <w:sz w:val="21"/>
                <w:szCs w:val="21"/>
              </w:rPr>
            </w:pPr>
            <w:r>
              <w:rPr>
                <w:color w:val="auto"/>
                <w:sz w:val="21"/>
                <w:szCs w:val="21"/>
              </w:rPr>
              <w:t>114.34</w:t>
            </w:r>
          </w:p>
        </w:tc>
        <w:tc>
          <w:tcPr>
            <w:tcW w:w="2035"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continue"/>
            <w:vAlign w:val="center"/>
          </w:tcPr>
          <w:p>
            <w:pPr>
              <w:adjustRightInd w:val="0"/>
              <w:snapToGrid w:val="0"/>
              <w:jc w:val="center"/>
              <w:rPr>
                <w:color w:val="auto"/>
                <w:sz w:val="21"/>
                <w:szCs w:val="21"/>
              </w:rPr>
            </w:pPr>
          </w:p>
        </w:tc>
        <w:tc>
          <w:tcPr>
            <w:tcW w:w="1135" w:type="dxa"/>
            <w:vMerge w:val="continue"/>
            <w:vAlign w:val="center"/>
          </w:tcPr>
          <w:p>
            <w:pPr>
              <w:adjustRightInd w:val="0"/>
              <w:snapToGrid w:val="0"/>
              <w:jc w:val="center"/>
              <w:rPr>
                <w:color w:val="auto"/>
                <w:sz w:val="21"/>
                <w:szCs w:val="21"/>
              </w:rPr>
            </w:pPr>
          </w:p>
        </w:tc>
        <w:tc>
          <w:tcPr>
            <w:tcW w:w="3119" w:type="dxa"/>
            <w:gridSpan w:val="2"/>
            <w:vAlign w:val="center"/>
          </w:tcPr>
          <w:p>
            <w:pPr>
              <w:adjustRightInd w:val="0"/>
              <w:snapToGrid w:val="0"/>
              <w:jc w:val="center"/>
              <w:rPr>
                <w:color w:val="auto"/>
                <w:sz w:val="21"/>
                <w:szCs w:val="21"/>
              </w:rPr>
            </w:pPr>
            <w:r>
              <w:rPr>
                <w:rFonts w:hAnsi="宋体"/>
                <w:color w:val="auto"/>
                <w:sz w:val="21"/>
                <w:szCs w:val="21"/>
              </w:rPr>
              <w:t>区域交通设施用地（</w:t>
            </w:r>
            <w:r>
              <w:rPr>
                <w:color w:val="auto"/>
                <w:sz w:val="21"/>
                <w:szCs w:val="21"/>
              </w:rPr>
              <w:t>H2</w:t>
            </w:r>
            <w:r>
              <w:rPr>
                <w:rFonts w:hAnsi="宋体"/>
                <w:color w:val="auto"/>
                <w:sz w:val="21"/>
                <w:szCs w:val="21"/>
              </w:rPr>
              <w:t>）</w:t>
            </w:r>
          </w:p>
        </w:tc>
        <w:tc>
          <w:tcPr>
            <w:tcW w:w="1417" w:type="dxa"/>
            <w:vAlign w:val="center"/>
          </w:tcPr>
          <w:p>
            <w:pPr>
              <w:adjustRightInd w:val="0"/>
              <w:snapToGrid w:val="0"/>
              <w:jc w:val="center"/>
              <w:rPr>
                <w:color w:val="auto"/>
                <w:sz w:val="21"/>
                <w:szCs w:val="21"/>
              </w:rPr>
            </w:pPr>
            <w:r>
              <w:rPr>
                <w:color w:val="auto"/>
                <w:sz w:val="21"/>
                <w:szCs w:val="21"/>
              </w:rPr>
              <w:t>49.64</w:t>
            </w:r>
          </w:p>
        </w:tc>
        <w:tc>
          <w:tcPr>
            <w:tcW w:w="2035"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6" w:type="dxa"/>
            <w:vMerge w:val="continue"/>
            <w:vAlign w:val="center"/>
          </w:tcPr>
          <w:p>
            <w:pPr>
              <w:adjustRightInd w:val="0"/>
              <w:snapToGrid w:val="0"/>
              <w:jc w:val="center"/>
              <w:rPr>
                <w:color w:val="auto"/>
                <w:sz w:val="21"/>
                <w:szCs w:val="21"/>
              </w:rPr>
            </w:pPr>
          </w:p>
        </w:tc>
        <w:tc>
          <w:tcPr>
            <w:tcW w:w="1135" w:type="dxa"/>
            <w:vMerge w:val="continue"/>
            <w:vAlign w:val="center"/>
          </w:tcPr>
          <w:p>
            <w:pPr>
              <w:adjustRightInd w:val="0"/>
              <w:snapToGrid w:val="0"/>
              <w:jc w:val="center"/>
              <w:rPr>
                <w:color w:val="auto"/>
                <w:sz w:val="21"/>
                <w:szCs w:val="21"/>
              </w:rPr>
            </w:pPr>
          </w:p>
        </w:tc>
        <w:tc>
          <w:tcPr>
            <w:tcW w:w="709" w:type="dxa"/>
            <w:tcBorders>
              <w:right w:val="single" w:color="auto" w:sz="4" w:space="0"/>
            </w:tcBorders>
            <w:vAlign w:val="center"/>
          </w:tcPr>
          <w:p>
            <w:pPr>
              <w:adjustRightInd w:val="0"/>
              <w:snapToGrid w:val="0"/>
              <w:jc w:val="center"/>
              <w:rPr>
                <w:color w:val="auto"/>
                <w:sz w:val="21"/>
                <w:szCs w:val="21"/>
              </w:rPr>
            </w:pPr>
            <w:r>
              <w:rPr>
                <w:rFonts w:hAnsi="宋体"/>
                <w:color w:val="auto"/>
                <w:sz w:val="21"/>
                <w:szCs w:val="21"/>
              </w:rPr>
              <w:t>其中</w:t>
            </w:r>
          </w:p>
        </w:tc>
        <w:tc>
          <w:tcPr>
            <w:tcW w:w="2410" w:type="dxa"/>
            <w:tcBorders>
              <w:left w:val="single" w:color="auto" w:sz="4" w:space="0"/>
            </w:tcBorders>
            <w:vAlign w:val="center"/>
          </w:tcPr>
          <w:p>
            <w:pPr>
              <w:adjustRightInd w:val="0"/>
              <w:snapToGrid w:val="0"/>
              <w:jc w:val="center"/>
              <w:rPr>
                <w:color w:val="auto"/>
                <w:sz w:val="21"/>
                <w:szCs w:val="21"/>
              </w:rPr>
            </w:pPr>
            <w:r>
              <w:rPr>
                <w:rFonts w:hAnsi="宋体"/>
                <w:color w:val="auto"/>
                <w:sz w:val="21"/>
                <w:szCs w:val="21"/>
              </w:rPr>
              <w:t>公路用地（</w:t>
            </w:r>
            <w:r>
              <w:rPr>
                <w:color w:val="auto"/>
                <w:sz w:val="21"/>
                <w:szCs w:val="21"/>
              </w:rPr>
              <w:t>H22</w:t>
            </w:r>
            <w:r>
              <w:rPr>
                <w:rFonts w:hAnsi="宋体"/>
                <w:color w:val="auto"/>
                <w:sz w:val="21"/>
                <w:szCs w:val="21"/>
              </w:rPr>
              <w:t>）</w:t>
            </w:r>
          </w:p>
        </w:tc>
        <w:tc>
          <w:tcPr>
            <w:tcW w:w="1417" w:type="dxa"/>
            <w:vAlign w:val="center"/>
          </w:tcPr>
          <w:p>
            <w:pPr>
              <w:adjustRightInd w:val="0"/>
              <w:snapToGrid w:val="0"/>
              <w:jc w:val="center"/>
              <w:rPr>
                <w:color w:val="auto"/>
                <w:sz w:val="21"/>
                <w:szCs w:val="21"/>
              </w:rPr>
            </w:pPr>
            <w:r>
              <w:rPr>
                <w:color w:val="auto"/>
                <w:sz w:val="21"/>
                <w:szCs w:val="21"/>
              </w:rPr>
              <w:t>49.64</w:t>
            </w:r>
          </w:p>
        </w:tc>
        <w:tc>
          <w:tcPr>
            <w:tcW w:w="2035"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restart"/>
            <w:vAlign w:val="center"/>
          </w:tcPr>
          <w:p>
            <w:pPr>
              <w:adjustRightInd w:val="0"/>
              <w:snapToGrid w:val="0"/>
              <w:jc w:val="center"/>
              <w:rPr>
                <w:color w:val="auto"/>
                <w:sz w:val="21"/>
                <w:szCs w:val="21"/>
              </w:rPr>
            </w:pPr>
            <w:r>
              <w:rPr>
                <w:color w:val="auto"/>
                <w:sz w:val="21"/>
                <w:szCs w:val="21"/>
              </w:rPr>
              <w:t>2</w:t>
            </w:r>
          </w:p>
        </w:tc>
        <w:tc>
          <w:tcPr>
            <w:tcW w:w="1135" w:type="dxa"/>
            <w:vMerge w:val="restart"/>
            <w:vAlign w:val="center"/>
          </w:tcPr>
          <w:p>
            <w:pPr>
              <w:adjustRightInd w:val="0"/>
              <w:snapToGrid w:val="0"/>
              <w:jc w:val="center"/>
              <w:rPr>
                <w:color w:val="auto"/>
                <w:sz w:val="21"/>
                <w:szCs w:val="21"/>
              </w:rPr>
            </w:pPr>
            <w:r>
              <w:rPr>
                <w:color w:val="auto"/>
                <w:sz w:val="21"/>
                <w:szCs w:val="21"/>
              </w:rPr>
              <w:t>E</w:t>
            </w:r>
          </w:p>
        </w:tc>
        <w:tc>
          <w:tcPr>
            <w:tcW w:w="3119" w:type="dxa"/>
            <w:gridSpan w:val="2"/>
            <w:vAlign w:val="center"/>
          </w:tcPr>
          <w:p>
            <w:pPr>
              <w:adjustRightInd w:val="0"/>
              <w:snapToGrid w:val="0"/>
              <w:jc w:val="center"/>
              <w:rPr>
                <w:color w:val="auto"/>
                <w:sz w:val="21"/>
                <w:szCs w:val="21"/>
              </w:rPr>
            </w:pPr>
            <w:r>
              <w:rPr>
                <w:rFonts w:hAnsi="宋体"/>
                <w:color w:val="auto"/>
                <w:sz w:val="21"/>
                <w:szCs w:val="21"/>
              </w:rPr>
              <w:t>非建设用地</w:t>
            </w:r>
          </w:p>
        </w:tc>
        <w:tc>
          <w:tcPr>
            <w:tcW w:w="1417" w:type="dxa"/>
            <w:vAlign w:val="center"/>
          </w:tcPr>
          <w:p>
            <w:pPr>
              <w:adjustRightInd w:val="0"/>
              <w:snapToGrid w:val="0"/>
              <w:jc w:val="center"/>
              <w:rPr>
                <w:color w:val="auto"/>
                <w:sz w:val="21"/>
                <w:szCs w:val="21"/>
              </w:rPr>
            </w:pPr>
            <w:r>
              <w:rPr>
                <w:color w:val="auto"/>
                <w:sz w:val="21"/>
                <w:szCs w:val="21"/>
              </w:rPr>
              <w:t>801.58</w:t>
            </w:r>
          </w:p>
        </w:tc>
        <w:tc>
          <w:tcPr>
            <w:tcW w:w="2035" w:type="dxa"/>
            <w:vMerge w:val="restart"/>
            <w:vAlign w:val="center"/>
          </w:tcPr>
          <w:p>
            <w:pPr>
              <w:adjustRightInd w:val="0"/>
              <w:snapToGrid w:val="0"/>
              <w:jc w:val="center"/>
              <w:rPr>
                <w:color w:val="auto"/>
                <w:sz w:val="21"/>
                <w:szCs w:val="21"/>
              </w:rPr>
            </w:pPr>
            <w:r>
              <w:rPr>
                <w:color w:val="auto"/>
                <w:sz w:val="21"/>
                <w:szCs w:val="21"/>
              </w:rPr>
              <w:t>31.67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continue"/>
            <w:vAlign w:val="center"/>
          </w:tcPr>
          <w:p>
            <w:pPr>
              <w:adjustRightInd w:val="0"/>
              <w:snapToGrid w:val="0"/>
              <w:jc w:val="center"/>
              <w:rPr>
                <w:color w:val="auto"/>
                <w:sz w:val="21"/>
                <w:szCs w:val="21"/>
              </w:rPr>
            </w:pPr>
          </w:p>
        </w:tc>
        <w:tc>
          <w:tcPr>
            <w:tcW w:w="1135" w:type="dxa"/>
            <w:vMerge w:val="continue"/>
            <w:vAlign w:val="center"/>
          </w:tcPr>
          <w:p>
            <w:pPr>
              <w:adjustRightInd w:val="0"/>
              <w:snapToGrid w:val="0"/>
              <w:jc w:val="center"/>
              <w:rPr>
                <w:color w:val="auto"/>
                <w:sz w:val="21"/>
                <w:szCs w:val="21"/>
              </w:rPr>
            </w:pPr>
          </w:p>
        </w:tc>
        <w:tc>
          <w:tcPr>
            <w:tcW w:w="709" w:type="dxa"/>
            <w:vMerge w:val="restart"/>
            <w:tcBorders>
              <w:right w:val="single" w:color="auto" w:sz="4" w:space="0"/>
            </w:tcBorders>
            <w:vAlign w:val="center"/>
          </w:tcPr>
          <w:p>
            <w:pPr>
              <w:adjustRightInd w:val="0"/>
              <w:snapToGrid w:val="0"/>
              <w:jc w:val="center"/>
              <w:rPr>
                <w:color w:val="auto"/>
                <w:sz w:val="21"/>
                <w:szCs w:val="21"/>
              </w:rPr>
            </w:pPr>
            <w:r>
              <w:rPr>
                <w:rFonts w:hAnsi="宋体"/>
                <w:color w:val="auto"/>
                <w:sz w:val="21"/>
                <w:szCs w:val="21"/>
              </w:rPr>
              <w:t>其中</w:t>
            </w:r>
          </w:p>
        </w:tc>
        <w:tc>
          <w:tcPr>
            <w:tcW w:w="2410" w:type="dxa"/>
            <w:tcBorders>
              <w:left w:val="single" w:color="auto" w:sz="4" w:space="0"/>
            </w:tcBorders>
            <w:vAlign w:val="center"/>
          </w:tcPr>
          <w:p>
            <w:pPr>
              <w:adjustRightInd w:val="0"/>
              <w:snapToGrid w:val="0"/>
              <w:jc w:val="center"/>
              <w:rPr>
                <w:color w:val="auto"/>
                <w:sz w:val="21"/>
                <w:szCs w:val="21"/>
              </w:rPr>
            </w:pPr>
            <w:r>
              <w:rPr>
                <w:rFonts w:hAnsi="宋体"/>
                <w:color w:val="auto"/>
                <w:sz w:val="21"/>
                <w:szCs w:val="21"/>
              </w:rPr>
              <w:t>水域（</w:t>
            </w:r>
            <w:r>
              <w:rPr>
                <w:color w:val="auto"/>
                <w:sz w:val="21"/>
                <w:szCs w:val="21"/>
              </w:rPr>
              <w:t>E1</w:t>
            </w:r>
            <w:r>
              <w:rPr>
                <w:rFonts w:hAnsi="宋体"/>
                <w:color w:val="auto"/>
                <w:sz w:val="21"/>
                <w:szCs w:val="21"/>
              </w:rPr>
              <w:t>）</w:t>
            </w:r>
          </w:p>
        </w:tc>
        <w:tc>
          <w:tcPr>
            <w:tcW w:w="1417" w:type="dxa"/>
            <w:vAlign w:val="center"/>
          </w:tcPr>
          <w:p>
            <w:pPr>
              <w:adjustRightInd w:val="0"/>
              <w:snapToGrid w:val="0"/>
              <w:jc w:val="center"/>
              <w:rPr>
                <w:color w:val="auto"/>
                <w:sz w:val="21"/>
                <w:szCs w:val="21"/>
              </w:rPr>
            </w:pPr>
            <w:r>
              <w:rPr>
                <w:color w:val="auto"/>
                <w:sz w:val="21"/>
                <w:szCs w:val="21"/>
              </w:rPr>
              <w:t>42.46</w:t>
            </w:r>
          </w:p>
        </w:tc>
        <w:tc>
          <w:tcPr>
            <w:tcW w:w="2035"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16" w:type="dxa"/>
            <w:vMerge w:val="continue"/>
            <w:vAlign w:val="center"/>
          </w:tcPr>
          <w:p>
            <w:pPr>
              <w:adjustRightInd w:val="0"/>
              <w:snapToGrid w:val="0"/>
              <w:jc w:val="center"/>
              <w:rPr>
                <w:color w:val="auto"/>
                <w:sz w:val="21"/>
                <w:szCs w:val="21"/>
              </w:rPr>
            </w:pPr>
          </w:p>
        </w:tc>
        <w:tc>
          <w:tcPr>
            <w:tcW w:w="1135" w:type="dxa"/>
            <w:vMerge w:val="continue"/>
            <w:vAlign w:val="center"/>
          </w:tcPr>
          <w:p>
            <w:pPr>
              <w:adjustRightInd w:val="0"/>
              <w:snapToGrid w:val="0"/>
              <w:jc w:val="center"/>
              <w:rPr>
                <w:color w:val="auto"/>
                <w:sz w:val="21"/>
                <w:szCs w:val="21"/>
              </w:rPr>
            </w:pPr>
          </w:p>
        </w:tc>
        <w:tc>
          <w:tcPr>
            <w:tcW w:w="709" w:type="dxa"/>
            <w:vMerge w:val="continue"/>
            <w:tcBorders>
              <w:right w:val="single" w:color="auto" w:sz="4" w:space="0"/>
            </w:tcBorders>
            <w:vAlign w:val="center"/>
          </w:tcPr>
          <w:p>
            <w:pPr>
              <w:adjustRightInd w:val="0"/>
              <w:snapToGrid w:val="0"/>
              <w:jc w:val="center"/>
              <w:rPr>
                <w:color w:val="auto"/>
                <w:sz w:val="21"/>
                <w:szCs w:val="21"/>
              </w:rPr>
            </w:pPr>
          </w:p>
        </w:tc>
        <w:tc>
          <w:tcPr>
            <w:tcW w:w="2410" w:type="dxa"/>
            <w:tcBorders>
              <w:left w:val="single" w:color="auto" w:sz="4" w:space="0"/>
            </w:tcBorders>
            <w:vAlign w:val="center"/>
          </w:tcPr>
          <w:p>
            <w:pPr>
              <w:adjustRightInd w:val="0"/>
              <w:snapToGrid w:val="0"/>
              <w:jc w:val="center"/>
              <w:rPr>
                <w:color w:val="auto"/>
                <w:sz w:val="21"/>
                <w:szCs w:val="21"/>
              </w:rPr>
            </w:pPr>
            <w:r>
              <w:rPr>
                <w:rFonts w:hAnsi="宋体"/>
                <w:color w:val="auto"/>
                <w:sz w:val="21"/>
                <w:szCs w:val="21"/>
              </w:rPr>
              <w:t>农林用地（</w:t>
            </w:r>
            <w:r>
              <w:rPr>
                <w:color w:val="auto"/>
                <w:sz w:val="21"/>
                <w:szCs w:val="21"/>
              </w:rPr>
              <w:t>E2</w:t>
            </w:r>
            <w:r>
              <w:rPr>
                <w:rFonts w:hAnsi="宋体"/>
                <w:color w:val="auto"/>
                <w:sz w:val="21"/>
                <w:szCs w:val="21"/>
              </w:rPr>
              <w:t>）</w:t>
            </w:r>
          </w:p>
        </w:tc>
        <w:tc>
          <w:tcPr>
            <w:tcW w:w="1417" w:type="dxa"/>
            <w:vAlign w:val="center"/>
          </w:tcPr>
          <w:p>
            <w:pPr>
              <w:adjustRightInd w:val="0"/>
              <w:snapToGrid w:val="0"/>
              <w:jc w:val="center"/>
              <w:rPr>
                <w:color w:val="auto"/>
                <w:sz w:val="21"/>
                <w:szCs w:val="21"/>
              </w:rPr>
            </w:pPr>
            <w:r>
              <w:rPr>
                <w:color w:val="auto"/>
                <w:sz w:val="21"/>
                <w:szCs w:val="21"/>
              </w:rPr>
              <w:t>759.20</w:t>
            </w:r>
          </w:p>
        </w:tc>
        <w:tc>
          <w:tcPr>
            <w:tcW w:w="2035"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51" w:type="dxa"/>
            <w:gridSpan w:val="2"/>
            <w:vAlign w:val="center"/>
          </w:tcPr>
          <w:p>
            <w:pPr>
              <w:adjustRightInd w:val="0"/>
              <w:snapToGrid w:val="0"/>
              <w:jc w:val="center"/>
              <w:rPr>
                <w:color w:val="auto"/>
                <w:sz w:val="21"/>
                <w:szCs w:val="21"/>
              </w:rPr>
            </w:pPr>
            <w:r>
              <w:rPr>
                <w:rFonts w:hAnsi="宋体"/>
                <w:color w:val="auto"/>
                <w:sz w:val="21"/>
                <w:szCs w:val="21"/>
              </w:rPr>
              <w:t>总计</w:t>
            </w:r>
          </w:p>
        </w:tc>
        <w:tc>
          <w:tcPr>
            <w:tcW w:w="3119" w:type="dxa"/>
            <w:gridSpan w:val="2"/>
            <w:vAlign w:val="center"/>
          </w:tcPr>
          <w:p>
            <w:pPr>
              <w:adjustRightInd w:val="0"/>
              <w:snapToGrid w:val="0"/>
              <w:jc w:val="center"/>
              <w:rPr>
                <w:color w:val="auto"/>
                <w:sz w:val="21"/>
                <w:szCs w:val="21"/>
              </w:rPr>
            </w:pPr>
            <w:r>
              <w:rPr>
                <w:rFonts w:hAnsi="宋体"/>
                <w:color w:val="auto"/>
                <w:sz w:val="21"/>
                <w:szCs w:val="21"/>
              </w:rPr>
              <w:t>城乡总用地</w:t>
            </w:r>
          </w:p>
        </w:tc>
        <w:tc>
          <w:tcPr>
            <w:tcW w:w="1417" w:type="dxa"/>
            <w:vAlign w:val="center"/>
          </w:tcPr>
          <w:p>
            <w:pPr>
              <w:adjustRightInd w:val="0"/>
              <w:snapToGrid w:val="0"/>
              <w:jc w:val="center"/>
              <w:rPr>
                <w:color w:val="auto"/>
                <w:sz w:val="21"/>
                <w:szCs w:val="21"/>
              </w:rPr>
            </w:pPr>
            <w:r>
              <w:rPr>
                <w:color w:val="auto"/>
                <w:sz w:val="21"/>
                <w:szCs w:val="21"/>
              </w:rPr>
              <w:t>2533.94</w:t>
            </w:r>
          </w:p>
        </w:tc>
        <w:tc>
          <w:tcPr>
            <w:tcW w:w="2035" w:type="dxa"/>
            <w:vAlign w:val="center"/>
          </w:tcPr>
          <w:p>
            <w:pPr>
              <w:adjustRightInd w:val="0"/>
              <w:snapToGrid w:val="0"/>
              <w:jc w:val="center"/>
              <w:rPr>
                <w:color w:val="auto"/>
                <w:sz w:val="21"/>
                <w:szCs w:val="21"/>
              </w:rPr>
            </w:pPr>
            <w:r>
              <w:rPr>
                <w:color w:val="auto"/>
                <w:sz w:val="21"/>
                <w:szCs w:val="21"/>
              </w:rPr>
              <w:t>100</w:t>
            </w:r>
          </w:p>
        </w:tc>
      </w:tr>
    </w:tbl>
    <w:p>
      <w:pPr>
        <w:spacing w:line="360" w:lineRule="auto"/>
        <w:ind w:firstLine="482" w:firstLineChars="200"/>
        <w:rPr>
          <w:b/>
          <w:color w:val="auto"/>
          <w:sz w:val="24"/>
          <w:szCs w:val="24"/>
        </w:rPr>
      </w:pPr>
      <w:r>
        <w:rPr>
          <w:rFonts w:hint="eastAsia"/>
          <w:b/>
          <w:color w:val="auto"/>
          <w:sz w:val="24"/>
          <w:szCs w:val="24"/>
        </w:rPr>
        <w:t>3、园区准入条件</w:t>
      </w:r>
    </w:p>
    <w:p>
      <w:pPr>
        <w:spacing w:line="360" w:lineRule="auto"/>
        <w:ind w:firstLine="480" w:firstLineChars="200"/>
        <w:rPr>
          <w:bCs/>
          <w:color w:val="auto"/>
          <w:sz w:val="24"/>
          <w:szCs w:val="24"/>
        </w:rPr>
      </w:pPr>
      <w:r>
        <w:rPr>
          <w:rFonts w:hint="eastAsia"/>
          <w:color w:val="auto"/>
          <w:sz w:val="24"/>
          <w:szCs w:val="24"/>
        </w:rPr>
        <w:t>五华河东绿色生态工业小镇准入条件见下：</w:t>
      </w:r>
    </w:p>
    <w:p>
      <w:pPr>
        <w:spacing w:line="360" w:lineRule="auto"/>
        <w:ind w:firstLine="480" w:firstLineChars="200"/>
        <w:rPr>
          <w:bCs/>
          <w:color w:val="auto"/>
          <w:sz w:val="24"/>
          <w:szCs w:val="24"/>
        </w:rPr>
      </w:pPr>
      <w:r>
        <w:rPr>
          <w:rFonts w:hint="eastAsia"/>
          <w:bCs/>
          <w:color w:val="auto"/>
          <w:sz w:val="24"/>
          <w:szCs w:val="24"/>
        </w:rPr>
        <w:t>（1）入园项目</w:t>
      </w:r>
    </w:p>
    <w:p>
      <w:pPr>
        <w:spacing w:line="360" w:lineRule="auto"/>
        <w:ind w:firstLine="480" w:firstLineChars="200"/>
        <w:rPr>
          <w:bCs/>
          <w:color w:val="auto"/>
          <w:sz w:val="24"/>
          <w:szCs w:val="24"/>
        </w:rPr>
      </w:pPr>
      <w:r>
        <w:rPr>
          <w:rFonts w:hint="eastAsia"/>
          <w:bCs/>
          <w:color w:val="auto"/>
          <w:sz w:val="24"/>
          <w:szCs w:val="24"/>
        </w:rPr>
        <w:t>入园项目主要引入符合国家产业政策、无污染或轻污染的一、二类工业，以中药及中成药制造、废旧塑料资源再生、汽车零部件和五金机电等为主导产业。严禁电镀、制革、漂染、化工、造纸等重污染行业的企业入园，严禁引进排放含有毒有害物质和一类污染物的项目。</w:t>
      </w:r>
    </w:p>
    <w:p>
      <w:pPr>
        <w:spacing w:line="360" w:lineRule="auto"/>
        <w:ind w:firstLine="480" w:firstLineChars="200"/>
        <w:rPr>
          <w:bCs/>
          <w:color w:val="auto"/>
          <w:sz w:val="24"/>
          <w:szCs w:val="24"/>
        </w:rPr>
      </w:pPr>
      <w:r>
        <w:rPr>
          <w:rFonts w:hint="eastAsia"/>
          <w:bCs/>
          <w:color w:val="auto"/>
          <w:sz w:val="24"/>
          <w:szCs w:val="24"/>
        </w:rPr>
        <w:t>（2）入园项目须采用清洁生产工艺和设备，单位产品的能耗、物耗和污染物的产生量、排放量应达到国内国际先进水平。</w:t>
      </w:r>
    </w:p>
    <w:p>
      <w:pPr>
        <w:spacing w:line="360" w:lineRule="auto"/>
        <w:ind w:firstLine="480" w:firstLineChars="200"/>
        <w:rPr>
          <w:bCs/>
          <w:color w:val="auto"/>
          <w:sz w:val="24"/>
          <w:szCs w:val="24"/>
        </w:rPr>
      </w:pPr>
      <w:r>
        <w:rPr>
          <w:rFonts w:hint="eastAsia"/>
          <w:bCs/>
          <w:color w:val="auto"/>
          <w:sz w:val="24"/>
          <w:szCs w:val="24"/>
        </w:rPr>
        <w:t>凡违反国家产业政策、不符合规划和清洁生产要求，可能造成环境污染或生态破坏的建设项目，一律不得进园建设。</w:t>
      </w:r>
    </w:p>
    <w:p>
      <w:pPr>
        <w:spacing w:line="360" w:lineRule="auto"/>
        <w:ind w:firstLine="480" w:firstLineChars="200"/>
        <w:rPr>
          <w:bCs/>
          <w:color w:val="auto"/>
          <w:sz w:val="24"/>
          <w:szCs w:val="24"/>
        </w:rPr>
      </w:pPr>
      <w:r>
        <w:rPr>
          <w:rFonts w:hint="eastAsia"/>
          <w:bCs/>
          <w:color w:val="auto"/>
          <w:sz w:val="24"/>
          <w:szCs w:val="24"/>
        </w:rPr>
        <w:t>（3）入园项目使用清洁能源</w:t>
      </w:r>
    </w:p>
    <w:p>
      <w:pPr>
        <w:spacing w:line="360" w:lineRule="auto"/>
        <w:ind w:firstLine="480" w:firstLineChars="200"/>
        <w:rPr>
          <w:bCs/>
          <w:color w:val="auto"/>
          <w:sz w:val="24"/>
          <w:szCs w:val="24"/>
        </w:rPr>
      </w:pPr>
      <w:r>
        <w:rPr>
          <w:rFonts w:hint="eastAsia"/>
          <w:bCs/>
          <w:color w:val="auto"/>
          <w:sz w:val="24"/>
          <w:szCs w:val="24"/>
        </w:rPr>
        <w:t>工业园须实行集中供热，优先使用天然气、液化石油气以及电能等清洁能源。锅炉近期燃用的燃料含硫率须控制在0.7%以下，并配套高效的脱硫和除尘装置，脱硫率达到50%以上，确保锅炉大气污染物达标排放。</w:t>
      </w:r>
    </w:p>
    <w:p>
      <w:pPr>
        <w:spacing w:line="360" w:lineRule="auto"/>
        <w:ind w:firstLine="480" w:firstLineChars="200"/>
        <w:rPr>
          <w:bCs/>
          <w:color w:val="auto"/>
          <w:sz w:val="24"/>
          <w:szCs w:val="24"/>
        </w:rPr>
      </w:pPr>
      <w:r>
        <w:rPr>
          <w:rFonts w:hint="eastAsia"/>
          <w:bCs/>
          <w:color w:val="auto"/>
          <w:sz w:val="24"/>
          <w:szCs w:val="24"/>
        </w:rPr>
        <w:t>（4）入园项目须采取降噪措施</w:t>
      </w:r>
    </w:p>
    <w:p>
      <w:pPr>
        <w:spacing w:line="360" w:lineRule="auto"/>
        <w:ind w:firstLine="480" w:firstLineChars="200"/>
        <w:rPr>
          <w:bCs/>
          <w:color w:val="auto"/>
          <w:sz w:val="24"/>
          <w:szCs w:val="24"/>
        </w:rPr>
      </w:pPr>
      <w:r>
        <w:rPr>
          <w:rFonts w:hint="eastAsia"/>
          <w:bCs/>
          <w:color w:val="auto"/>
          <w:sz w:val="24"/>
          <w:szCs w:val="24"/>
        </w:rPr>
        <w:t>入园企业须选用低噪声设备，并采取吸声、隔声、消声和减振等综合降噪措施，确保各企业厂界和园区边界噪声符合《工业企业厂界噪声标准》（GB12348-90）相应标准的要求。</w:t>
      </w:r>
    </w:p>
    <w:p>
      <w:pPr>
        <w:spacing w:line="360" w:lineRule="auto"/>
        <w:ind w:firstLine="480" w:firstLineChars="200"/>
        <w:rPr>
          <w:bCs/>
          <w:color w:val="auto"/>
          <w:sz w:val="24"/>
          <w:szCs w:val="24"/>
        </w:rPr>
      </w:pPr>
      <w:r>
        <w:rPr>
          <w:rFonts w:hint="eastAsia"/>
          <w:bCs/>
          <w:color w:val="auto"/>
          <w:sz w:val="24"/>
          <w:szCs w:val="24"/>
        </w:rPr>
        <w:t>（5）入园项目需做好固废综合利用</w:t>
      </w:r>
    </w:p>
    <w:p>
      <w:pPr>
        <w:spacing w:line="360" w:lineRule="auto"/>
        <w:ind w:firstLine="480" w:firstLineChars="200"/>
        <w:rPr>
          <w:bCs/>
          <w:color w:val="auto"/>
          <w:sz w:val="24"/>
          <w:szCs w:val="24"/>
        </w:rPr>
      </w:pPr>
      <w:r>
        <w:rPr>
          <w:rFonts w:hint="eastAsia"/>
          <w:bCs/>
          <w:color w:val="auto"/>
          <w:sz w:val="24"/>
          <w:szCs w:val="24"/>
        </w:rPr>
        <w:t>按照“资源化、减量化、再利用”的原则做好固体废弃物的综合利用，完善固废的分类、收集、回收利用和储运系统，并落实妥善的处理处置措施。一般工业固体废弃物应立足于循环回收、综合利用。危险废物的污染防治须执行国家和省对危险废物管理的有关规定，或送有资质的单位处理处置。</w:t>
      </w:r>
    </w:p>
    <w:p>
      <w:pPr>
        <w:spacing w:line="360" w:lineRule="auto"/>
        <w:ind w:firstLine="480" w:firstLineChars="200"/>
        <w:rPr>
          <w:bCs/>
          <w:color w:val="auto"/>
          <w:sz w:val="24"/>
          <w:szCs w:val="24"/>
        </w:rPr>
      </w:pPr>
      <w:r>
        <w:rPr>
          <w:rFonts w:hint="eastAsia"/>
          <w:bCs/>
          <w:color w:val="auto"/>
          <w:sz w:val="24"/>
          <w:szCs w:val="24"/>
        </w:rPr>
        <w:t>（6）允许进园产业名录</w:t>
      </w:r>
    </w:p>
    <w:p>
      <w:pPr>
        <w:spacing w:line="360" w:lineRule="auto"/>
        <w:ind w:firstLine="480" w:firstLineChars="200"/>
        <w:rPr>
          <w:bCs/>
          <w:color w:val="auto"/>
          <w:sz w:val="24"/>
          <w:szCs w:val="24"/>
        </w:rPr>
      </w:pPr>
      <w:r>
        <w:rPr>
          <w:rFonts w:hint="eastAsia"/>
          <w:bCs/>
          <w:color w:val="auto"/>
          <w:sz w:val="24"/>
          <w:szCs w:val="24"/>
        </w:rPr>
        <w:t>1）中药及中成药制造</w:t>
      </w:r>
    </w:p>
    <w:p>
      <w:pPr>
        <w:spacing w:line="360" w:lineRule="auto"/>
        <w:ind w:firstLine="480" w:firstLineChars="200"/>
        <w:rPr>
          <w:bCs/>
          <w:color w:val="auto"/>
          <w:sz w:val="24"/>
          <w:szCs w:val="24"/>
        </w:rPr>
      </w:pPr>
      <w:r>
        <w:rPr>
          <w:rFonts w:hint="eastAsia"/>
          <w:bCs/>
          <w:color w:val="auto"/>
          <w:sz w:val="24"/>
          <w:szCs w:val="24"/>
        </w:rPr>
        <w:t>①中药材。</w:t>
      </w:r>
    </w:p>
    <w:p>
      <w:pPr>
        <w:spacing w:line="360" w:lineRule="auto"/>
        <w:ind w:firstLine="480" w:firstLineChars="200"/>
        <w:rPr>
          <w:bCs/>
          <w:color w:val="auto"/>
          <w:sz w:val="24"/>
          <w:szCs w:val="24"/>
        </w:rPr>
      </w:pPr>
      <w:r>
        <w:rPr>
          <w:rFonts w:hint="eastAsia"/>
          <w:bCs/>
          <w:color w:val="auto"/>
          <w:sz w:val="24"/>
          <w:szCs w:val="24"/>
        </w:rPr>
        <w:t>②中药饮片。</w:t>
      </w:r>
    </w:p>
    <w:p>
      <w:pPr>
        <w:spacing w:line="360" w:lineRule="auto"/>
        <w:ind w:firstLine="480" w:firstLineChars="200"/>
        <w:rPr>
          <w:bCs/>
          <w:color w:val="auto"/>
          <w:sz w:val="24"/>
          <w:szCs w:val="24"/>
        </w:rPr>
      </w:pPr>
      <w:r>
        <w:rPr>
          <w:rFonts w:hint="eastAsia"/>
          <w:bCs/>
          <w:color w:val="auto"/>
          <w:sz w:val="24"/>
          <w:szCs w:val="24"/>
        </w:rPr>
        <w:t>③中成药制造。</w:t>
      </w:r>
    </w:p>
    <w:p>
      <w:pPr>
        <w:spacing w:line="360" w:lineRule="auto"/>
        <w:ind w:firstLine="480" w:firstLineChars="200"/>
        <w:rPr>
          <w:bCs/>
          <w:color w:val="auto"/>
          <w:sz w:val="24"/>
          <w:szCs w:val="24"/>
        </w:rPr>
      </w:pPr>
      <w:r>
        <w:rPr>
          <w:rFonts w:hint="eastAsia"/>
          <w:bCs/>
          <w:color w:val="auto"/>
          <w:sz w:val="24"/>
          <w:szCs w:val="24"/>
        </w:rPr>
        <w:t>④医药批发和零售。</w:t>
      </w:r>
    </w:p>
    <w:p>
      <w:pPr>
        <w:spacing w:line="360" w:lineRule="auto"/>
        <w:ind w:firstLine="480" w:firstLineChars="200"/>
        <w:rPr>
          <w:bCs/>
          <w:color w:val="auto"/>
          <w:sz w:val="24"/>
          <w:szCs w:val="24"/>
        </w:rPr>
      </w:pPr>
      <w:r>
        <w:rPr>
          <w:rFonts w:hint="eastAsia"/>
          <w:bCs/>
          <w:color w:val="auto"/>
          <w:sz w:val="24"/>
          <w:szCs w:val="24"/>
        </w:rPr>
        <w:t>⑤单纯药品分装及复配。</w:t>
      </w:r>
    </w:p>
    <w:p>
      <w:pPr>
        <w:spacing w:line="360" w:lineRule="auto"/>
        <w:ind w:firstLine="480" w:firstLineChars="200"/>
        <w:rPr>
          <w:bCs/>
          <w:color w:val="auto"/>
          <w:sz w:val="24"/>
          <w:szCs w:val="24"/>
        </w:rPr>
      </w:pPr>
      <w:r>
        <w:rPr>
          <w:rFonts w:hint="eastAsia"/>
          <w:bCs/>
          <w:color w:val="auto"/>
          <w:sz w:val="24"/>
          <w:szCs w:val="24"/>
        </w:rPr>
        <w:t>⑥新型药用包装材料。</w:t>
      </w:r>
    </w:p>
    <w:p>
      <w:pPr>
        <w:spacing w:line="360" w:lineRule="auto"/>
        <w:ind w:firstLine="480" w:firstLineChars="200"/>
        <w:rPr>
          <w:bCs/>
          <w:color w:val="auto"/>
          <w:sz w:val="24"/>
          <w:szCs w:val="24"/>
        </w:rPr>
      </w:pPr>
      <w:r>
        <w:rPr>
          <w:rFonts w:hint="eastAsia"/>
          <w:bCs/>
          <w:color w:val="auto"/>
          <w:sz w:val="24"/>
          <w:szCs w:val="24"/>
        </w:rPr>
        <w:t>⑦现代生物技术药物。</w:t>
      </w:r>
    </w:p>
    <w:p>
      <w:pPr>
        <w:spacing w:line="360" w:lineRule="auto"/>
        <w:ind w:firstLine="480" w:firstLineChars="200"/>
        <w:rPr>
          <w:bCs/>
          <w:color w:val="auto"/>
          <w:sz w:val="24"/>
          <w:szCs w:val="24"/>
        </w:rPr>
      </w:pPr>
      <w:r>
        <w:rPr>
          <w:rFonts w:hint="eastAsia"/>
          <w:bCs/>
          <w:color w:val="auto"/>
          <w:sz w:val="24"/>
          <w:szCs w:val="24"/>
        </w:rPr>
        <w:t>⑧新药开发和生产。</w:t>
      </w:r>
    </w:p>
    <w:p>
      <w:pPr>
        <w:spacing w:line="360" w:lineRule="auto"/>
        <w:ind w:firstLine="480" w:firstLineChars="200"/>
        <w:rPr>
          <w:bCs/>
          <w:color w:val="auto"/>
          <w:sz w:val="24"/>
          <w:szCs w:val="24"/>
        </w:rPr>
      </w:pPr>
      <w:r>
        <w:rPr>
          <w:rFonts w:hint="eastAsia"/>
          <w:bCs/>
          <w:color w:val="auto"/>
          <w:sz w:val="24"/>
          <w:szCs w:val="24"/>
        </w:rPr>
        <w:t>⑨化学药品制造；生物、生化制品制造。</w:t>
      </w:r>
    </w:p>
    <w:p>
      <w:pPr>
        <w:spacing w:line="360" w:lineRule="auto"/>
        <w:ind w:firstLine="480" w:firstLineChars="200"/>
        <w:rPr>
          <w:bCs/>
          <w:color w:val="auto"/>
          <w:sz w:val="24"/>
          <w:szCs w:val="24"/>
        </w:rPr>
      </w:pPr>
      <w:r>
        <w:rPr>
          <w:rFonts w:hint="eastAsia"/>
          <w:bCs/>
          <w:color w:val="auto"/>
          <w:sz w:val="24"/>
          <w:szCs w:val="24"/>
        </w:rPr>
        <w:t>⑩卫生材料及医药用品制造。</w:t>
      </w:r>
    </w:p>
    <w:p>
      <w:pPr>
        <w:spacing w:line="360" w:lineRule="auto"/>
        <w:ind w:firstLine="480" w:firstLineChars="200"/>
        <w:rPr>
          <w:bCs/>
          <w:color w:val="auto"/>
          <w:sz w:val="24"/>
          <w:szCs w:val="24"/>
        </w:rPr>
      </w:pPr>
      <w:r>
        <w:rPr>
          <w:rFonts w:hint="eastAsia"/>
          <w:bCs/>
          <w:color w:val="auto"/>
          <w:sz w:val="24"/>
          <w:szCs w:val="24"/>
        </w:rPr>
        <w:t>2）废旧塑料资源再生</w:t>
      </w:r>
    </w:p>
    <w:p>
      <w:pPr>
        <w:spacing w:line="360" w:lineRule="auto"/>
        <w:ind w:firstLine="480" w:firstLineChars="200"/>
        <w:rPr>
          <w:bCs/>
          <w:color w:val="auto"/>
          <w:sz w:val="24"/>
          <w:szCs w:val="24"/>
        </w:rPr>
      </w:pPr>
      <w:r>
        <w:rPr>
          <w:rFonts w:hint="eastAsia"/>
          <w:bCs/>
          <w:color w:val="auto"/>
          <w:sz w:val="24"/>
          <w:szCs w:val="24"/>
        </w:rPr>
        <w:t>①废旧塑料加工、再生利用。</w:t>
      </w:r>
    </w:p>
    <w:p>
      <w:pPr>
        <w:spacing w:line="360" w:lineRule="auto"/>
        <w:ind w:firstLine="480" w:firstLineChars="200"/>
        <w:rPr>
          <w:bCs/>
          <w:color w:val="auto"/>
          <w:sz w:val="24"/>
          <w:szCs w:val="24"/>
        </w:rPr>
      </w:pPr>
      <w:r>
        <w:rPr>
          <w:rFonts w:hint="eastAsia"/>
          <w:bCs/>
          <w:color w:val="auto"/>
          <w:sz w:val="24"/>
          <w:szCs w:val="24"/>
        </w:rPr>
        <w:t>②热分解油化技术。</w:t>
      </w:r>
    </w:p>
    <w:p>
      <w:pPr>
        <w:spacing w:line="360" w:lineRule="auto"/>
        <w:ind w:firstLine="480" w:firstLineChars="200"/>
        <w:rPr>
          <w:bCs/>
          <w:color w:val="auto"/>
          <w:sz w:val="24"/>
          <w:szCs w:val="24"/>
        </w:rPr>
      </w:pPr>
      <w:r>
        <w:rPr>
          <w:rFonts w:hint="eastAsia"/>
          <w:bCs/>
          <w:color w:val="auto"/>
          <w:sz w:val="24"/>
          <w:szCs w:val="24"/>
        </w:rPr>
        <w:t>③高炉喷吹技术。</w:t>
      </w:r>
    </w:p>
    <w:p>
      <w:pPr>
        <w:spacing w:line="360" w:lineRule="auto"/>
        <w:ind w:firstLine="480" w:firstLineChars="200"/>
        <w:rPr>
          <w:bCs/>
          <w:color w:val="auto"/>
          <w:sz w:val="24"/>
          <w:szCs w:val="24"/>
        </w:rPr>
      </w:pPr>
      <w:r>
        <w:rPr>
          <w:rFonts w:hint="eastAsia"/>
          <w:bCs/>
          <w:color w:val="auto"/>
          <w:sz w:val="24"/>
          <w:szCs w:val="24"/>
        </w:rPr>
        <w:t>④废塑料与煤共焦化技术。</w:t>
      </w:r>
    </w:p>
    <w:p>
      <w:pPr>
        <w:spacing w:line="360" w:lineRule="auto"/>
        <w:ind w:firstLine="480" w:firstLineChars="200"/>
        <w:rPr>
          <w:bCs/>
          <w:color w:val="auto"/>
          <w:sz w:val="24"/>
          <w:szCs w:val="24"/>
        </w:rPr>
      </w:pPr>
      <w:r>
        <w:rPr>
          <w:rFonts w:hint="eastAsia"/>
          <w:bCs/>
          <w:color w:val="auto"/>
          <w:sz w:val="24"/>
          <w:szCs w:val="24"/>
        </w:rPr>
        <w:t>⑤固体燃料热能利用技术（RDF）。</w:t>
      </w:r>
    </w:p>
    <w:p>
      <w:pPr>
        <w:spacing w:line="360" w:lineRule="auto"/>
        <w:ind w:firstLine="480" w:firstLineChars="200"/>
        <w:rPr>
          <w:bCs/>
          <w:color w:val="auto"/>
          <w:sz w:val="24"/>
          <w:szCs w:val="24"/>
        </w:rPr>
      </w:pPr>
      <w:r>
        <w:rPr>
          <w:rFonts w:hint="eastAsia"/>
          <w:bCs/>
          <w:color w:val="auto"/>
          <w:sz w:val="24"/>
          <w:szCs w:val="24"/>
        </w:rPr>
        <w:t>⑥超临界水油化技术。</w:t>
      </w:r>
    </w:p>
    <w:p>
      <w:pPr>
        <w:spacing w:line="360" w:lineRule="auto"/>
        <w:ind w:firstLine="480" w:firstLineChars="200"/>
        <w:rPr>
          <w:bCs/>
          <w:color w:val="auto"/>
          <w:sz w:val="24"/>
          <w:szCs w:val="24"/>
        </w:rPr>
      </w:pPr>
      <w:r>
        <w:rPr>
          <w:rFonts w:hint="eastAsia"/>
          <w:bCs/>
          <w:color w:val="auto"/>
          <w:sz w:val="24"/>
          <w:szCs w:val="24"/>
        </w:rPr>
        <w:t>3）汽车零部件</w:t>
      </w:r>
    </w:p>
    <w:p>
      <w:pPr>
        <w:spacing w:line="360" w:lineRule="auto"/>
        <w:ind w:firstLine="480" w:firstLineChars="200"/>
        <w:rPr>
          <w:bCs/>
          <w:color w:val="auto"/>
          <w:sz w:val="24"/>
          <w:szCs w:val="24"/>
        </w:rPr>
      </w:pPr>
      <w:r>
        <w:rPr>
          <w:rFonts w:hint="eastAsia"/>
          <w:bCs/>
          <w:color w:val="auto"/>
          <w:sz w:val="24"/>
          <w:szCs w:val="24"/>
        </w:rPr>
        <w:t>①汽车、摩托零部件。</w:t>
      </w:r>
    </w:p>
    <w:p>
      <w:pPr>
        <w:spacing w:line="360" w:lineRule="auto"/>
        <w:ind w:firstLine="480" w:firstLineChars="200"/>
        <w:rPr>
          <w:bCs/>
          <w:color w:val="auto"/>
          <w:sz w:val="24"/>
          <w:szCs w:val="24"/>
        </w:rPr>
      </w:pPr>
      <w:r>
        <w:rPr>
          <w:rFonts w:hint="eastAsia"/>
          <w:bCs/>
          <w:color w:val="auto"/>
          <w:sz w:val="24"/>
          <w:szCs w:val="24"/>
        </w:rPr>
        <w:t>②汽油机增压器。</w:t>
      </w:r>
    </w:p>
    <w:p>
      <w:pPr>
        <w:spacing w:line="360" w:lineRule="auto"/>
        <w:ind w:firstLine="480" w:firstLineChars="200"/>
        <w:rPr>
          <w:bCs/>
          <w:color w:val="auto"/>
          <w:sz w:val="24"/>
          <w:szCs w:val="24"/>
        </w:rPr>
      </w:pPr>
      <w:r>
        <w:rPr>
          <w:rFonts w:hint="eastAsia"/>
          <w:bCs/>
          <w:color w:val="auto"/>
          <w:sz w:val="24"/>
          <w:szCs w:val="24"/>
        </w:rPr>
        <w:t>③轮胎气压监测系统（TPMS）。</w:t>
      </w:r>
    </w:p>
    <w:p>
      <w:pPr>
        <w:spacing w:line="360" w:lineRule="auto"/>
        <w:ind w:firstLine="480" w:firstLineChars="200"/>
        <w:rPr>
          <w:bCs/>
          <w:color w:val="auto"/>
          <w:sz w:val="24"/>
          <w:szCs w:val="24"/>
        </w:rPr>
      </w:pPr>
      <w:r>
        <w:rPr>
          <w:rFonts w:hint="eastAsia"/>
          <w:bCs/>
          <w:color w:val="auto"/>
          <w:sz w:val="24"/>
          <w:szCs w:val="24"/>
        </w:rPr>
        <w:t>④随动前照灯系统、LED前照灯。</w:t>
      </w:r>
    </w:p>
    <w:p>
      <w:pPr>
        <w:spacing w:line="360" w:lineRule="auto"/>
        <w:ind w:firstLine="480" w:firstLineChars="200"/>
        <w:rPr>
          <w:bCs/>
          <w:color w:val="auto"/>
          <w:sz w:val="24"/>
          <w:szCs w:val="24"/>
        </w:rPr>
      </w:pPr>
      <w:r>
        <w:rPr>
          <w:rFonts w:hint="eastAsia"/>
          <w:bCs/>
          <w:color w:val="auto"/>
          <w:sz w:val="24"/>
          <w:szCs w:val="24"/>
        </w:rPr>
        <w:t>⑤数字化仪表。</w:t>
      </w:r>
    </w:p>
    <w:p>
      <w:pPr>
        <w:spacing w:line="360" w:lineRule="auto"/>
        <w:ind w:firstLine="480" w:firstLineChars="200"/>
        <w:rPr>
          <w:bCs/>
          <w:color w:val="auto"/>
          <w:sz w:val="24"/>
          <w:szCs w:val="24"/>
        </w:rPr>
      </w:pPr>
      <w:r>
        <w:rPr>
          <w:rFonts w:hint="eastAsia"/>
          <w:bCs/>
          <w:color w:val="auto"/>
          <w:sz w:val="24"/>
          <w:szCs w:val="24"/>
        </w:rPr>
        <w:t>⑥电控系统执行机构用电磁阀。</w:t>
      </w:r>
    </w:p>
    <w:p>
      <w:pPr>
        <w:spacing w:line="360" w:lineRule="auto"/>
        <w:ind w:firstLine="480" w:firstLineChars="200"/>
        <w:rPr>
          <w:bCs/>
          <w:color w:val="auto"/>
          <w:sz w:val="24"/>
          <w:szCs w:val="24"/>
        </w:rPr>
      </w:pPr>
      <w:r>
        <w:rPr>
          <w:rFonts w:hint="eastAsia"/>
          <w:bCs/>
          <w:color w:val="auto"/>
          <w:sz w:val="24"/>
          <w:szCs w:val="24"/>
        </w:rPr>
        <w:t>⑦低地板大型客车专用车桥。</w:t>
      </w:r>
    </w:p>
    <w:p>
      <w:pPr>
        <w:spacing w:line="360" w:lineRule="auto"/>
        <w:ind w:firstLine="480" w:firstLineChars="200"/>
        <w:rPr>
          <w:bCs/>
          <w:color w:val="auto"/>
          <w:sz w:val="24"/>
          <w:szCs w:val="24"/>
        </w:rPr>
      </w:pPr>
      <w:r>
        <w:rPr>
          <w:rFonts w:hint="eastAsia"/>
          <w:bCs/>
          <w:color w:val="auto"/>
          <w:sz w:val="24"/>
          <w:szCs w:val="24"/>
        </w:rPr>
        <w:t>⑧空气悬架、吸能式转向系统。</w:t>
      </w:r>
    </w:p>
    <w:p>
      <w:pPr>
        <w:spacing w:line="360" w:lineRule="auto"/>
        <w:ind w:firstLine="480" w:firstLineChars="200"/>
        <w:rPr>
          <w:bCs/>
          <w:color w:val="auto"/>
          <w:sz w:val="24"/>
          <w:szCs w:val="24"/>
        </w:rPr>
      </w:pPr>
      <w:r>
        <w:rPr>
          <w:rFonts w:hint="eastAsia"/>
          <w:bCs/>
          <w:color w:val="auto"/>
          <w:sz w:val="24"/>
          <w:szCs w:val="24"/>
        </w:rPr>
        <w:t>⑨高强度钢车轮。</w:t>
      </w:r>
    </w:p>
    <w:p>
      <w:pPr>
        <w:spacing w:line="360" w:lineRule="auto"/>
        <w:ind w:firstLine="480" w:firstLineChars="200"/>
        <w:rPr>
          <w:bCs/>
          <w:color w:val="auto"/>
          <w:sz w:val="24"/>
          <w:szCs w:val="24"/>
        </w:rPr>
      </w:pPr>
      <w:r>
        <w:rPr>
          <w:rFonts w:hint="eastAsia"/>
          <w:bCs/>
          <w:color w:val="auto"/>
          <w:sz w:val="24"/>
          <w:szCs w:val="24"/>
        </w:rPr>
        <w:t>4）五金机电及其它</w:t>
      </w:r>
    </w:p>
    <w:p>
      <w:pPr>
        <w:spacing w:line="360" w:lineRule="auto"/>
        <w:ind w:firstLine="480" w:firstLineChars="200"/>
        <w:rPr>
          <w:bCs/>
          <w:color w:val="auto"/>
          <w:sz w:val="24"/>
          <w:szCs w:val="24"/>
        </w:rPr>
      </w:pPr>
      <w:r>
        <w:rPr>
          <w:rFonts w:hint="eastAsia"/>
          <w:bCs/>
          <w:color w:val="auto"/>
          <w:sz w:val="24"/>
          <w:szCs w:val="24"/>
        </w:rPr>
        <w:t>①五金工具。</w:t>
      </w:r>
    </w:p>
    <w:p>
      <w:pPr>
        <w:spacing w:line="360" w:lineRule="auto"/>
        <w:ind w:firstLine="480" w:firstLineChars="200"/>
        <w:rPr>
          <w:bCs/>
          <w:color w:val="auto"/>
          <w:sz w:val="24"/>
          <w:szCs w:val="24"/>
        </w:rPr>
      </w:pPr>
      <w:r>
        <w:rPr>
          <w:rFonts w:hint="eastAsia"/>
          <w:bCs/>
          <w:color w:val="auto"/>
          <w:sz w:val="24"/>
          <w:szCs w:val="24"/>
        </w:rPr>
        <w:t>②五金配件。</w:t>
      </w:r>
    </w:p>
    <w:p>
      <w:pPr>
        <w:spacing w:line="360" w:lineRule="auto"/>
        <w:ind w:firstLine="480" w:firstLineChars="200"/>
        <w:rPr>
          <w:bCs/>
          <w:color w:val="auto"/>
          <w:sz w:val="24"/>
          <w:szCs w:val="24"/>
        </w:rPr>
      </w:pPr>
      <w:r>
        <w:rPr>
          <w:rFonts w:hint="eastAsia"/>
          <w:bCs/>
          <w:color w:val="auto"/>
          <w:sz w:val="24"/>
          <w:szCs w:val="24"/>
        </w:rPr>
        <w:t>③建筑五金。</w:t>
      </w:r>
    </w:p>
    <w:p>
      <w:pPr>
        <w:spacing w:line="360" w:lineRule="auto"/>
        <w:ind w:firstLine="480" w:firstLineChars="200"/>
        <w:rPr>
          <w:bCs/>
          <w:color w:val="auto"/>
          <w:sz w:val="24"/>
          <w:szCs w:val="24"/>
        </w:rPr>
      </w:pPr>
      <w:r>
        <w:rPr>
          <w:rFonts w:hint="eastAsia"/>
          <w:bCs/>
          <w:color w:val="auto"/>
          <w:sz w:val="24"/>
          <w:szCs w:val="24"/>
        </w:rPr>
        <w:t>④日用五金。</w:t>
      </w:r>
    </w:p>
    <w:p>
      <w:pPr>
        <w:spacing w:line="360" w:lineRule="auto"/>
        <w:ind w:firstLine="480" w:firstLineChars="200"/>
        <w:rPr>
          <w:bCs/>
          <w:color w:val="auto"/>
          <w:sz w:val="24"/>
          <w:szCs w:val="24"/>
        </w:rPr>
      </w:pPr>
      <w:r>
        <w:rPr>
          <w:rFonts w:hint="eastAsia"/>
          <w:bCs/>
          <w:color w:val="auto"/>
          <w:sz w:val="24"/>
          <w:szCs w:val="24"/>
        </w:rPr>
        <w:t>⑤厨卫五金。</w:t>
      </w:r>
    </w:p>
    <w:p>
      <w:pPr>
        <w:spacing w:line="360" w:lineRule="auto"/>
        <w:ind w:firstLine="480" w:firstLineChars="200"/>
        <w:rPr>
          <w:bCs/>
          <w:color w:val="auto"/>
          <w:sz w:val="24"/>
          <w:szCs w:val="24"/>
        </w:rPr>
      </w:pPr>
      <w:r>
        <w:rPr>
          <w:rFonts w:hint="eastAsia"/>
          <w:bCs/>
          <w:color w:val="auto"/>
          <w:sz w:val="24"/>
          <w:szCs w:val="24"/>
        </w:rPr>
        <w:t>⑥家具五金。</w:t>
      </w:r>
    </w:p>
    <w:p>
      <w:pPr>
        <w:spacing w:line="360" w:lineRule="auto"/>
        <w:ind w:firstLine="480" w:firstLineChars="200"/>
        <w:rPr>
          <w:bCs/>
          <w:color w:val="auto"/>
          <w:sz w:val="24"/>
          <w:szCs w:val="24"/>
        </w:rPr>
      </w:pPr>
      <w:r>
        <w:rPr>
          <w:rFonts w:hint="eastAsia"/>
          <w:bCs/>
          <w:color w:val="auto"/>
          <w:sz w:val="24"/>
          <w:szCs w:val="24"/>
        </w:rPr>
        <w:t>⑦锯材、木片加工、家具制造。</w:t>
      </w:r>
    </w:p>
    <w:p>
      <w:pPr>
        <w:spacing w:line="360" w:lineRule="auto"/>
        <w:ind w:firstLine="480" w:firstLineChars="200"/>
        <w:rPr>
          <w:bCs/>
          <w:color w:val="auto"/>
          <w:sz w:val="24"/>
          <w:szCs w:val="24"/>
        </w:rPr>
      </w:pPr>
      <w:r>
        <w:rPr>
          <w:rFonts w:hint="eastAsia"/>
          <w:bCs/>
          <w:color w:val="auto"/>
          <w:sz w:val="24"/>
          <w:szCs w:val="24"/>
        </w:rPr>
        <w:t>⑧工艺品制造。</w:t>
      </w:r>
    </w:p>
    <w:p>
      <w:pPr>
        <w:spacing w:line="360" w:lineRule="auto"/>
        <w:ind w:firstLine="480" w:firstLineChars="200"/>
        <w:rPr>
          <w:bCs/>
          <w:color w:val="auto"/>
          <w:sz w:val="24"/>
          <w:szCs w:val="24"/>
        </w:rPr>
      </w:pPr>
      <w:r>
        <w:rPr>
          <w:rFonts w:hint="eastAsia"/>
          <w:bCs/>
          <w:color w:val="auto"/>
          <w:sz w:val="24"/>
          <w:szCs w:val="24"/>
        </w:rPr>
        <w:t>⑨五金材料。</w:t>
      </w:r>
    </w:p>
    <w:p>
      <w:pPr>
        <w:spacing w:line="360" w:lineRule="auto"/>
        <w:ind w:firstLine="480" w:firstLineChars="200"/>
        <w:rPr>
          <w:bCs/>
          <w:color w:val="auto"/>
          <w:sz w:val="24"/>
          <w:szCs w:val="24"/>
        </w:rPr>
      </w:pPr>
      <w:r>
        <w:rPr>
          <w:rFonts w:hint="eastAsia"/>
          <w:bCs/>
          <w:color w:val="auto"/>
          <w:sz w:val="24"/>
          <w:szCs w:val="24"/>
        </w:rPr>
        <w:t>⑩电线电缆。</w:t>
      </w:r>
    </w:p>
    <w:p>
      <w:pPr>
        <w:spacing w:line="360" w:lineRule="auto"/>
        <w:ind w:firstLine="480" w:firstLineChars="200"/>
        <w:rPr>
          <w:bCs/>
          <w:color w:val="auto"/>
          <w:sz w:val="24"/>
          <w:szCs w:val="24"/>
        </w:rPr>
      </w:pPr>
      <w:r>
        <w:rPr>
          <w:rFonts w:ascii="Cambria Math" w:hAnsi="Cambria Math" w:cs="Cambria Math"/>
          <w:bCs/>
          <w:color w:val="auto"/>
          <w:sz w:val="24"/>
          <w:szCs w:val="24"/>
        </w:rPr>
        <w:t>⑪</w:t>
      </w:r>
      <w:r>
        <w:rPr>
          <w:rFonts w:hint="eastAsia" w:ascii="宋体" w:hAnsi="宋体" w:cs="宋体"/>
          <w:bCs/>
          <w:color w:val="auto"/>
          <w:sz w:val="24"/>
          <w:szCs w:val="24"/>
        </w:rPr>
        <w:t>照明用具。</w:t>
      </w:r>
    </w:p>
    <w:p>
      <w:pPr>
        <w:spacing w:line="360" w:lineRule="auto"/>
        <w:ind w:firstLine="480" w:firstLineChars="200"/>
        <w:rPr>
          <w:bCs/>
          <w:color w:val="auto"/>
          <w:sz w:val="24"/>
          <w:szCs w:val="24"/>
        </w:rPr>
      </w:pPr>
      <w:r>
        <w:rPr>
          <w:rFonts w:ascii="Cambria Math" w:hAnsi="Cambria Math" w:cs="Cambria Math"/>
          <w:bCs/>
          <w:color w:val="auto"/>
          <w:sz w:val="24"/>
          <w:szCs w:val="24"/>
        </w:rPr>
        <w:t>⑫</w:t>
      </w:r>
      <w:r>
        <w:rPr>
          <w:rFonts w:hint="eastAsia" w:ascii="宋体" w:hAnsi="宋体" w:cs="宋体"/>
          <w:bCs/>
          <w:color w:val="auto"/>
          <w:sz w:val="24"/>
          <w:szCs w:val="24"/>
        </w:rPr>
        <w:t>机电设备。</w:t>
      </w:r>
    </w:p>
    <w:p>
      <w:pPr>
        <w:spacing w:line="360" w:lineRule="auto"/>
        <w:ind w:firstLine="480" w:firstLineChars="200"/>
        <w:rPr>
          <w:bCs/>
          <w:color w:val="auto"/>
          <w:sz w:val="24"/>
          <w:szCs w:val="24"/>
        </w:rPr>
      </w:pPr>
      <w:r>
        <w:rPr>
          <w:rFonts w:ascii="Cambria Math" w:hAnsi="Cambria Math" w:cs="Cambria Math"/>
          <w:bCs/>
          <w:color w:val="auto"/>
          <w:sz w:val="24"/>
          <w:szCs w:val="24"/>
        </w:rPr>
        <w:t>⑬</w:t>
      </w:r>
      <w:r>
        <w:rPr>
          <w:rFonts w:hint="eastAsia" w:ascii="宋体" w:hAnsi="宋体" w:cs="宋体"/>
          <w:bCs/>
          <w:color w:val="auto"/>
          <w:sz w:val="24"/>
          <w:szCs w:val="24"/>
        </w:rPr>
        <w:t>机械设备。</w:t>
      </w:r>
    </w:p>
    <w:p>
      <w:pPr>
        <w:spacing w:line="360" w:lineRule="auto"/>
        <w:ind w:firstLine="480" w:firstLineChars="200"/>
        <w:rPr>
          <w:bCs/>
          <w:color w:val="auto"/>
          <w:sz w:val="24"/>
          <w:szCs w:val="24"/>
        </w:rPr>
      </w:pPr>
      <w:r>
        <w:rPr>
          <w:rFonts w:ascii="Cambria Math" w:hAnsi="Cambria Math" w:cs="Cambria Math"/>
          <w:bCs/>
          <w:color w:val="auto"/>
          <w:sz w:val="24"/>
          <w:szCs w:val="24"/>
        </w:rPr>
        <w:t>⑭</w:t>
      </w:r>
      <w:r>
        <w:rPr>
          <w:rFonts w:hint="eastAsia" w:ascii="宋体" w:hAnsi="宋体" w:cs="宋体"/>
          <w:bCs/>
          <w:color w:val="auto"/>
          <w:sz w:val="24"/>
          <w:szCs w:val="24"/>
        </w:rPr>
        <w:t>五金材料。</w:t>
      </w:r>
    </w:p>
    <w:p>
      <w:pPr>
        <w:spacing w:line="360" w:lineRule="auto"/>
        <w:ind w:firstLine="480" w:firstLineChars="200"/>
        <w:rPr>
          <w:bCs/>
          <w:color w:val="auto"/>
          <w:sz w:val="24"/>
          <w:szCs w:val="24"/>
        </w:rPr>
      </w:pPr>
      <w:r>
        <w:rPr>
          <w:rFonts w:ascii="Cambria Math" w:hAnsi="Cambria Math" w:cs="Cambria Math"/>
          <w:bCs/>
          <w:color w:val="auto"/>
          <w:sz w:val="24"/>
          <w:szCs w:val="24"/>
        </w:rPr>
        <w:t>⑮</w:t>
      </w:r>
      <w:r>
        <w:rPr>
          <w:rFonts w:hint="eastAsia" w:ascii="宋体" w:hAnsi="宋体" w:cs="宋体"/>
          <w:bCs/>
          <w:color w:val="auto"/>
          <w:sz w:val="24"/>
          <w:szCs w:val="24"/>
        </w:rPr>
        <w:t>纸制品。</w:t>
      </w:r>
    </w:p>
    <w:p>
      <w:pPr>
        <w:spacing w:line="360" w:lineRule="auto"/>
        <w:ind w:firstLine="480" w:firstLineChars="200"/>
        <w:rPr>
          <w:bCs/>
          <w:color w:val="auto"/>
          <w:sz w:val="24"/>
          <w:szCs w:val="24"/>
        </w:rPr>
      </w:pPr>
      <w:r>
        <w:rPr>
          <w:rFonts w:ascii="Cambria Math" w:hAnsi="Cambria Math" w:cs="Cambria Math"/>
          <w:bCs/>
          <w:color w:val="auto"/>
          <w:sz w:val="24"/>
          <w:szCs w:val="24"/>
        </w:rPr>
        <w:t>⑯</w:t>
      </w:r>
      <w:r>
        <w:rPr>
          <w:rFonts w:hint="eastAsia" w:ascii="宋体" w:hAnsi="宋体" w:cs="宋体"/>
          <w:bCs/>
          <w:color w:val="auto"/>
          <w:sz w:val="24"/>
          <w:szCs w:val="24"/>
        </w:rPr>
        <w:t>纺织品制造。</w:t>
      </w:r>
    </w:p>
    <w:p>
      <w:pPr>
        <w:spacing w:line="360" w:lineRule="auto"/>
        <w:ind w:firstLine="480" w:firstLineChars="200"/>
        <w:rPr>
          <w:bCs/>
          <w:color w:val="auto"/>
          <w:sz w:val="24"/>
          <w:szCs w:val="24"/>
        </w:rPr>
      </w:pPr>
      <w:r>
        <w:rPr>
          <w:rFonts w:ascii="Cambria Math" w:hAnsi="Cambria Math" w:cs="Cambria Math"/>
          <w:bCs/>
          <w:color w:val="auto"/>
          <w:sz w:val="24"/>
          <w:szCs w:val="24"/>
        </w:rPr>
        <w:t>⑰</w:t>
      </w:r>
      <w:r>
        <w:rPr>
          <w:rFonts w:hint="eastAsia" w:ascii="宋体" w:hAnsi="宋体" w:cs="宋体"/>
          <w:bCs/>
          <w:color w:val="auto"/>
          <w:sz w:val="24"/>
          <w:szCs w:val="24"/>
        </w:rPr>
        <w:t>服装制造及鞋业制造。</w:t>
      </w:r>
    </w:p>
    <w:p>
      <w:pPr>
        <w:spacing w:line="360" w:lineRule="auto"/>
        <w:ind w:firstLine="480" w:firstLineChars="200"/>
        <w:rPr>
          <w:bCs/>
          <w:color w:val="auto"/>
          <w:sz w:val="24"/>
          <w:szCs w:val="24"/>
        </w:rPr>
      </w:pPr>
      <w:r>
        <w:rPr>
          <w:rFonts w:ascii="Cambria Math" w:hAnsi="Cambria Math" w:cs="Cambria Math"/>
          <w:bCs/>
          <w:color w:val="auto"/>
          <w:sz w:val="24"/>
          <w:szCs w:val="24"/>
        </w:rPr>
        <w:t>⑱</w:t>
      </w:r>
      <w:r>
        <w:rPr>
          <w:rFonts w:hint="eastAsia" w:ascii="宋体" w:hAnsi="宋体" w:cs="宋体"/>
          <w:bCs/>
          <w:color w:val="auto"/>
          <w:sz w:val="24"/>
          <w:szCs w:val="24"/>
        </w:rPr>
        <w:t>印刷；文教、体育、娱乐用品制造；磁材料制品。</w:t>
      </w:r>
    </w:p>
    <w:p>
      <w:pPr>
        <w:spacing w:line="360" w:lineRule="auto"/>
        <w:ind w:firstLine="480" w:firstLineChars="200"/>
        <w:rPr>
          <w:bCs/>
          <w:color w:val="auto"/>
          <w:sz w:val="24"/>
          <w:szCs w:val="24"/>
        </w:rPr>
      </w:pPr>
      <w:r>
        <w:rPr>
          <w:rFonts w:ascii="Cambria Math" w:hAnsi="Cambria Math" w:cs="Cambria Math"/>
          <w:bCs/>
          <w:color w:val="auto"/>
          <w:sz w:val="24"/>
          <w:szCs w:val="24"/>
        </w:rPr>
        <w:t>⑲</w:t>
      </w:r>
      <w:r>
        <w:rPr>
          <w:rFonts w:hint="eastAsia" w:ascii="宋体" w:hAnsi="宋体" w:cs="宋体"/>
          <w:bCs/>
          <w:color w:val="auto"/>
          <w:sz w:val="24"/>
          <w:szCs w:val="24"/>
        </w:rPr>
        <w:t>皮革、毛皮、羽毛（绒）制品、来料加工（制革、毛皮鞣制除外）。</w:t>
      </w:r>
    </w:p>
    <w:p>
      <w:pPr>
        <w:spacing w:line="360" w:lineRule="auto"/>
        <w:ind w:firstLine="480" w:firstLineChars="200"/>
        <w:rPr>
          <w:bCs/>
          <w:color w:val="auto"/>
          <w:sz w:val="24"/>
          <w:szCs w:val="24"/>
        </w:rPr>
      </w:pPr>
      <w:r>
        <w:rPr>
          <w:rFonts w:ascii="Cambria Math" w:hAnsi="Cambria Math" w:cs="Cambria Math"/>
          <w:bCs/>
          <w:color w:val="auto"/>
          <w:sz w:val="24"/>
          <w:szCs w:val="24"/>
        </w:rPr>
        <w:t>⑳</w:t>
      </w:r>
      <w:r>
        <w:rPr>
          <w:rFonts w:hint="eastAsia" w:ascii="宋体" w:hAnsi="宋体" w:cs="宋体"/>
          <w:bCs/>
          <w:color w:val="auto"/>
          <w:sz w:val="24"/>
          <w:szCs w:val="24"/>
        </w:rPr>
        <w:t>电子配件组装。</w:t>
      </w:r>
    </w:p>
    <w:p>
      <w:pPr>
        <w:spacing w:line="360" w:lineRule="auto"/>
        <w:ind w:firstLine="480" w:firstLineChars="200"/>
        <w:rPr>
          <w:bCs/>
          <w:color w:val="auto"/>
          <w:sz w:val="24"/>
          <w:szCs w:val="24"/>
        </w:rPr>
      </w:pPr>
      <w:r>
        <w:rPr>
          <w:rFonts w:hint="eastAsia" w:ascii="MS Mincho" w:hAnsi="MS Mincho" w:eastAsia="MS Mincho" w:cs="MS Mincho"/>
          <w:bCs/>
          <w:color w:val="auto"/>
          <w:sz w:val="24"/>
          <w:szCs w:val="24"/>
        </w:rPr>
        <w:t>㉑</w:t>
      </w:r>
      <w:r>
        <w:rPr>
          <w:rFonts w:hint="eastAsia" w:ascii="宋体" w:hAnsi="宋体" w:cs="宋体"/>
          <w:bCs/>
          <w:color w:val="auto"/>
          <w:sz w:val="24"/>
          <w:szCs w:val="24"/>
        </w:rPr>
        <w:t>玻璃及玻璃制品。</w:t>
      </w:r>
    </w:p>
    <w:p>
      <w:pPr>
        <w:spacing w:line="360" w:lineRule="auto"/>
        <w:ind w:firstLine="480" w:firstLineChars="200"/>
        <w:rPr>
          <w:bCs/>
          <w:color w:val="auto"/>
          <w:sz w:val="24"/>
          <w:szCs w:val="24"/>
        </w:rPr>
      </w:pPr>
      <w:r>
        <w:rPr>
          <w:rFonts w:hint="eastAsia" w:ascii="MS Mincho" w:hAnsi="MS Mincho" w:eastAsia="MS Mincho" w:cs="MS Mincho"/>
          <w:bCs/>
          <w:color w:val="auto"/>
          <w:sz w:val="24"/>
          <w:szCs w:val="24"/>
        </w:rPr>
        <w:t>㉒</w:t>
      </w:r>
      <w:r>
        <w:rPr>
          <w:rFonts w:hint="eastAsia" w:ascii="宋体" w:hAnsi="宋体" w:cs="宋体"/>
          <w:bCs/>
          <w:color w:val="auto"/>
          <w:sz w:val="24"/>
          <w:szCs w:val="24"/>
        </w:rPr>
        <w:t>金属制品加工制造（有电镀或喷漆工艺除外）。</w:t>
      </w:r>
    </w:p>
    <w:p>
      <w:pPr>
        <w:spacing w:line="360" w:lineRule="auto"/>
        <w:ind w:firstLine="480" w:firstLineChars="200"/>
        <w:rPr>
          <w:bCs/>
          <w:color w:val="auto"/>
          <w:sz w:val="24"/>
          <w:szCs w:val="24"/>
        </w:rPr>
      </w:pPr>
      <w:r>
        <w:rPr>
          <w:rFonts w:hint="eastAsia"/>
          <w:bCs/>
          <w:color w:val="auto"/>
          <w:sz w:val="24"/>
          <w:szCs w:val="24"/>
        </w:rPr>
        <w:t>（7）禁止进园产业名录</w:t>
      </w:r>
    </w:p>
    <w:p>
      <w:pPr>
        <w:spacing w:line="360" w:lineRule="auto"/>
        <w:ind w:firstLine="480" w:firstLineChars="200"/>
        <w:rPr>
          <w:bCs/>
          <w:color w:val="auto"/>
          <w:sz w:val="24"/>
          <w:szCs w:val="24"/>
        </w:rPr>
      </w:pPr>
      <w:r>
        <w:rPr>
          <w:rFonts w:hint="eastAsia"/>
          <w:bCs/>
          <w:color w:val="auto"/>
          <w:sz w:val="24"/>
          <w:szCs w:val="24"/>
        </w:rPr>
        <w:t>1）建材</w:t>
      </w:r>
    </w:p>
    <w:p>
      <w:pPr>
        <w:spacing w:line="360" w:lineRule="auto"/>
        <w:ind w:firstLine="480" w:firstLineChars="200"/>
        <w:rPr>
          <w:bCs/>
          <w:color w:val="auto"/>
          <w:sz w:val="24"/>
          <w:szCs w:val="24"/>
        </w:rPr>
      </w:pPr>
      <w:r>
        <w:rPr>
          <w:rFonts w:hint="eastAsia"/>
          <w:bCs/>
          <w:color w:val="auto"/>
          <w:sz w:val="24"/>
          <w:szCs w:val="24"/>
        </w:rPr>
        <w:t>①水泥熟料。</w:t>
      </w:r>
    </w:p>
    <w:p>
      <w:pPr>
        <w:spacing w:line="360" w:lineRule="auto"/>
        <w:ind w:firstLine="480" w:firstLineChars="200"/>
        <w:rPr>
          <w:bCs/>
          <w:color w:val="auto"/>
          <w:sz w:val="24"/>
          <w:szCs w:val="24"/>
        </w:rPr>
      </w:pPr>
      <w:r>
        <w:rPr>
          <w:rFonts w:hint="eastAsia"/>
          <w:bCs/>
          <w:color w:val="auto"/>
          <w:sz w:val="24"/>
          <w:szCs w:val="24"/>
        </w:rPr>
        <w:t>②建筑陶瓷。</w:t>
      </w:r>
    </w:p>
    <w:p>
      <w:pPr>
        <w:spacing w:line="360" w:lineRule="auto"/>
        <w:ind w:firstLine="480" w:firstLineChars="200"/>
        <w:rPr>
          <w:bCs/>
          <w:color w:val="auto"/>
          <w:sz w:val="24"/>
          <w:szCs w:val="24"/>
        </w:rPr>
      </w:pPr>
      <w:r>
        <w:rPr>
          <w:rFonts w:hint="eastAsia"/>
          <w:bCs/>
          <w:color w:val="auto"/>
          <w:sz w:val="24"/>
          <w:szCs w:val="24"/>
        </w:rPr>
        <w:t>③高岭土建筑陶瓷釉料和原料。</w:t>
      </w:r>
    </w:p>
    <w:p>
      <w:pPr>
        <w:spacing w:line="360" w:lineRule="auto"/>
        <w:ind w:firstLine="480" w:firstLineChars="200"/>
        <w:rPr>
          <w:bCs/>
          <w:color w:val="auto"/>
          <w:sz w:val="24"/>
          <w:szCs w:val="24"/>
        </w:rPr>
      </w:pPr>
      <w:r>
        <w:rPr>
          <w:rFonts w:hint="eastAsia"/>
          <w:bCs/>
          <w:color w:val="auto"/>
          <w:sz w:val="24"/>
          <w:szCs w:val="24"/>
        </w:rPr>
        <w:t>④石材深加工。</w:t>
      </w:r>
    </w:p>
    <w:p>
      <w:pPr>
        <w:spacing w:line="360" w:lineRule="auto"/>
        <w:ind w:firstLine="480" w:firstLineChars="200"/>
        <w:rPr>
          <w:bCs/>
          <w:color w:val="auto"/>
          <w:sz w:val="24"/>
          <w:szCs w:val="24"/>
        </w:rPr>
      </w:pPr>
      <w:r>
        <w:rPr>
          <w:rFonts w:hint="eastAsia"/>
          <w:bCs/>
          <w:color w:val="auto"/>
          <w:sz w:val="24"/>
          <w:szCs w:val="24"/>
        </w:rPr>
        <w:t>⑤玻璃矿沙。</w:t>
      </w:r>
    </w:p>
    <w:p>
      <w:pPr>
        <w:spacing w:line="360" w:lineRule="auto"/>
        <w:ind w:firstLine="480" w:firstLineChars="200"/>
        <w:rPr>
          <w:bCs/>
          <w:color w:val="auto"/>
          <w:sz w:val="24"/>
          <w:szCs w:val="24"/>
        </w:rPr>
      </w:pPr>
      <w:r>
        <w:rPr>
          <w:rFonts w:hint="eastAsia"/>
          <w:bCs/>
          <w:color w:val="auto"/>
          <w:sz w:val="24"/>
          <w:szCs w:val="24"/>
        </w:rPr>
        <w:t>⑥超细重质碳酸钙。</w:t>
      </w:r>
    </w:p>
    <w:p>
      <w:pPr>
        <w:spacing w:line="360" w:lineRule="auto"/>
        <w:ind w:firstLine="480" w:firstLineChars="200"/>
        <w:rPr>
          <w:bCs/>
          <w:color w:val="auto"/>
          <w:sz w:val="24"/>
          <w:szCs w:val="24"/>
        </w:rPr>
      </w:pPr>
      <w:r>
        <w:rPr>
          <w:rFonts w:hint="eastAsia"/>
          <w:bCs/>
          <w:color w:val="auto"/>
          <w:sz w:val="24"/>
          <w:szCs w:val="24"/>
        </w:rPr>
        <w:t>2）钢铁及有色金属</w:t>
      </w:r>
    </w:p>
    <w:p>
      <w:pPr>
        <w:spacing w:line="360" w:lineRule="auto"/>
        <w:ind w:firstLine="480" w:firstLineChars="200"/>
        <w:rPr>
          <w:bCs/>
          <w:color w:val="auto"/>
          <w:sz w:val="24"/>
          <w:szCs w:val="24"/>
        </w:rPr>
      </w:pPr>
      <w:r>
        <w:rPr>
          <w:rFonts w:hint="eastAsia"/>
          <w:bCs/>
          <w:color w:val="auto"/>
          <w:sz w:val="24"/>
          <w:szCs w:val="24"/>
        </w:rPr>
        <w:t>①耐火材料。</w:t>
      </w:r>
    </w:p>
    <w:p>
      <w:pPr>
        <w:spacing w:line="360" w:lineRule="auto"/>
        <w:ind w:firstLine="480" w:firstLineChars="200"/>
        <w:rPr>
          <w:bCs/>
          <w:color w:val="auto"/>
          <w:sz w:val="24"/>
          <w:szCs w:val="24"/>
        </w:rPr>
      </w:pPr>
      <w:r>
        <w:rPr>
          <w:rFonts w:hint="eastAsia"/>
          <w:bCs/>
          <w:color w:val="auto"/>
          <w:sz w:val="24"/>
          <w:szCs w:val="24"/>
        </w:rPr>
        <w:t>②磁铁矿精选。</w:t>
      </w:r>
    </w:p>
    <w:p>
      <w:pPr>
        <w:spacing w:line="360" w:lineRule="auto"/>
        <w:ind w:firstLine="480" w:firstLineChars="200"/>
        <w:rPr>
          <w:bCs/>
          <w:color w:val="auto"/>
          <w:sz w:val="24"/>
          <w:szCs w:val="24"/>
        </w:rPr>
      </w:pPr>
      <w:r>
        <w:rPr>
          <w:rFonts w:hint="eastAsia"/>
          <w:bCs/>
          <w:color w:val="auto"/>
          <w:sz w:val="24"/>
          <w:szCs w:val="24"/>
        </w:rPr>
        <w:t>③冶炼炉渣综合利用。</w:t>
      </w:r>
    </w:p>
    <w:p>
      <w:pPr>
        <w:spacing w:line="360" w:lineRule="auto"/>
        <w:ind w:firstLine="480" w:firstLineChars="200"/>
        <w:rPr>
          <w:bCs/>
          <w:color w:val="auto"/>
          <w:sz w:val="24"/>
          <w:szCs w:val="24"/>
        </w:rPr>
      </w:pPr>
      <w:r>
        <w:rPr>
          <w:rFonts w:hint="eastAsia"/>
          <w:bCs/>
          <w:color w:val="auto"/>
          <w:sz w:val="24"/>
          <w:szCs w:val="24"/>
        </w:rPr>
        <w:t>3）纸浆工业</w:t>
      </w:r>
    </w:p>
    <w:p>
      <w:pPr>
        <w:spacing w:line="360" w:lineRule="auto"/>
        <w:ind w:firstLine="480" w:firstLineChars="200"/>
        <w:rPr>
          <w:bCs/>
          <w:color w:val="auto"/>
          <w:sz w:val="24"/>
          <w:szCs w:val="24"/>
        </w:rPr>
      </w:pPr>
      <w:r>
        <w:rPr>
          <w:rFonts w:hint="eastAsia"/>
          <w:bCs/>
          <w:color w:val="auto"/>
          <w:sz w:val="24"/>
          <w:szCs w:val="24"/>
        </w:rPr>
        <w:t>4）制革工业</w:t>
      </w:r>
    </w:p>
    <w:p>
      <w:pPr>
        <w:spacing w:line="360" w:lineRule="auto"/>
        <w:ind w:firstLine="480" w:firstLineChars="200"/>
        <w:rPr>
          <w:bCs/>
          <w:color w:val="auto"/>
          <w:sz w:val="24"/>
          <w:szCs w:val="24"/>
        </w:rPr>
      </w:pPr>
      <w:r>
        <w:rPr>
          <w:rFonts w:hint="eastAsia"/>
          <w:bCs/>
          <w:color w:val="auto"/>
          <w:sz w:val="24"/>
          <w:szCs w:val="24"/>
        </w:rPr>
        <w:t>5）农药工业</w:t>
      </w:r>
    </w:p>
    <w:p>
      <w:pPr>
        <w:spacing w:line="360" w:lineRule="auto"/>
        <w:ind w:firstLine="480" w:firstLineChars="200"/>
        <w:rPr>
          <w:bCs/>
          <w:color w:val="auto"/>
          <w:sz w:val="24"/>
          <w:szCs w:val="24"/>
        </w:rPr>
      </w:pPr>
      <w:r>
        <w:rPr>
          <w:rFonts w:hint="eastAsia"/>
          <w:bCs/>
          <w:color w:val="auto"/>
          <w:sz w:val="24"/>
          <w:szCs w:val="24"/>
        </w:rPr>
        <w:t>6）石油化工</w:t>
      </w:r>
    </w:p>
    <w:p>
      <w:pPr>
        <w:spacing w:line="360" w:lineRule="auto"/>
        <w:ind w:firstLine="480" w:firstLineChars="200"/>
        <w:rPr>
          <w:bCs/>
          <w:color w:val="auto"/>
          <w:sz w:val="24"/>
          <w:szCs w:val="24"/>
        </w:rPr>
      </w:pPr>
      <w:r>
        <w:rPr>
          <w:rFonts w:hint="eastAsia"/>
          <w:bCs/>
          <w:color w:val="auto"/>
          <w:sz w:val="24"/>
          <w:szCs w:val="24"/>
        </w:rPr>
        <w:t>7）电镀工业（包含电解）</w:t>
      </w:r>
    </w:p>
    <w:p>
      <w:pPr>
        <w:spacing w:line="360" w:lineRule="auto"/>
        <w:ind w:firstLine="480" w:firstLineChars="200"/>
        <w:rPr>
          <w:bCs/>
          <w:color w:val="auto"/>
          <w:sz w:val="24"/>
          <w:szCs w:val="24"/>
        </w:rPr>
      </w:pPr>
      <w:r>
        <w:rPr>
          <w:rFonts w:hint="eastAsia"/>
          <w:bCs/>
          <w:color w:val="auto"/>
          <w:sz w:val="24"/>
          <w:szCs w:val="24"/>
        </w:rPr>
        <w:t>8）纺织印染工业（包括漂染）</w:t>
      </w:r>
    </w:p>
    <w:p>
      <w:pPr>
        <w:spacing w:line="360" w:lineRule="auto"/>
        <w:ind w:firstLine="480" w:firstLineChars="200"/>
        <w:rPr>
          <w:bCs/>
          <w:color w:val="auto"/>
          <w:sz w:val="24"/>
          <w:szCs w:val="24"/>
        </w:rPr>
      </w:pPr>
      <w:r>
        <w:rPr>
          <w:rFonts w:hint="eastAsia"/>
          <w:bCs/>
          <w:color w:val="auto"/>
          <w:sz w:val="24"/>
          <w:szCs w:val="24"/>
        </w:rPr>
        <w:t>9）火力发电</w:t>
      </w:r>
    </w:p>
    <w:p>
      <w:pPr>
        <w:spacing w:line="360" w:lineRule="auto"/>
        <w:ind w:firstLine="480" w:firstLineChars="200"/>
        <w:rPr>
          <w:bCs/>
          <w:color w:val="auto"/>
          <w:sz w:val="24"/>
          <w:szCs w:val="24"/>
        </w:rPr>
      </w:pPr>
      <w:r>
        <w:rPr>
          <w:rFonts w:hint="eastAsia"/>
          <w:bCs/>
          <w:color w:val="auto"/>
          <w:sz w:val="24"/>
          <w:szCs w:val="24"/>
        </w:rPr>
        <w:t>10）废金属、塑料、纸张的二次污染转嫁工业</w:t>
      </w:r>
    </w:p>
    <w:p>
      <w:pPr>
        <w:spacing w:line="360" w:lineRule="auto"/>
        <w:ind w:firstLine="480" w:firstLineChars="200"/>
        <w:rPr>
          <w:bCs/>
          <w:color w:val="auto"/>
          <w:sz w:val="24"/>
          <w:szCs w:val="24"/>
        </w:rPr>
      </w:pPr>
      <w:r>
        <w:rPr>
          <w:rFonts w:hint="eastAsia"/>
          <w:bCs/>
          <w:color w:val="auto"/>
          <w:sz w:val="24"/>
          <w:szCs w:val="24"/>
        </w:rPr>
        <w:t>11）有色金属、黑色金属冶炼和放射性矿产项目</w:t>
      </w:r>
    </w:p>
    <w:p>
      <w:pPr>
        <w:spacing w:line="360" w:lineRule="auto"/>
        <w:ind w:firstLine="480" w:firstLineChars="200"/>
        <w:rPr>
          <w:bCs/>
          <w:color w:val="auto"/>
          <w:sz w:val="24"/>
          <w:szCs w:val="24"/>
        </w:rPr>
      </w:pPr>
      <w:r>
        <w:rPr>
          <w:rFonts w:hint="eastAsia"/>
          <w:bCs/>
          <w:color w:val="auto"/>
          <w:sz w:val="24"/>
          <w:szCs w:val="24"/>
        </w:rPr>
        <w:t>12）铜箔、覆铜板、电路板</w:t>
      </w:r>
    </w:p>
    <w:p>
      <w:pPr>
        <w:spacing w:line="360" w:lineRule="auto"/>
        <w:ind w:firstLine="480" w:firstLineChars="200"/>
        <w:rPr>
          <w:bCs/>
          <w:color w:val="auto"/>
          <w:sz w:val="24"/>
          <w:szCs w:val="24"/>
        </w:rPr>
      </w:pPr>
      <w:r>
        <w:rPr>
          <w:rFonts w:hint="eastAsia"/>
          <w:bCs/>
          <w:color w:val="auto"/>
          <w:sz w:val="24"/>
          <w:szCs w:val="24"/>
        </w:rPr>
        <w:t>13）不符合产业政策及淘汰类的企业</w:t>
      </w:r>
    </w:p>
    <w:p>
      <w:pPr>
        <w:spacing w:line="360" w:lineRule="auto"/>
        <w:ind w:firstLine="482" w:firstLineChars="200"/>
        <w:rPr>
          <w:b/>
          <w:color w:val="auto"/>
          <w:sz w:val="24"/>
          <w:szCs w:val="24"/>
        </w:rPr>
      </w:pPr>
      <w:r>
        <w:rPr>
          <w:rFonts w:hint="eastAsia"/>
          <w:b/>
          <w:color w:val="auto"/>
          <w:sz w:val="24"/>
          <w:szCs w:val="24"/>
        </w:rPr>
        <w:t>4、园区企业入驻情况</w:t>
      </w:r>
    </w:p>
    <w:p>
      <w:pPr>
        <w:spacing w:line="360" w:lineRule="auto"/>
        <w:ind w:firstLine="480" w:firstLineChars="200"/>
        <w:jc w:val="left"/>
        <w:rPr>
          <w:color w:val="auto"/>
          <w:sz w:val="24"/>
          <w:szCs w:val="24"/>
        </w:rPr>
      </w:pPr>
      <w:r>
        <w:rPr>
          <w:rFonts w:hint="eastAsia"/>
          <w:color w:val="auto"/>
          <w:sz w:val="24"/>
          <w:szCs w:val="24"/>
        </w:rPr>
        <w:t>河东绿色生态工业小镇南部片区入园企业情况如下表所示。</w:t>
      </w:r>
    </w:p>
    <w:p>
      <w:pPr>
        <w:spacing w:line="360" w:lineRule="auto"/>
        <w:jc w:val="center"/>
        <w:rPr>
          <w:b/>
          <w:color w:val="auto"/>
          <w:sz w:val="24"/>
          <w:szCs w:val="24"/>
        </w:rPr>
      </w:pPr>
      <w:r>
        <w:rPr>
          <w:rFonts w:hint="eastAsia"/>
          <w:b/>
          <w:color w:val="auto"/>
          <w:sz w:val="24"/>
          <w:szCs w:val="24"/>
        </w:rPr>
        <w:t>表3-1-2   河东绿色生态工业小镇南部片区入园企业情况表</w:t>
      </w:r>
    </w:p>
    <w:tbl>
      <w:tblPr>
        <w:tblStyle w:val="28"/>
        <w:tblW w:w="9307" w:type="dxa"/>
        <w:jc w:val="center"/>
        <w:tblLayout w:type="fixed"/>
        <w:tblCellMar>
          <w:top w:w="0" w:type="dxa"/>
          <w:left w:w="0" w:type="dxa"/>
          <w:bottom w:w="0" w:type="dxa"/>
          <w:right w:w="0" w:type="dxa"/>
        </w:tblCellMar>
      </w:tblPr>
      <w:tblGrid>
        <w:gridCol w:w="428"/>
        <w:gridCol w:w="1088"/>
        <w:gridCol w:w="1134"/>
        <w:gridCol w:w="1429"/>
        <w:gridCol w:w="1040"/>
        <w:gridCol w:w="1280"/>
        <w:gridCol w:w="1867"/>
        <w:gridCol w:w="1041"/>
      </w:tblGrid>
      <w:tr>
        <w:tblPrEx>
          <w:tblCellMar>
            <w:top w:w="0" w:type="dxa"/>
            <w:left w:w="0" w:type="dxa"/>
            <w:bottom w:w="0" w:type="dxa"/>
            <w:right w:w="0" w:type="dxa"/>
          </w:tblCellMar>
        </w:tblPrEx>
        <w:trPr>
          <w:trHeight w:val="778" w:hRule="atLeast"/>
          <w:jc w:val="center"/>
        </w:trPr>
        <w:tc>
          <w:tcPr>
            <w:tcW w:w="4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Ansi="宋体"/>
                <w:b/>
                <w:color w:val="auto"/>
                <w:kern w:val="0"/>
                <w:sz w:val="21"/>
                <w:szCs w:val="21"/>
              </w:rPr>
              <w:t>序</w:t>
            </w:r>
            <w:r>
              <w:rPr>
                <w:b/>
                <w:color w:val="auto"/>
                <w:kern w:val="0"/>
                <w:sz w:val="21"/>
                <w:szCs w:val="21"/>
              </w:rPr>
              <w:br w:type="textWrapping"/>
            </w:r>
            <w:r>
              <w:rPr>
                <w:rFonts w:hAnsi="宋体"/>
                <w:b/>
                <w:color w:val="auto"/>
                <w:kern w:val="0"/>
                <w:sz w:val="21"/>
                <w:szCs w:val="21"/>
              </w:rPr>
              <w:t>号</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Ansi="宋体"/>
                <w:b/>
                <w:color w:val="auto"/>
                <w:kern w:val="0"/>
                <w:sz w:val="21"/>
                <w:szCs w:val="21"/>
              </w:rPr>
              <w:t>企业名称</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Ansi="宋体"/>
                <w:b/>
                <w:color w:val="auto"/>
                <w:kern w:val="0"/>
                <w:sz w:val="21"/>
                <w:szCs w:val="21"/>
              </w:rPr>
              <w:t>主要产品</w:t>
            </w:r>
          </w:p>
        </w:tc>
        <w:tc>
          <w:tcPr>
            <w:tcW w:w="1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Ansi="宋体"/>
                <w:b/>
                <w:color w:val="auto"/>
                <w:kern w:val="0"/>
                <w:sz w:val="21"/>
                <w:szCs w:val="21"/>
              </w:rPr>
              <w:t>年产量及规模</w:t>
            </w:r>
          </w:p>
        </w:tc>
        <w:tc>
          <w:tcPr>
            <w:tcW w:w="1040"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Ansi="宋体"/>
                <w:b/>
                <w:color w:val="auto"/>
                <w:kern w:val="0"/>
                <w:sz w:val="21"/>
                <w:szCs w:val="21"/>
              </w:rPr>
              <w:t>行业类别</w:t>
            </w:r>
          </w:p>
        </w:tc>
        <w:tc>
          <w:tcPr>
            <w:tcW w:w="1280"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int="eastAsia"/>
                <w:b/>
                <w:color w:val="auto"/>
                <w:sz w:val="21"/>
                <w:szCs w:val="21"/>
              </w:rPr>
              <w:t>主要工艺</w:t>
            </w:r>
          </w:p>
        </w:tc>
        <w:tc>
          <w:tcPr>
            <w:tcW w:w="18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Ansi="宋体"/>
                <w:b/>
                <w:color w:val="auto"/>
                <w:kern w:val="0"/>
                <w:sz w:val="21"/>
                <w:szCs w:val="21"/>
              </w:rPr>
              <w:t>工业废水产生及排放情况</w:t>
            </w:r>
          </w:p>
        </w:tc>
        <w:tc>
          <w:tcPr>
            <w:tcW w:w="10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b/>
                <w:color w:val="auto"/>
                <w:sz w:val="21"/>
                <w:szCs w:val="21"/>
              </w:rPr>
            </w:pPr>
            <w:r>
              <w:rPr>
                <w:rFonts w:hAnsi="宋体"/>
                <w:b/>
                <w:color w:val="auto"/>
                <w:kern w:val="0"/>
                <w:sz w:val="21"/>
                <w:szCs w:val="21"/>
              </w:rPr>
              <w:t>建设情况</w:t>
            </w:r>
          </w:p>
        </w:tc>
      </w:tr>
      <w:tr>
        <w:tblPrEx>
          <w:tblCellMar>
            <w:top w:w="0" w:type="dxa"/>
            <w:left w:w="0" w:type="dxa"/>
            <w:bottom w:w="0" w:type="dxa"/>
            <w:right w:w="0" w:type="dxa"/>
          </w:tblCellMar>
        </w:tblPrEx>
        <w:trPr>
          <w:trHeight w:val="1341" w:hRule="atLeast"/>
          <w:jc w:val="center"/>
        </w:trPr>
        <w:tc>
          <w:tcPr>
            <w:tcW w:w="4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color w:val="auto"/>
                <w:kern w:val="0"/>
                <w:sz w:val="21"/>
                <w:szCs w:val="21"/>
              </w:rPr>
              <w:t>1</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广东富胜实业有限公司</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数字电视、包装材料、塑胶材料、高端五金材料</w:t>
            </w:r>
          </w:p>
        </w:tc>
        <w:tc>
          <w:tcPr>
            <w:tcW w:w="1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数字电视机</w:t>
            </w:r>
            <w:r>
              <w:rPr>
                <w:color w:val="auto"/>
                <w:kern w:val="0"/>
                <w:sz w:val="21"/>
                <w:szCs w:val="21"/>
              </w:rPr>
              <w:t>200</w:t>
            </w:r>
            <w:r>
              <w:rPr>
                <w:rFonts w:hAnsi="宋体"/>
                <w:color w:val="auto"/>
                <w:kern w:val="0"/>
                <w:sz w:val="21"/>
                <w:szCs w:val="21"/>
              </w:rPr>
              <w:t>万台、高端五金系列产品</w:t>
            </w:r>
            <w:r>
              <w:rPr>
                <w:color w:val="auto"/>
                <w:kern w:val="0"/>
                <w:sz w:val="21"/>
                <w:szCs w:val="21"/>
              </w:rPr>
              <w:t>500</w:t>
            </w:r>
            <w:r>
              <w:rPr>
                <w:rFonts w:hAnsi="宋体"/>
                <w:color w:val="auto"/>
                <w:kern w:val="0"/>
                <w:sz w:val="21"/>
                <w:szCs w:val="21"/>
              </w:rPr>
              <w:t>万套、塑胶产品</w:t>
            </w:r>
            <w:r>
              <w:rPr>
                <w:color w:val="auto"/>
                <w:kern w:val="0"/>
                <w:sz w:val="21"/>
                <w:szCs w:val="21"/>
              </w:rPr>
              <w:t>2000</w:t>
            </w:r>
            <w:r>
              <w:rPr>
                <w:rFonts w:hAnsi="宋体"/>
                <w:color w:val="auto"/>
                <w:kern w:val="0"/>
                <w:sz w:val="21"/>
                <w:szCs w:val="21"/>
              </w:rPr>
              <w:t>吨、包装材料达到</w:t>
            </w:r>
            <w:r>
              <w:rPr>
                <w:color w:val="auto"/>
                <w:kern w:val="0"/>
                <w:sz w:val="21"/>
                <w:szCs w:val="21"/>
              </w:rPr>
              <w:t>8000</w:t>
            </w:r>
            <w:r>
              <w:rPr>
                <w:rFonts w:hAnsi="宋体"/>
                <w:color w:val="auto"/>
                <w:kern w:val="0"/>
                <w:sz w:val="21"/>
                <w:szCs w:val="21"/>
              </w:rPr>
              <w:t>吨</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hAnsi="宋体"/>
                <w:color w:val="auto"/>
                <w:kern w:val="0"/>
                <w:sz w:val="21"/>
                <w:szCs w:val="21"/>
              </w:rPr>
              <w:t>电子设备、</w:t>
            </w:r>
            <w:r>
              <w:rPr>
                <w:rFonts w:hAnsi="宋体"/>
                <w:color w:val="auto"/>
                <w:kern w:val="0"/>
                <w:sz w:val="21"/>
                <w:szCs w:val="21"/>
              </w:rPr>
              <w:t>五金制品</w:t>
            </w:r>
            <w:r>
              <w:rPr>
                <w:rFonts w:hint="eastAsia" w:hAnsi="宋体"/>
                <w:color w:val="auto"/>
                <w:kern w:val="0"/>
                <w:sz w:val="21"/>
                <w:szCs w:val="21"/>
              </w:rPr>
              <w:t>、塑胶制品</w:t>
            </w:r>
            <w:r>
              <w:rPr>
                <w:rFonts w:hAnsi="宋体"/>
                <w:color w:val="auto"/>
                <w:kern w:val="0"/>
                <w:sz w:val="21"/>
                <w:szCs w:val="21"/>
              </w:rPr>
              <w:t>加工</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color w:val="auto"/>
                <w:sz w:val="21"/>
                <w:szCs w:val="21"/>
              </w:rPr>
              <w:t>印刷、贴装、焊接、插件、剪脚、修理、测试、装配、机加工、注塑、修批锋、剪水口、检查、包装</w:t>
            </w:r>
          </w:p>
        </w:tc>
        <w:tc>
          <w:tcPr>
            <w:tcW w:w="18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生活污水</w:t>
            </w:r>
            <w:r>
              <w:rPr>
                <w:color w:val="auto"/>
                <w:kern w:val="0"/>
                <w:sz w:val="21"/>
                <w:szCs w:val="21"/>
              </w:rPr>
              <w:t>400</w:t>
            </w:r>
            <w:r>
              <w:rPr>
                <w:rFonts w:hAnsi="宋体"/>
                <w:color w:val="auto"/>
                <w:kern w:val="0"/>
                <w:sz w:val="21"/>
                <w:szCs w:val="21"/>
              </w:rPr>
              <w:t>吨</w:t>
            </w:r>
            <w:r>
              <w:rPr>
                <w:color w:val="auto"/>
                <w:kern w:val="0"/>
                <w:sz w:val="21"/>
                <w:szCs w:val="21"/>
              </w:rPr>
              <w:t>/</w:t>
            </w:r>
            <w:r>
              <w:rPr>
                <w:rFonts w:hAnsi="宋体"/>
                <w:color w:val="auto"/>
                <w:kern w:val="0"/>
                <w:sz w:val="21"/>
                <w:szCs w:val="21"/>
              </w:rPr>
              <w:t>年，通过</w:t>
            </w:r>
            <w:r>
              <w:rPr>
                <w:rFonts w:hint="eastAsia" w:hAnsi="宋体"/>
                <w:color w:val="auto"/>
                <w:kern w:val="0"/>
                <w:sz w:val="21"/>
                <w:szCs w:val="21"/>
              </w:rPr>
              <w:t>自建污水处理设施处理后回用于周边林地灌溉，待本项目建成运营后，经预处理设施</w:t>
            </w:r>
            <w:r>
              <w:rPr>
                <w:rFonts w:hAnsi="宋体"/>
                <w:color w:val="auto"/>
                <w:kern w:val="0"/>
                <w:sz w:val="21"/>
                <w:szCs w:val="21"/>
              </w:rPr>
              <w:t>处理</w:t>
            </w:r>
            <w:r>
              <w:rPr>
                <w:rFonts w:hint="eastAsia" w:hAnsi="宋体"/>
                <w:color w:val="auto"/>
                <w:kern w:val="0"/>
                <w:sz w:val="21"/>
                <w:szCs w:val="21"/>
              </w:rPr>
              <w:t>达标后</w:t>
            </w:r>
            <w:r>
              <w:rPr>
                <w:rFonts w:hAnsi="宋体"/>
                <w:color w:val="auto"/>
                <w:kern w:val="0"/>
                <w:sz w:val="21"/>
                <w:szCs w:val="21"/>
              </w:rPr>
              <w:t>接入园区污水管道。</w:t>
            </w:r>
          </w:p>
        </w:tc>
        <w:tc>
          <w:tcPr>
            <w:tcW w:w="10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投产</w:t>
            </w:r>
            <w:r>
              <w:rPr>
                <w:rFonts w:hint="eastAsia" w:hAnsi="宋体"/>
                <w:color w:val="auto"/>
                <w:kern w:val="0"/>
                <w:sz w:val="21"/>
                <w:szCs w:val="21"/>
              </w:rPr>
              <w:t>，已取得环评批复：华环审〔2019〕31号</w:t>
            </w:r>
          </w:p>
        </w:tc>
      </w:tr>
      <w:tr>
        <w:tblPrEx>
          <w:tblCellMar>
            <w:top w:w="0" w:type="dxa"/>
            <w:left w:w="0" w:type="dxa"/>
            <w:bottom w:w="0" w:type="dxa"/>
            <w:right w:w="0" w:type="dxa"/>
          </w:tblCellMar>
        </w:tblPrEx>
        <w:trPr>
          <w:trHeight w:val="1081" w:hRule="atLeast"/>
          <w:jc w:val="center"/>
        </w:trPr>
        <w:tc>
          <w:tcPr>
            <w:tcW w:w="4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color w:val="auto"/>
                <w:kern w:val="0"/>
                <w:sz w:val="21"/>
                <w:szCs w:val="21"/>
              </w:rPr>
              <w:t>2</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五华县如翼实业有限公司</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包装材料、塑胶材料、高端五金材料</w:t>
            </w:r>
          </w:p>
        </w:tc>
        <w:tc>
          <w:tcPr>
            <w:tcW w:w="1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年产量高端五金系列产品</w:t>
            </w:r>
            <w:r>
              <w:rPr>
                <w:color w:val="auto"/>
                <w:kern w:val="0"/>
                <w:sz w:val="21"/>
                <w:szCs w:val="21"/>
              </w:rPr>
              <w:t>500</w:t>
            </w:r>
            <w:r>
              <w:rPr>
                <w:rFonts w:hAnsi="宋体"/>
                <w:color w:val="auto"/>
                <w:kern w:val="0"/>
                <w:sz w:val="21"/>
                <w:szCs w:val="21"/>
              </w:rPr>
              <w:t>万套、塑胶产品</w:t>
            </w:r>
            <w:r>
              <w:rPr>
                <w:color w:val="auto"/>
                <w:kern w:val="0"/>
                <w:sz w:val="21"/>
                <w:szCs w:val="21"/>
              </w:rPr>
              <w:t>2000</w:t>
            </w:r>
            <w:r>
              <w:rPr>
                <w:rFonts w:hAnsi="宋体"/>
                <w:color w:val="auto"/>
                <w:kern w:val="0"/>
                <w:sz w:val="21"/>
                <w:szCs w:val="21"/>
              </w:rPr>
              <w:t>吨、包装材料达到</w:t>
            </w:r>
            <w:r>
              <w:rPr>
                <w:color w:val="auto"/>
                <w:kern w:val="0"/>
                <w:sz w:val="21"/>
                <w:szCs w:val="21"/>
              </w:rPr>
              <w:t>8000</w:t>
            </w:r>
            <w:r>
              <w:rPr>
                <w:rFonts w:hAnsi="宋体"/>
                <w:color w:val="auto"/>
                <w:kern w:val="0"/>
                <w:sz w:val="21"/>
                <w:szCs w:val="21"/>
              </w:rPr>
              <w:t>吨</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五金及塑料制品加工</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color w:val="auto"/>
                <w:sz w:val="21"/>
                <w:szCs w:val="21"/>
              </w:rPr>
              <w:t>机加工、注塑、修批锋、剪水口、检查、包装</w:t>
            </w:r>
          </w:p>
        </w:tc>
        <w:tc>
          <w:tcPr>
            <w:tcW w:w="18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生活污水</w:t>
            </w:r>
            <w:r>
              <w:rPr>
                <w:color w:val="auto"/>
                <w:kern w:val="0"/>
                <w:sz w:val="21"/>
                <w:szCs w:val="21"/>
              </w:rPr>
              <w:t>350</w:t>
            </w:r>
            <w:r>
              <w:rPr>
                <w:rFonts w:hAnsi="宋体"/>
                <w:color w:val="auto"/>
                <w:kern w:val="0"/>
                <w:sz w:val="21"/>
                <w:szCs w:val="21"/>
              </w:rPr>
              <w:t>吨</w:t>
            </w:r>
            <w:r>
              <w:rPr>
                <w:color w:val="auto"/>
                <w:kern w:val="0"/>
                <w:sz w:val="21"/>
                <w:szCs w:val="21"/>
              </w:rPr>
              <w:t>/</w:t>
            </w:r>
            <w:r>
              <w:rPr>
                <w:rFonts w:hAnsi="宋体"/>
                <w:color w:val="auto"/>
                <w:kern w:val="0"/>
                <w:sz w:val="21"/>
                <w:szCs w:val="21"/>
              </w:rPr>
              <w:t>年，通过</w:t>
            </w:r>
            <w:r>
              <w:rPr>
                <w:rFonts w:hint="eastAsia" w:hAnsi="宋体"/>
                <w:color w:val="auto"/>
                <w:kern w:val="0"/>
                <w:sz w:val="21"/>
                <w:szCs w:val="21"/>
              </w:rPr>
              <w:t>自建污水处理设施</w:t>
            </w:r>
            <w:r>
              <w:rPr>
                <w:rFonts w:hAnsi="宋体"/>
                <w:color w:val="auto"/>
                <w:kern w:val="0"/>
                <w:sz w:val="21"/>
                <w:szCs w:val="21"/>
              </w:rPr>
              <w:t>处理</w:t>
            </w:r>
            <w:r>
              <w:rPr>
                <w:rFonts w:hint="eastAsia" w:hAnsi="宋体"/>
                <w:color w:val="auto"/>
                <w:kern w:val="0"/>
                <w:sz w:val="21"/>
                <w:szCs w:val="21"/>
              </w:rPr>
              <w:t>后回用于周边林地灌溉，待本项目建成运营后，经预处理设施</w:t>
            </w:r>
            <w:r>
              <w:rPr>
                <w:rFonts w:hAnsi="宋体"/>
                <w:color w:val="auto"/>
                <w:kern w:val="0"/>
                <w:sz w:val="21"/>
                <w:szCs w:val="21"/>
              </w:rPr>
              <w:t>处理</w:t>
            </w:r>
            <w:r>
              <w:rPr>
                <w:rFonts w:hint="eastAsia" w:hAnsi="宋体"/>
                <w:color w:val="auto"/>
                <w:kern w:val="0"/>
                <w:sz w:val="21"/>
                <w:szCs w:val="21"/>
              </w:rPr>
              <w:t>达标后</w:t>
            </w:r>
            <w:r>
              <w:rPr>
                <w:rFonts w:hAnsi="宋体"/>
                <w:color w:val="auto"/>
                <w:kern w:val="0"/>
                <w:sz w:val="21"/>
                <w:szCs w:val="21"/>
              </w:rPr>
              <w:t>接入园区污水管道。</w:t>
            </w:r>
          </w:p>
        </w:tc>
        <w:tc>
          <w:tcPr>
            <w:tcW w:w="10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hAnsi="宋体"/>
                <w:color w:val="auto"/>
                <w:kern w:val="0"/>
                <w:sz w:val="21"/>
                <w:szCs w:val="21"/>
              </w:rPr>
              <w:t>在建，已取得环评批复：华环审〔2019〕32号</w:t>
            </w:r>
          </w:p>
        </w:tc>
      </w:tr>
      <w:tr>
        <w:tblPrEx>
          <w:tblCellMar>
            <w:top w:w="0" w:type="dxa"/>
            <w:left w:w="0" w:type="dxa"/>
            <w:bottom w:w="0" w:type="dxa"/>
            <w:right w:w="0" w:type="dxa"/>
          </w:tblCellMar>
        </w:tblPrEx>
        <w:trPr>
          <w:trHeight w:val="800" w:hRule="atLeast"/>
          <w:jc w:val="center"/>
        </w:trPr>
        <w:tc>
          <w:tcPr>
            <w:tcW w:w="4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color w:val="auto"/>
                <w:kern w:val="0"/>
                <w:sz w:val="21"/>
                <w:szCs w:val="21"/>
              </w:rPr>
              <w:t>3</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梅州市全富智科技有限公司</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电子产品研发、生产及自动化测试设备</w:t>
            </w:r>
          </w:p>
        </w:tc>
        <w:tc>
          <w:tcPr>
            <w:tcW w:w="1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color w:val="auto"/>
                <w:kern w:val="0"/>
                <w:sz w:val="21"/>
                <w:szCs w:val="21"/>
              </w:rPr>
              <w:t>3000</w:t>
            </w:r>
            <w:r>
              <w:rPr>
                <w:rFonts w:hAnsi="宋体"/>
                <w:color w:val="auto"/>
                <w:kern w:val="0"/>
                <w:sz w:val="21"/>
                <w:szCs w:val="21"/>
              </w:rPr>
              <w:t>套</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电子元器件</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color w:val="auto"/>
                <w:sz w:val="21"/>
                <w:szCs w:val="21"/>
              </w:rPr>
              <w:t>研发、测试、组装、老化、包装</w:t>
            </w:r>
          </w:p>
        </w:tc>
        <w:tc>
          <w:tcPr>
            <w:tcW w:w="18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Ansi="宋体"/>
                <w:color w:val="auto"/>
                <w:kern w:val="0"/>
                <w:sz w:val="21"/>
                <w:szCs w:val="21"/>
              </w:rPr>
              <w:t>生活污水</w:t>
            </w:r>
            <w:r>
              <w:rPr>
                <w:color w:val="auto"/>
                <w:kern w:val="0"/>
                <w:sz w:val="21"/>
                <w:szCs w:val="21"/>
              </w:rPr>
              <w:t>900</w:t>
            </w:r>
            <w:r>
              <w:rPr>
                <w:rFonts w:hAnsi="宋体"/>
                <w:color w:val="auto"/>
                <w:kern w:val="0"/>
                <w:sz w:val="21"/>
                <w:szCs w:val="21"/>
              </w:rPr>
              <w:t>吨</w:t>
            </w:r>
            <w:r>
              <w:rPr>
                <w:color w:val="auto"/>
                <w:kern w:val="0"/>
                <w:sz w:val="21"/>
                <w:szCs w:val="21"/>
              </w:rPr>
              <w:t>/</w:t>
            </w:r>
            <w:r>
              <w:rPr>
                <w:rFonts w:hAnsi="宋体"/>
                <w:color w:val="auto"/>
                <w:kern w:val="0"/>
                <w:sz w:val="21"/>
                <w:szCs w:val="21"/>
              </w:rPr>
              <w:t>年，通过</w:t>
            </w:r>
            <w:r>
              <w:rPr>
                <w:rFonts w:hint="eastAsia" w:hAnsi="宋体"/>
                <w:color w:val="auto"/>
                <w:kern w:val="0"/>
                <w:sz w:val="21"/>
                <w:szCs w:val="21"/>
              </w:rPr>
              <w:t>自建污水处理设施</w:t>
            </w:r>
            <w:r>
              <w:rPr>
                <w:rFonts w:hAnsi="宋体"/>
                <w:color w:val="auto"/>
                <w:kern w:val="0"/>
                <w:sz w:val="21"/>
                <w:szCs w:val="21"/>
              </w:rPr>
              <w:t>处理</w:t>
            </w:r>
            <w:r>
              <w:rPr>
                <w:rFonts w:hint="eastAsia" w:hAnsi="宋体"/>
                <w:color w:val="auto"/>
                <w:kern w:val="0"/>
                <w:sz w:val="21"/>
                <w:szCs w:val="21"/>
              </w:rPr>
              <w:t>后回用于周边林地灌溉，待本项目建成运营后，经预处理设施</w:t>
            </w:r>
            <w:r>
              <w:rPr>
                <w:rFonts w:hAnsi="宋体"/>
                <w:color w:val="auto"/>
                <w:kern w:val="0"/>
                <w:sz w:val="21"/>
                <w:szCs w:val="21"/>
              </w:rPr>
              <w:t>处理</w:t>
            </w:r>
            <w:r>
              <w:rPr>
                <w:rFonts w:hint="eastAsia" w:hAnsi="宋体"/>
                <w:color w:val="auto"/>
                <w:kern w:val="0"/>
                <w:sz w:val="21"/>
                <w:szCs w:val="21"/>
              </w:rPr>
              <w:t>达标后</w:t>
            </w:r>
            <w:r>
              <w:rPr>
                <w:rFonts w:hAnsi="宋体"/>
                <w:color w:val="auto"/>
                <w:kern w:val="0"/>
                <w:sz w:val="21"/>
                <w:szCs w:val="21"/>
              </w:rPr>
              <w:t>接入园区污水管道。</w:t>
            </w:r>
          </w:p>
        </w:tc>
        <w:tc>
          <w:tcPr>
            <w:tcW w:w="10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hAnsi="宋体"/>
                <w:color w:val="auto"/>
                <w:kern w:val="0"/>
                <w:sz w:val="21"/>
                <w:szCs w:val="21"/>
              </w:rPr>
              <w:t>未动工，未取得环评批复</w:t>
            </w:r>
          </w:p>
        </w:tc>
      </w:tr>
      <w:tr>
        <w:tblPrEx>
          <w:tblCellMar>
            <w:top w:w="0" w:type="dxa"/>
            <w:left w:w="0" w:type="dxa"/>
            <w:bottom w:w="0" w:type="dxa"/>
            <w:right w:w="0" w:type="dxa"/>
          </w:tblCellMar>
        </w:tblPrEx>
        <w:trPr>
          <w:trHeight w:val="800" w:hRule="atLeast"/>
          <w:jc w:val="center"/>
        </w:trPr>
        <w:tc>
          <w:tcPr>
            <w:tcW w:w="4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kern w:val="0"/>
                <w:sz w:val="21"/>
                <w:szCs w:val="21"/>
              </w:rPr>
            </w:pPr>
            <w:r>
              <w:rPr>
                <w:rFonts w:hint="eastAsia"/>
                <w:color w:val="auto"/>
                <w:kern w:val="0"/>
                <w:sz w:val="21"/>
                <w:szCs w:val="21"/>
              </w:rPr>
              <w:t>4</w:t>
            </w:r>
          </w:p>
        </w:tc>
        <w:tc>
          <w:tcPr>
            <w:tcW w:w="10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Ansi="宋体"/>
                <w:color w:val="auto"/>
                <w:kern w:val="0"/>
                <w:sz w:val="21"/>
                <w:szCs w:val="21"/>
              </w:rPr>
            </w:pPr>
            <w:r>
              <w:rPr>
                <w:rFonts w:hint="eastAsia" w:hAnsi="宋体"/>
                <w:color w:val="auto"/>
                <w:kern w:val="0"/>
                <w:sz w:val="21"/>
                <w:szCs w:val="21"/>
              </w:rPr>
              <w:t>深圳爱能森清洁能源投资有限公司</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Ansi="宋体"/>
                <w:color w:val="auto"/>
                <w:kern w:val="0"/>
                <w:sz w:val="21"/>
                <w:szCs w:val="21"/>
              </w:rPr>
            </w:pPr>
            <w:r>
              <w:rPr>
                <w:rFonts w:hint="eastAsia" w:hAnsi="宋体"/>
                <w:color w:val="auto"/>
                <w:kern w:val="0"/>
                <w:sz w:val="21"/>
                <w:szCs w:val="21"/>
              </w:rPr>
              <w:t>/</w:t>
            </w:r>
          </w:p>
        </w:tc>
        <w:tc>
          <w:tcPr>
            <w:tcW w:w="14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kern w:val="0"/>
                <w:sz w:val="21"/>
                <w:szCs w:val="21"/>
              </w:rPr>
            </w:pPr>
            <w:r>
              <w:rPr>
                <w:rFonts w:hint="eastAsia"/>
                <w:color w:val="auto"/>
                <w:kern w:val="0"/>
                <w:sz w:val="21"/>
                <w:szCs w:val="21"/>
              </w:rPr>
              <w:t>/</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Ansi="宋体"/>
                <w:color w:val="auto"/>
                <w:kern w:val="0"/>
                <w:sz w:val="21"/>
                <w:szCs w:val="21"/>
              </w:rPr>
            </w:pPr>
            <w:r>
              <w:rPr>
                <w:rFonts w:hint="eastAsia" w:hAnsi="宋体"/>
                <w:color w:val="auto"/>
                <w:kern w:val="0"/>
                <w:sz w:val="21"/>
                <w:szCs w:val="21"/>
              </w:rPr>
              <w:t>商务服务业</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color w:val="auto"/>
                <w:sz w:val="21"/>
                <w:szCs w:val="21"/>
              </w:rPr>
            </w:pPr>
            <w:r>
              <w:rPr>
                <w:rFonts w:hint="eastAsia"/>
                <w:color w:val="auto"/>
                <w:sz w:val="21"/>
                <w:szCs w:val="21"/>
              </w:rPr>
              <w:t>/</w:t>
            </w:r>
          </w:p>
        </w:tc>
        <w:tc>
          <w:tcPr>
            <w:tcW w:w="18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Ansi="宋体"/>
                <w:color w:val="auto"/>
                <w:kern w:val="0"/>
                <w:sz w:val="21"/>
                <w:szCs w:val="21"/>
              </w:rPr>
            </w:pPr>
            <w:r>
              <w:rPr>
                <w:rFonts w:hint="eastAsia" w:hAnsi="宋体"/>
                <w:color w:val="auto"/>
                <w:kern w:val="0"/>
                <w:sz w:val="21"/>
                <w:szCs w:val="21"/>
              </w:rPr>
              <w:t>非生产类企业，不产生工业废水</w:t>
            </w:r>
          </w:p>
        </w:tc>
        <w:tc>
          <w:tcPr>
            <w:tcW w:w="10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Ansi="宋体"/>
                <w:color w:val="auto"/>
                <w:kern w:val="0"/>
                <w:sz w:val="21"/>
                <w:szCs w:val="21"/>
              </w:rPr>
            </w:pPr>
            <w:r>
              <w:rPr>
                <w:rFonts w:hint="eastAsia" w:hAnsi="宋体"/>
                <w:color w:val="auto"/>
                <w:kern w:val="0"/>
                <w:sz w:val="21"/>
                <w:szCs w:val="21"/>
              </w:rPr>
              <w:t>在建，已取得环评批复：华环审〔2019〕79号</w:t>
            </w:r>
          </w:p>
        </w:tc>
      </w:tr>
    </w:tbl>
    <w:p>
      <w:pPr>
        <w:spacing w:line="360" w:lineRule="auto"/>
        <w:ind w:firstLine="480" w:firstLineChars="200"/>
        <w:rPr>
          <w:color w:val="auto"/>
          <w:sz w:val="24"/>
          <w:szCs w:val="24"/>
        </w:rPr>
      </w:pPr>
      <w:r>
        <w:rPr>
          <w:rFonts w:hint="eastAsia"/>
          <w:color w:val="auto"/>
          <w:sz w:val="24"/>
          <w:szCs w:val="24"/>
        </w:rPr>
        <w:t>注：上表未取得环评批复的企业所排废水量为企业估算数据。</w:t>
      </w:r>
    </w:p>
    <w:p>
      <w:pPr>
        <w:spacing w:line="360" w:lineRule="auto"/>
        <w:ind w:firstLine="482" w:firstLineChars="200"/>
        <w:rPr>
          <w:rFonts w:hint="eastAsia"/>
          <w:b/>
          <w:bCs/>
          <w:color w:val="auto"/>
          <w:sz w:val="24"/>
          <w:szCs w:val="24"/>
        </w:rPr>
      </w:pPr>
    </w:p>
    <w:p>
      <w:pPr>
        <w:spacing w:line="360" w:lineRule="auto"/>
        <w:ind w:firstLine="482" w:firstLineChars="200"/>
        <w:rPr>
          <w:b/>
          <w:bCs/>
          <w:color w:val="auto"/>
          <w:sz w:val="24"/>
          <w:szCs w:val="24"/>
        </w:rPr>
      </w:pPr>
      <w:r>
        <w:rPr>
          <w:rFonts w:hint="eastAsia"/>
          <w:b/>
          <w:bCs/>
          <w:color w:val="auto"/>
          <w:sz w:val="24"/>
          <w:szCs w:val="24"/>
        </w:rPr>
        <w:t>河东绿色生态工业小镇南部片区入园企业产排水情况介绍：</w:t>
      </w:r>
    </w:p>
    <w:p>
      <w:pPr>
        <w:spacing w:line="360" w:lineRule="auto"/>
        <w:ind w:firstLine="480" w:firstLineChars="200"/>
        <w:rPr>
          <w:color w:val="auto"/>
          <w:sz w:val="24"/>
          <w:szCs w:val="24"/>
        </w:rPr>
      </w:pPr>
      <w:r>
        <w:rPr>
          <w:rFonts w:hint="eastAsia"/>
          <w:color w:val="auto"/>
          <w:sz w:val="24"/>
          <w:szCs w:val="24"/>
        </w:rPr>
        <w:t>目前，河东绿色生态工业小镇南部片区入园企业拟定为广东富胜实业有限公司、五华县如翼实业有限公司、梅州市全富智科技有限公司、深圳爱能森清洁能源投资有限公司4家企业。</w:t>
      </w:r>
    </w:p>
    <w:p>
      <w:pPr>
        <w:spacing w:line="360" w:lineRule="auto"/>
        <w:ind w:firstLine="480" w:firstLineChars="200"/>
        <w:rPr>
          <w:color w:val="auto"/>
          <w:sz w:val="24"/>
          <w:szCs w:val="24"/>
        </w:rPr>
      </w:pPr>
      <w:r>
        <w:rPr>
          <w:rFonts w:hint="eastAsia"/>
          <w:color w:val="auto"/>
          <w:sz w:val="24"/>
          <w:szCs w:val="24"/>
        </w:rPr>
        <w:t>（1）广东富胜实业有限公司</w:t>
      </w:r>
    </w:p>
    <w:p>
      <w:pPr>
        <w:spacing w:line="360" w:lineRule="auto"/>
        <w:ind w:firstLine="480" w:firstLineChars="200"/>
        <w:rPr>
          <w:color w:val="auto"/>
          <w:sz w:val="24"/>
          <w:szCs w:val="24"/>
        </w:rPr>
      </w:pPr>
      <w:r>
        <w:rPr>
          <w:rFonts w:hint="eastAsia"/>
          <w:color w:val="auto"/>
          <w:sz w:val="24"/>
          <w:szCs w:val="24"/>
        </w:rPr>
        <w:t>广东富胜实业有限公司主要生产数字电视、包装材料、塑胶材料、高端五金材料，预计年产数字电视机200万台、高端五金系列产品500万套、塑胶产品2000吨、包装材料8000吨，主要生产工艺为印刷、贴装、焊接、插件、剪脚、修理、测试、装配、机加工、注塑、修批锋、剪水口、检查、包装，已取得环评批复：华环审〔2019〕31号，现已投产。企业运营期间，不产生工业废水，员工生活污水通过自建污水处理设施处理后回用于周边林地灌溉，待本项目建成运营后，经预处理设施处理达标后接入园区污水管道。</w:t>
      </w:r>
    </w:p>
    <w:p>
      <w:pPr>
        <w:spacing w:line="360" w:lineRule="auto"/>
        <w:ind w:firstLine="480" w:firstLineChars="200"/>
        <w:rPr>
          <w:color w:val="auto"/>
          <w:sz w:val="24"/>
          <w:szCs w:val="24"/>
        </w:rPr>
      </w:pPr>
      <w:r>
        <w:rPr>
          <w:rFonts w:hint="eastAsia"/>
          <w:color w:val="auto"/>
          <w:sz w:val="24"/>
          <w:szCs w:val="24"/>
        </w:rPr>
        <w:t>（2）五华县如翼实业有限公司</w:t>
      </w:r>
    </w:p>
    <w:p>
      <w:pPr>
        <w:spacing w:line="360" w:lineRule="auto"/>
        <w:ind w:firstLine="480" w:firstLineChars="200"/>
        <w:rPr>
          <w:color w:val="auto"/>
          <w:sz w:val="24"/>
          <w:szCs w:val="24"/>
        </w:rPr>
      </w:pPr>
      <w:r>
        <w:rPr>
          <w:rFonts w:hint="eastAsia"/>
          <w:color w:val="auto"/>
          <w:sz w:val="24"/>
          <w:szCs w:val="24"/>
        </w:rPr>
        <w:t>五华县如翼实业有限公司主要生产包装材料、塑胶材料、高端五金材料，预计年产年产高端五金系列产品500万套、塑胶产品2000吨、包装材料8000吨，主要生产工艺为机加工、注塑、修批锋、剪水口、检查、包装，已取得环评批复：华环审〔2019〕32号，目前在建。企业运营期间，不产生工业废水，员工生活污水通过自建污水处理设施处理后回用于周边林地灌溉，待本项目建成运营后，经预处理设施处理达标后接入园区污水管道。</w:t>
      </w:r>
    </w:p>
    <w:p>
      <w:pPr>
        <w:spacing w:line="360" w:lineRule="auto"/>
        <w:ind w:firstLine="480" w:firstLineChars="200"/>
        <w:rPr>
          <w:color w:val="auto"/>
          <w:sz w:val="24"/>
          <w:szCs w:val="24"/>
        </w:rPr>
      </w:pPr>
      <w:r>
        <w:rPr>
          <w:rFonts w:hint="eastAsia"/>
          <w:color w:val="auto"/>
          <w:sz w:val="24"/>
          <w:szCs w:val="24"/>
        </w:rPr>
        <w:t>（3）梅州市全富智科技有限公司</w:t>
      </w:r>
    </w:p>
    <w:p>
      <w:pPr>
        <w:spacing w:line="360" w:lineRule="auto"/>
        <w:ind w:firstLine="480" w:firstLineChars="200"/>
        <w:rPr>
          <w:color w:val="auto"/>
          <w:sz w:val="24"/>
          <w:szCs w:val="24"/>
        </w:rPr>
      </w:pPr>
      <w:r>
        <w:rPr>
          <w:rFonts w:hint="eastAsia"/>
          <w:color w:val="auto"/>
          <w:sz w:val="24"/>
          <w:szCs w:val="24"/>
        </w:rPr>
        <w:t>梅州市全富智科技有限公司主要生产电子产品研发、生产及自动化测试设备，预计年产3000套，主要生产工艺为研发、测试、组装、老化、包装，目前企业未取得环评批复，尚未动工。企业运营期间，不产生工业废水，员工生活污水通过自建污水处理设施处理后回用于周边林地灌溉，待本项目建成运营后，经预处理设施处理达标后接入园区污水管道。</w:t>
      </w:r>
    </w:p>
    <w:p>
      <w:pPr>
        <w:spacing w:line="360" w:lineRule="auto"/>
        <w:ind w:firstLine="480" w:firstLineChars="200"/>
        <w:rPr>
          <w:color w:val="auto"/>
          <w:sz w:val="24"/>
          <w:szCs w:val="24"/>
        </w:rPr>
      </w:pPr>
      <w:r>
        <w:rPr>
          <w:rFonts w:hint="eastAsia"/>
          <w:color w:val="auto"/>
          <w:sz w:val="24"/>
          <w:szCs w:val="24"/>
        </w:rPr>
        <w:t>（4）深圳爱能森清洁能源投资有限公司</w:t>
      </w:r>
    </w:p>
    <w:p>
      <w:pPr>
        <w:spacing w:line="360" w:lineRule="auto"/>
        <w:ind w:firstLine="480" w:firstLineChars="200"/>
        <w:rPr>
          <w:color w:val="auto"/>
          <w:sz w:val="24"/>
          <w:szCs w:val="24"/>
        </w:rPr>
      </w:pPr>
      <w:r>
        <w:rPr>
          <w:rFonts w:hint="eastAsia"/>
          <w:color w:val="auto"/>
          <w:sz w:val="24"/>
          <w:szCs w:val="24"/>
        </w:rPr>
        <w:t>深圳爱能森清洁能源投资有限公司为非生产类企业，不产生工业废水。</w:t>
      </w:r>
    </w:p>
    <w:p>
      <w:pPr>
        <w:spacing w:line="360" w:lineRule="auto"/>
        <w:ind w:firstLine="480" w:firstLineChars="200"/>
        <w:rPr>
          <w:color w:val="auto"/>
          <w:sz w:val="24"/>
          <w:szCs w:val="24"/>
        </w:rPr>
      </w:pPr>
      <w:r>
        <w:rPr>
          <w:rFonts w:hint="eastAsia"/>
          <w:color w:val="auto"/>
          <w:sz w:val="24"/>
          <w:szCs w:val="24"/>
        </w:rPr>
        <w:t>本项目主要收集南部片区的大部分污水及五华河东绿色生态工业小镇南区东边村庄的生活污水，根据目前河东绿色生态工业小镇南部片区入园企业产排水情况分析，本项目接纳的废水主要为生活污水。</w:t>
      </w:r>
    </w:p>
    <w:p>
      <w:pPr>
        <w:spacing w:line="360" w:lineRule="auto"/>
        <w:ind w:firstLine="480" w:firstLineChars="200"/>
        <w:rPr>
          <w:color w:val="auto"/>
          <w:sz w:val="24"/>
          <w:szCs w:val="24"/>
        </w:rPr>
      </w:pPr>
      <w:r>
        <w:rPr>
          <w:rFonts w:hint="eastAsia"/>
          <w:color w:val="auto"/>
          <w:sz w:val="24"/>
          <w:szCs w:val="24"/>
        </w:rPr>
        <w:t>目前，五华河东绿色生态工业小镇还处于招商引资阶段，后期接纳的工业废水具有不确定性，根据园区准入条件，五华河东绿色生态工业小镇主要引入符合国家产业政策、无污染或轻污染的一、二类工业，严禁引进排放含有毒有害物质和一类污染物的项目。因此，本项目接纳的废水不属于含重金属污水，污染因子主要为COD</w:t>
      </w:r>
      <w:r>
        <w:rPr>
          <w:rFonts w:hint="eastAsia"/>
          <w:color w:val="auto"/>
          <w:sz w:val="24"/>
          <w:szCs w:val="24"/>
          <w:vertAlign w:val="subscript"/>
        </w:rPr>
        <w:t>Cr</w:t>
      </w:r>
      <w:r>
        <w:rPr>
          <w:rFonts w:hint="eastAsia"/>
          <w:color w:val="auto"/>
          <w:sz w:val="24"/>
          <w:szCs w:val="24"/>
        </w:rPr>
        <w:t>、BOD</w:t>
      </w:r>
      <w:r>
        <w:rPr>
          <w:rFonts w:hint="eastAsia"/>
          <w:color w:val="auto"/>
          <w:sz w:val="24"/>
          <w:szCs w:val="24"/>
          <w:vertAlign w:val="subscript"/>
        </w:rPr>
        <w:t>5</w:t>
      </w:r>
      <w:r>
        <w:rPr>
          <w:rFonts w:hint="eastAsia"/>
          <w:color w:val="auto"/>
          <w:sz w:val="24"/>
          <w:szCs w:val="24"/>
        </w:rPr>
        <w:t>、SS和氨氮，废水成分较为简单，可经生产企业预处理设施处理后接入园区污水管道。</w:t>
      </w:r>
    </w:p>
    <w:p>
      <w:pPr>
        <w:spacing w:line="360" w:lineRule="auto"/>
        <w:ind w:firstLine="482" w:firstLineChars="200"/>
        <w:rPr>
          <w:b/>
          <w:bCs/>
          <w:color w:val="auto"/>
          <w:sz w:val="24"/>
          <w:szCs w:val="24"/>
        </w:rPr>
      </w:pPr>
      <w:r>
        <w:rPr>
          <w:rFonts w:hint="eastAsia"/>
          <w:b/>
          <w:bCs/>
          <w:color w:val="auto"/>
          <w:sz w:val="24"/>
          <w:szCs w:val="24"/>
        </w:rPr>
        <w:t>4、接管水质控制管理措施</w:t>
      </w:r>
    </w:p>
    <w:p>
      <w:pPr>
        <w:spacing w:line="360" w:lineRule="auto"/>
        <w:ind w:firstLine="510"/>
        <w:rPr>
          <w:color w:val="auto"/>
          <w:spacing w:val="4"/>
          <w:sz w:val="24"/>
          <w:szCs w:val="24"/>
        </w:rPr>
      </w:pPr>
      <w:r>
        <w:rPr>
          <w:color w:val="auto"/>
          <w:spacing w:val="4"/>
          <w:sz w:val="24"/>
          <w:szCs w:val="24"/>
        </w:rPr>
        <w:t>为了确保</w:t>
      </w:r>
      <w:r>
        <w:rPr>
          <w:rFonts w:hint="eastAsia"/>
          <w:color w:val="auto"/>
          <w:spacing w:val="4"/>
          <w:sz w:val="24"/>
          <w:szCs w:val="24"/>
        </w:rPr>
        <w:t>本项目水质净化</w:t>
      </w:r>
      <w:r>
        <w:rPr>
          <w:color w:val="auto"/>
          <w:spacing w:val="4"/>
          <w:sz w:val="24"/>
          <w:szCs w:val="24"/>
        </w:rPr>
        <w:t>厂的正常运转和处理后的尾水稳定达标运行，一定要做好进水污染源的源头控制和管理。接入</w:t>
      </w:r>
      <w:r>
        <w:rPr>
          <w:rFonts w:hint="eastAsia"/>
          <w:color w:val="auto"/>
          <w:spacing w:val="4"/>
          <w:sz w:val="24"/>
          <w:szCs w:val="24"/>
        </w:rPr>
        <w:t>本项目</w:t>
      </w:r>
      <w:r>
        <w:rPr>
          <w:color w:val="auto"/>
          <w:spacing w:val="4"/>
          <w:sz w:val="24"/>
          <w:szCs w:val="24"/>
        </w:rPr>
        <w:t>污水处理管网的污水</w:t>
      </w:r>
      <w:r>
        <w:rPr>
          <w:rFonts w:hint="eastAsia"/>
          <w:color w:val="auto"/>
          <w:spacing w:val="4"/>
          <w:sz w:val="24"/>
          <w:szCs w:val="24"/>
        </w:rPr>
        <w:t>除满足</w:t>
      </w:r>
      <w:r>
        <w:rPr>
          <w:rFonts w:hint="eastAsia"/>
          <w:color w:val="auto"/>
          <w:sz w:val="24"/>
          <w:szCs w:val="24"/>
        </w:rPr>
        <w:t>五华河东绿色生态工业小镇准入条件的要求外，还</w:t>
      </w:r>
      <w:r>
        <w:rPr>
          <w:color w:val="auto"/>
          <w:spacing w:val="4"/>
          <w:sz w:val="24"/>
          <w:szCs w:val="24"/>
        </w:rPr>
        <w:t>应符合</w:t>
      </w:r>
      <w:r>
        <w:rPr>
          <w:rFonts w:hint="eastAsia"/>
          <w:color w:val="auto"/>
          <w:spacing w:val="4"/>
          <w:sz w:val="24"/>
          <w:szCs w:val="24"/>
        </w:rPr>
        <w:t>以下</w:t>
      </w:r>
      <w:r>
        <w:rPr>
          <w:color w:val="auto"/>
          <w:spacing w:val="4"/>
          <w:sz w:val="24"/>
          <w:szCs w:val="24"/>
        </w:rPr>
        <w:t>要求：</w:t>
      </w:r>
    </w:p>
    <w:p>
      <w:pPr>
        <w:spacing w:line="360" w:lineRule="auto"/>
        <w:ind w:firstLine="496" w:firstLineChars="200"/>
        <w:rPr>
          <w:color w:val="auto"/>
          <w:spacing w:val="4"/>
          <w:sz w:val="24"/>
          <w:szCs w:val="24"/>
        </w:rPr>
      </w:pPr>
      <w:r>
        <w:rPr>
          <w:color w:val="auto"/>
          <w:spacing w:val="4"/>
          <w:sz w:val="24"/>
          <w:szCs w:val="24"/>
        </w:rPr>
        <w:t>（1）制定严格的污水排入许可制度，进入污水处理厂处理的废水必须达到</w:t>
      </w:r>
      <w:r>
        <w:rPr>
          <w:color w:val="auto"/>
          <w:sz w:val="24"/>
        </w:rPr>
        <w:t>广东省《水污染物排放限值》（DB44/26-2001）第二时段三级标准，部分指标参照执行《污水排入城</w:t>
      </w:r>
      <w:r>
        <w:rPr>
          <w:rFonts w:hint="eastAsia"/>
          <w:color w:val="auto"/>
          <w:sz w:val="24"/>
        </w:rPr>
        <w:t>镇</w:t>
      </w:r>
      <w:r>
        <w:rPr>
          <w:color w:val="auto"/>
          <w:sz w:val="24"/>
        </w:rPr>
        <w:t>下水道水质标准》（</w:t>
      </w:r>
      <w:r>
        <w:rPr>
          <w:rFonts w:hint="eastAsia"/>
          <w:color w:val="auto"/>
          <w:sz w:val="24"/>
          <w:szCs w:val="24"/>
        </w:rPr>
        <w:t>GB/T31962-2015</w:t>
      </w:r>
      <w:r>
        <w:rPr>
          <w:color w:val="auto"/>
          <w:sz w:val="24"/>
        </w:rPr>
        <w:t>）B等级标准的</w:t>
      </w:r>
      <w:r>
        <w:rPr>
          <w:color w:val="auto"/>
          <w:spacing w:val="4"/>
          <w:sz w:val="24"/>
          <w:szCs w:val="24"/>
        </w:rPr>
        <w:t>要求后方可进入污水管网。为了确保排入污水管网的各企业污水符合接管要求，建议对主要排污企业的污水排放口建设在线监测装置，对污水流量、pH、COD和氨氮等浓度进行在线监测，在线监测装置必须与</w:t>
      </w:r>
      <w:r>
        <w:rPr>
          <w:rFonts w:hint="eastAsia"/>
          <w:color w:val="auto"/>
          <w:spacing w:val="4"/>
          <w:sz w:val="24"/>
          <w:szCs w:val="24"/>
        </w:rPr>
        <w:t>水质净化</w:t>
      </w:r>
      <w:r>
        <w:rPr>
          <w:color w:val="auto"/>
          <w:spacing w:val="4"/>
          <w:sz w:val="24"/>
          <w:szCs w:val="24"/>
        </w:rPr>
        <w:t>厂监控室、区环保局连通，以便接受监督。</w:t>
      </w:r>
    </w:p>
    <w:p>
      <w:pPr>
        <w:spacing w:line="360" w:lineRule="auto"/>
        <w:ind w:firstLine="496" w:firstLineChars="200"/>
        <w:rPr>
          <w:color w:val="auto"/>
          <w:sz w:val="24"/>
          <w:szCs w:val="24"/>
        </w:rPr>
      </w:pPr>
      <w:r>
        <w:rPr>
          <w:color w:val="auto"/>
          <w:spacing w:val="4"/>
          <w:sz w:val="24"/>
          <w:szCs w:val="24"/>
        </w:rPr>
        <w:t>（2）为了使进入</w:t>
      </w:r>
      <w:r>
        <w:rPr>
          <w:rFonts w:hint="eastAsia"/>
          <w:color w:val="auto"/>
          <w:spacing w:val="4"/>
          <w:sz w:val="24"/>
          <w:szCs w:val="24"/>
        </w:rPr>
        <w:t>水质净化</w:t>
      </w:r>
      <w:r>
        <w:rPr>
          <w:color w:val="auto"/>
          <w:spacing w:val="4"/>
          <w:sz w:val="24"/>
          <w:szCs w:val="24"/>
        </w:rPr>
        <w:t>厂的污水水质稳定，</w:t>
      </w:r>
      <w:r>
        <w:rPr>
          <w:rFonts w:hint="eastAsia"/>
          <w:color w:val="auto"/>
          <w:spacing w:val="4"/>
          <w:sz w:val="24"/>
          <w:szCs w:val="24"/>
        </w:rPr>
        <w:t>对于污水浓度较高的企业</w:t>
      </w:r>
      <w:r>
        <w:rPr>
          <w:color w:val="auto"/>
          <w:spacing w:val="4"/>
          <w:sz w:val="24"/>
          <w:szCs w:val="24"/>
        </w:rPr>
        <w:t>必须建设足够容量的污水</w:t>
      </w:r>
      <w:r>
        <w:rPr>
          <w:rFonts w:hint="eastAsia"/>
          <w:color w:val="auto"/>
          <w:spacing w:val="4"/>
          <w:sz w:val="24"/>
          <w:szCs w:val="24"/>
        </w:rPr>
        <w:t>事故池</w:t>
      </w:r>
      <w:r>
        <w:rPr>
          <w:color w:val="auto"/>
          <w:spacing w:val="4"/>
          <w:sz w:val="24"/>
          <w:szCs w:val="24"/>
        </w:rPr>
        <w:t>，确保排水水质稳定。</w:t>
      </w:r>
      <w:r>
        <w:rPr>
          <w:color w:val="auto"/>
          <w:spacing w:val="4"/>
          <w:sz w:val="24"/>
          <w:szCs w:val="24"/>
        </w:rPr>
        <w:br w:type="textWrapping"/>
      </w:r>
      <w:r>
        <w:rPr>
          <w:color w:val="auto"/>
          <w:spacing w:val="4"/>
          <w:sz w:val="24"/>
          <w:szCs w:val="24"/>
        </w:rPr>
        <w:t xml:space="preserve">    （3）加强对区域内排污单位的监管，对于纳污范围内工业企业，根据各行业废水特点，严格要求各企业废水排入污水管网前经厂内污水处理设施预处理，</w:t>
      </w:r>
      <w:r>
        <w:rPr>
          <w:rFonts w:hint="eastAsia"/>
          <w:color w:val="auto"/>
          <w:sz w:val="24"/>
          <w:szCs w:val="24"/>
        </w:rPr>
        <w:t>严禁引入排放含有毒有害物质和一类污染物的工业废水</w:t>
      </w:r>
      <w:r>
        <w:rPr>
          <w:rFonts w:hint="eastAsia"/>
          <w:color w:val="auto"/>
          <w:spacing w:val="4"/>
          <w:sz w:val="24"/>
          <w:szCs w:val="24"/>
        </w:rPr>
        <w:t>。</w:t>
      </w:r>
      <w:r>
        <w:rPr>
          <w:color w:val="auto"/>
          <w:spacing w:val="4"/>
          <w:sz w:val="24"/>
          <w:szCs w:val="24"/>
        </w:rPr>
        <w:t>对</w:t>
      </w:r>
      <w:r>
        <w:rPr>
          <w:rFonts w:hint="eastAsia"/>
          <w:color w:val="auto"/>
          <w:spacing w:val="4"/>
          <w:sz w:val="24"/>
          <w:szCs w:val="24"/>
        </w:rPr>
        <w:t>不</w:t>
      </w:r>
      <w:r>
        <w:rPr>
          <w:color w:val="auto"/>
          <w:spacing w:val="4"/>
          <w:sz w:val="24"/>
          <w:szCs w:val="24"/>
        </w:rPr>
        <w:t>含</w:t>
      </w:r>
      <w:r>
        <w:rPr>
          <w:rFonts w:hint="eastAsia"/>
          <w:color w:val="auto"/>
          <w:sz w:val="24"/>
          <w:szCs w:val="24"/>
        </w:rPr>
        <w:t>有毒有害物质和一类污染物</w:t>
      </w:r>
      <w:r>
        <w:rPr>
          <w:color w:val="auto"/>
          <w:spacing w:val="4"/>
          <w:sz w:val="24"/>
          <w:szCs w:val="24"/>
        </w:rPr>
        <w:t>质</w:t>
      </w:r>
      <w:r>
        <w:rPr>
          <w:rFonts w:hint="eastAsia"/>
          <w:color w:val="auto"/>
          <w:spacing w:val="4"/>
          <w:sz w:val="24"/>
          <w:szCs w:val="24"/>
        </w:rPr>
        <w:t>的</w:t>
      </w:r>
      <w:r>
        <w:rPr>
          <w:color w:val="auto"/>
          <w:spacing w:val="4"/>
          <w:sz w:val="24"/>
          <w:szCs w:val="24"/>
        </w:rPr>
        <w:t>工业废水，需在各项目的环境影响评价中论证接管可行性，并经预处理后不影响</w:t>
      </w:r>
      <w:r>
        <w:rPr>
          <w:rFonts w:hint="eastAsia"/>
          <w:color w:val="auto"/>
          <w:spacing w:val="4"/>
          <w:sz w:val="24"/>
          <w:szCs w:val="24"/>
        </w:rPr>
        <w:t>水质净化</w:t>
      </w:r>
      <w:r>
        <w:rPr>
          <w:color w:val="auto"/>
          <w:spacing w:val="4"/>
          <w:sz w:val="24"/>
          <w:szCs w:val="24"/>
        </w:rPr>
        <w:t>厂正常运行方可接入。</w:t>
      </w:r>
      <w:r>
        <w:rPr>
          <w:color w:val="auto"/>
          <w:spacing w:val="4"/>
          <w:sz w:val="24"/>
          <w:szCs w:val="24"/>
        </w:rPr>
        <w:br w:type="textWrapping"/>
      </w:r>
      <w:r>
        <w:rPr>
          <w:color w:val="auto"/>
          <w:spacing w:val="4"/>
          <w:sz w:val="24"/>
          <w:szCs w:val="24"/>
        </w:rPr>
        <w:t xml:space="preserve">    （4）</w:t>
      </w:r>
      <w:r>
        <w:rPr>
          <w:rFonts w:hint="eastAsia"/>
          <w:color w:val="auto"/>
          <w:spacing w:val="4"/>
          <w:sz w:val="24"/>
          <w:szCs w:val="24"/>
        </w:rPr>
        <w:t>水质净化</w:t>
      </w:r>
      <w:r>
        <w:rPr>
          <w:color w:val="auto"/>
          <w:spacing w:val="4"/>
          <w:sz w:val="24"/>
          <w:szCs w:val="24"/>
        </w:rPr>
        <w:t>厂需与主要的污水排放企业之间有畅通的信息交流管道，建立企业的事故报告制度。一旦排水进入</w:t>
      </w:r>
      <w:r>
        <w:rPr>
          <w:rFonts w:hint="eastAsia"/>
          <w:color w:val="auto"/>
          <w:spacing w:val="4"/>
          <w:sz w:val="24"/>
          <w:szCs w:val="24"/>
        </w:rPr>
        <w:t>水质净化</w:t>
      </w:r>
      <w:r>
        <w:rPr>
          <w:color w:val="auto"/>
          <w:spacing w:val="4"/>
          <w:sz w:val="24"/>
          <w:szCs w:val="24"/>
        </w:rPr>
        <w:t>厂的企业发生事故，应要求企业在第一时间向</w:t>
      </w:r>
      <w:r>
        <w:rPr>
          <w:rFonts w:hint="eastAsia"/>
          <w:color w:val="auto"/>
          <w:spacing w:val="4"/>
          <w:sz w:val="24"/>
          <w:szCs w:val="24"/>
        </w:rPr>
        <w:t>水质净化</w:t>
      </w:r>
      <w:r>
        <w:rPr>
          <w:color w:val="auto"/>
          <w:spacing w:val="4"/>
          <w:sz w:val="24"/>
          <w:szCs w:val="24"/>
        </w:rPr>
        <w:t>厂报告事故的类型，估计事故源强，并关闭出水阀，停止将水送入</w:t>
      </w:r>
      <w:r>
        <w:rPr>
          <w:rFonts w:hint="eastAsia"/>
          <w:color w:val="auto"/>
          <w:spacing w:val="4"/>
          <w:sz w:val="24"/>
          <w:szCs w:val="24"/>
        </w:rPr>
        <w:t>水质净化</w:t>
      </w:r>
      <w:r>
        <w:rPr>
          <w:color w:val="auto"/>
          <w:spacing w:val="4"/>
          <w:sz w:val="24"/>
          <w:szCs w:val="24"/>
        </w:rPr>
        <w:t>厂。</w:t>
      </w:r>
      <w:r>
        <w:rPr>
          <w:rFonts w:hint="eastAsia"/>
          <w:color w:val="auto"/>
          <w:kern w:val="0"/>
          <w:sz w:val="24"/>
          <w:szCs w:val="24"/>
        </w:rPr>
        <w:t>当企业发生事故排放后，水质净化厂应立即启动应急措施，将事故进水抽排到</w:t>
      </w:r>
      <w:r>
        <w:rPr>
          <w:rFonts w:hint="eastAsia"/>
          <w:color w:val="auto"/>
          <w:sz w:val="24"/>
          <w:szCs w:val="24"/>
        </w:rPr>
        <w:t>应急沉淀池</w:t>
      </w:r>
      <w:r>
        <w:rPr>
          <w:rFonts w:hint="eastAsia"/>
          <w:color w:val="auto"/>
          <w:kern w:val="0"/>
          <w:sz w:val="24"/>
          <w:szCs w:val="24"/>
        </w:rPr>
        <w:t>中储存。</w:t>
      </w:r>
    </w:p>
    <w:p>
      <w:pPr>
        <w:pStyle w:val="4"/>
        <w:rPr>
          <w:color w:val="auto"/>
        </w:rPr>
      </w:pPr>
      <w:bookmarkStart w:id="70" w:name="_Toc26276805"/>
      <w:r>
        <w:rPr>
          <w:rFonts w:hint="eastAsia"/>
          <w:color w:val="auto"/>
        </w:rPr>
        <w:t>3.1.3建设内容</w:t>
      </w:r>
      <w:bookmarkEnd w:id="70"/>
    </w:p>
    <w:p>
      <w:pPr>
        <w:spacing w:line="360" w:lineRule="auto"/>
        <w:ind w:firstLine="480" w:firstLineChars="200"/>
        <w:rPr>
          <w:color w:val="auto"/>
          <w:sz w:val="24"/>
          <w:szCs w:val="24"/>
        </w:rPr>
      </w:pPr>
      <w:r>
        <w:rPr>
          <w:rFonts w:hint="eastAsia"/>
          <w:color w:val="auto"/>
          <w:sz w:val="24"/>
          <w:szCs w:val="24"/>
        </w:rPr>
        <w:t>本项目为油新水质净化厂一期工程建设项目，建设内容主要包括：</w:t>
      </w:r>
    </w:p>
    <w:p>
      <w:pPr>
        <w:spacing w:line="360" w:lineRule="auto"/>
        <w:ind w:firstLine="480" w:firstLineChars="200"/>
        <w:rPr>
          <w:color w:val="auto"/>
          <w:sz w:val="24"/>
          <w:szCs w:val="24"/>
        </w:rPr>
      </w:pPr>
      <w:r>
        <w:rPr>
          <w:rFonts w:hint="eastAsia"/>
          <w:color w:val="auto"/>
          <w:sz w:val="24"/>
          <w:szCs w:val="24"/>
        </w:rPr>
        <w:t>1、主体工程：包括粗格栅进水泵房、细格栅及曝气沉砂池、应急沉淀池、生物反应池、二沉池、反冲洗废水池、曝气生物滤池、反冲洗水池、中间提升泵房、高效沉、滤池、消毒接触池及中水回用泵房、污泥浓缩池、污泥均质调理池、污泥脱水机房、中水回用池。</w:t>
      </w:r>
    </w:p>
    <w:p>
      <w:pPr>
        <w:spacing w:line="360" w:lineRule="auto"/>
        <w:ind w:firstLine="480" w:firstLineChars="200"/>
        <w:rPr>
          <w:color w:val="auto"/>
          <w:sz w:val="24"/>
          <w:szCs w:val="24"/>
        </w:rPr>
      </w:pPr>
      <w:r>
        <w:rPr>
          <w:rFonts w:hint="eastAsia"/>
          <w:color w:val="auto"/>
          <w:sz w:val="24"/>
          <w:szCs w:val="24"/>
        </w:rPr>
        <w:t>2、辅助工程：包括二沉池配水井及污泥泵房、中间提升泵房、辅助用房、配泥井、鼓风机房、加药间、变配电间、综合楼、机修车间、门卫、除臭装置。</w:t>
      </w:r>
    </w:p>
    <w:p>
      <w:pPr>
        <w:spacing w:line="360" w:lineRule="auto"/>
        <w:ind w:firstLine="480" w:firstLineChars="200"/>
        <w:rPr>
          <w:color w:val="auto"/>
          <w:sz w:val="24"/>
          <w:szCs w:val="24"/>
        </w:rPr>
      </w:pPr>
      <w:r>
        <w:rPr>
          <w:rFonts w:hint="eastAsia"/>
          <w:color w:val="auto"/>
          <w:sz w:val="24"/>
          <w:szCs w:val="24"/>
        </w:rPr>
        <w:t>3、配套管网：主要包括五华河东绿色生态工业小镇南区的集污管网、尾水回用管网及尾水排放管网，五华河东绿色生态工业小镇南区东边村庄的生活污水仅预留污水接口，不进行配套管网的建设。</w:t>
      </w:r>
    </w:p>
    <w:p>
      <w:pPr>
        <w:pStyle w:val="3"/>
        <w:rPr>
          <w:color w:val="auto"/>
        </w:rPr>
      </w:pPr>
      <w:bookmarkStart w:id="71" w:name="_Toc26276806"/>
      <w:bookmarkStart w:id="72" w:name="_Toc27793"/>
      <w:r>
        <w:rPr>
          <w:rFonts w:hint="eastAsia"/>
          <w:color w:val="auto"/>
        </w:rPr>
        <w:t>3.2污水处理规模合理性分析</w:t>
      </w:r>
      <w:bookmarkEnd w:id="71"/>
      <w:bookmarkEnd w:id="72"/>
    </w:p>
    <w:p>
      <w:pPr>
        <w:pStyle w:val="4"/>
        <w:rPr>
          <w:color w:val="auto"/>
        </w:rPr>
      </w:pPr>
      <w:bookmarkStart w:id="73" w:name="_Toc26276807"/>
      <w:r>
        <w:rPr>
          <w:rFonts w:hint="eastAsia"/>
          <w:color w:val="auto"/>
        </w:rPr>
        <w:t>3.2.1总用水量预测</w:t>
      </w:r>
      <w:bookmarkEnd w:id="73"/>
    </w:p>
    <w:p>
      <w:pPr>
        <w:spacing w:line="360" w:lineRule="auto"/>
        <w:ind w:firstLine="480" w:firstLineChars="200"/>
        <w:rPr>
          <w:color w:val="auto"/>
          <w:sz w:val="24"/>
          <w:szCs w:val="24"/>
        </w:rPr>
      </w:pPr>
      <w:r>
        <w:rPr>
          <w:rFonts w:hint="eastAsia"/>
          <w:color w:val="auto"/>
          <w:sz w:val="24"/>
          <w:szCs w:val="24"/>
        </w:rPr>
        <w:t>本项目使用单位用地指标法和人均综合指标法对项目服务范围内用水量进行预测。根据《五华河东绿色生态工业小镇污水专项规划（2018-2035）》，远期2035年五华河东绿色生态工业小镇基础数据如下表所示。</w:t>
      </w:r>
    </w:p>
    <w:p>
      <w:pPr>
        <w:spacing w:line="360" w:lineRule="auto"/>
        <w:jc w:val="center"/>
        <w:rPr>
          <w:b/>
          <w:color w:val="auto"/>
          <w:sz w:val="24"/>
          <w:szCs w:val="24"/>
        </w:rPr>
      </w:pPr>
      <w:r>
        <w:rPr>
          <w:rFonts w:hint="eastAsia"/>
          <w:b/>
          <w:color w:val="auto"/>
          <w:sz w:val="24"/>
          <w:szCs w:val="24"/>
        </w:rPr>
        <w:t>表3-2-1  五华河东绿色生态工业小镇基础数据表</w:t>
      </w:r>
    </w:p>
    <w:tbl>
      <w:tblPr>
        <w:tblStyle w:val="28"/>
        <w:tblW w:w="8778" w:type="dxa"/>
        <w:tblInd w:w="0" w:type="dxa"/>
        <w:tblLayout w:type="fixed"/>
        <w:tblCellMar>
          <w:top w:w="0" w:type="dxa"/>
          <w:left w:w="108" w:type="dxa"/>
          <w:bottom w:w="0" w:type="dxa"/>
          <w:right w:w="108" w:type="dxa"/>
        </w:tblCellMar>
      </w:tblPr>
      <w:tblGrid>
        <w:gridCol w:w="962"/>
        <w:gridCol w:w="2551"/>
        <w:gridCol w:w="848"/>
        <w:gridCol w:w="823"/>
        <w:gridCol w:w="2128"/>
        <w:gridCol w:w="1447"/>
        <w:gridCol w:w="19"/>
      </w:tblGrid>
      <w:tr>
        <w:tblPrEx>
          <w:tblCellMar>
            <w:top w:w="0" w:type="dxa"/>
            <w:left w:w="108" w:type="dxa"/>
            <w:bottom w:w="0" w:type="dxa"/>
            <w:right w:w="108" w:type="dxa"/>
          </w:tblCellMar>
        </w:tblPrEx>
        <w:trPr>
          <w:cantSplit/>
          <w:trHeight w:val="270" w:hRule="atLeast"/>
        </w:trPr>
        <w:tc>
          <w:tcPr>
            <w:tcW w:w="962"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color w:val="auto"/>
                <w:kern w:val="0"/>
                <w:sz w:val="21"/>
                <w:szCs w:val="21"/>
              </w:rPr>
            </w:pPr>
            <w:r>
              <w:rPr>
                <w:rFonts w:hint="eastAsia"/>
                <w:color w:val="auto"/>
                <w:kern w:val="0"/>
                <w:sz w:val="21"/>
                <w:szCs w:val="21"/>
              </w:rPr>
              <w:t>单位用地指标</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b/>
                <w:color w:val="auto"/>
                <w:kern w:val="0"/>
                <w:sz w:val="21"/>
                <w:szCs w:val="21"/>
              </w:rPr>
            </w:pPr>
            <w:r>
              <w:rPr>
                <w:b/>
                <w:color w:val="auto"/>
                <w:kern w:val="0"/>
                <w:sz w:val="21"/>
                <w:szCs w:val="21"/>
              </w:rPr>
              <w:t>用地性质</w:t>
            </w:r>
          </w:p>
        </w:tc>
        <w:tc>
          <w:tcPr>
            <w:tcW w:w="16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b/>
                <w:color w:val="auto"/>
                <w:kern w:val="0"/>
                <w:sz w:val="21"/>
                <w:szCs w:val="21"/>
              </w:rPr>
            </w:pPr>
            <w:r>
              <w:rPr>
                <w:b/>
                <w:color w:val="auto"/>
                <w:kern w:val="0"/>
                <w:sz w:val="21"/>
                <w:szCs w:val="21"/>
              </w:rPr>
              <w:t>用地面积（hm</w:t>
            </w:r>
            <w:r>
              <w:rPr>
                <w:b/>
                <w:color w:val="auto"/>
                <w:kern w:val="0"/>
                <w:sz w:val="21"/>
                <w:szCs w:val="21"/>
                <w:vertAlign w:val="superscript"/>
              </w:rPr>
              <w:t>2</w:t>
            </w:r>
            <w:r>
              <w:rPr>
                <w:b/>
                <w:color w:val="auto"/>
                <w:kern w:val="0"/>
                <w:sz w:val="21"/>
                <w:szCs w:val="21"/>
              </w:rPr>
              <w:t>）</w:t>
            </w:r>
          </w:p>
        </w:tc>
        <w:tc>
          <w:tcPr>
            <w:tcW w:w="2128" w:type="dxa"/>
            <w:tcBorders>
              <w:top w:val="single" w:color="auto" w:sz="4" w:space="0"/>
              <w:left w:val="nil"/>
              <w:bottom w:val="single" w:color="auto" w:sz="4" w:space="0"/>
              <w:right w:val="single" w:color="auto" w:sz="4" w:space="0"/>
            </w:tcBorders>
            <w:shd w:val="clear" w:color="auto" w:fill="auto"/>
            <w:vAlign w:val="center"/>
          </w:tcPr>
          <w:p>
            <w:pPr>
              <w:widowControl/>
              <w:jc w:val="center"/>
              <w:rPr>
                <w:b/>
                <w:color w:val="auto"/>
                <w:kern w:val="0"/>
                <w:sz w:val="21"/>
                <w:szCs w:val="21"/>
              </w:rPr>
            </w:pPr>
            <w:r>
              <w:rPr>
                <w:b/>
                <w:color w:val="auto"/>
                <w:kern w:val="0"/>
                <w:sz w:val="21"/>
                <w:szCs w:val="21"/>
              </w:rPr>
              <w:t>用水量标准</w:t>
            </w:r>
          </w:p>
          <w:p>
            <w:pPr>
              <w:widowControl/>
              <w:jc w:val="center"/>
              <w:rPr>
                <w:b/>
                <w:color w:val="auto"/>
                <w:kern w:val="0"/>
                <w:sz w:val="21"/>
                <w:szCs w:val="21"/>
              </w:rPr>
            </w:pPr>
            <w:r>
              <w:rPr>
                <w:b/>
                <w:color w:val="auto"/>
                <w:kern w:val="0"/>
                <w:sz w:val="21"/>
                <w:szCs w:val="21"/>
              </w:rPr>
              <w:t>（m</w:t>
            </w:r>
            <w:r>
              <w:rPr>
                <w:b/>
                <w:color w:val="auto"/>
                <w:kern w:val="0"/>
                <w:sz w:val="21"/>
                <w:szCs w:val="21"/>
                <w:vertAlign w:val="superscript"/>
              </w:rPr>
              <w:t>3</w:t>
            </w:r>
            <w:r>
              <w:rPr>
                <w:b/>
                <w:color w:val="auto"/>
                <w:kern w:val="0"/>
                <w:sz w:val="21"/>
                <w:szCs w:val="21"/>
              </w:rPr>
              <w:t>/ hm</w:t>
            </w:r>
            <w:r>
              <w:rPr>
                <w:b/>
                <w:color w:val="auto"/>
                <w:kern w:val="0"/>
                <w:sz w:val="21"/>
                <w:szCs w:val="21"/>
                <w:vertAlign w:val="superscript"/>
              </w:rPr>
              <w:t>2</w:t>
            </w:r>
            <w:r>
              <w:rPr>
                <w:b/>
                <w:color w:val="auto"/>
                <w:kern w:val="0"/>
                <w:sz w:val="21"/>
                <w:szCs w:val="21"/>
              </w:rPr>
              <w:t>·d）</w:t>
            </w:r>
          </w:p>
        </w:tc>
        <w:tc>
          <w:tcPr>
            <w:tcW w:w="1466" w:type="dxa"/>
            <w:gridSpan w:val="2"/>
            <w:tcBorders>
              <w:top w:val="single" w:color="auto" w:sz="4" w:space="0"/>
              <w:left w:val="nil"/>
              <w:bottom w:val="single" w:color="auto" w:sz="4" w:space="0"/>
              <w:right w:val="single" w:color="auto" w:sz="4" w:space="0"/>
            </w:tcBorders>
            <w:shd w:val="clear" w:color="auto" w:fill="auto"/>
          </w:tcPr>
          <w:p>
            <w:pPr>
              <w:widowControl/>
              <w:jc w:val="center"/>
              <w:rPr>
                <w:b/>
                <w:color w:val="auto"/>
                <w:kern w:val="0"/>
                <w:sz w:val="21"/>
                <w:szCs w:val="21"/>
              </w:rPr>
            </w:pPr>
            <w:r>
              <w:rPr>
                <w:b/>
                <w:color w:val="auto"/>
                <w:kern w:val="0"/>
                <w:sz w:val="21"/>
                <w:szCs w:val="21"/>
              </w:rPr>
              <w:t>排水量标准</w:t>
            </w:r>
          </w:p>
          <w:p>
            <w:pPr>
              <w:widowControl/>
              <w:jc w:val="center"/>
              <w:rPr>
                <w:b/>
                <w:color w:val="auto"/>
                <w:kern w:val="0"/>
                <w:sz w:val="21"/>
                <w:szCs w:val="21"/>
              </w:rPr>
            </w:pPr>
            <w:r>
              <w:rPr>
                <w:b/>
                <w:color w:val="auto"/>
                <w:kern w:val="0"/>
                <w:sz w:val="21"/>
                <w:szCs w:val="21"/>
              </w:rPr>
              <w:t>（m</w:t>
            </w:r>
            <w:r>
              <w:rPr>
                <w:b/>
                <w:color w:val="auto"/>
                <w:kern w:val="0"/>
                <w:sz w:val="21"/>
                <w:szCs w:val="21"/>
                <w:vertAlign w:val="superscript"/>
              </w:rPr>
              <w:t>3</w:t>
            </w:r>
            <w:r>
              <w:rPr>
                <w:b/>
                <w:color w:val="auto"/>
                <w:kern w:val="0"/>
                <w:sz w:val="21"/>
                <w:szCs w:val="21"/>
              </w:rPr>
              <w:t>/ hm</w:t>
            </w:r>
            <w:r>
              <w:rPr>
                <w:b/>
                <w:color w:val="auto"/>
                <w:kern w:val="0"/>
                <w:sz w:val="21"/>
                <w:szCs w:val="21"/>
                <w:vertAlign w:val="superscript"/>
              </w:rPr>
              <w:t>2</w:t>
            </w:r>
            <w:r>
              <w:rPr>
                <w:b/>
                <w:color w:val="auto"/>
                <w:kern w:val="0"/>
                <w:sz w:val="21"/>
                <w:szCs w:val="21"/>
              </w:rPr>
              <w:t>·d）</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right w:val="single" w:color="auto" w:sz="4" w:space="0"/>
            </w:tcBorders>
            <w:shd w:val="clear" w:color="auto" w:fill="auto"/>
            <w:noWrap/>
            <w:vAlign w:val="center"/>
          </w:tcPr>
          <w:p>
            <w:pPr>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公共管理与公共服务用地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24.85</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50</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36</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right w:val="single" w:color="auto" w:sz="4" w:space="0"/>
            </w:tcBorders>
            <w:shd w:val="clear" w:color="auto" w:fill="auto"/>
            <w:noWrap/>
            <w:vAlign w:val="center"/>
          </w:tcPr>
          <w:p>
            <w:pPr>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商业服务设施用地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148.04</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40</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29</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right w:val="single" w:color="auto" w:sz="4" w:space="0"/>
            </w:tcBorders>
            <w:shd w:val="clear" w:color="auto" w:fill="auto"/>
            <w:noWrap/>
            <w:vAlign w:val="center"/>
          </w:tcPr>
          <w:p>
            <w:pPr>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居住用地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161.56</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50</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36</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right w:val="single" w:color="auto" w:sz="4" w:space="0"/>
            </w:tcBorders>
            <w:shd w:val="clear" w:color="auto" w:fill="auto"/>
            <w:noWrap/>
            <w:vAlign w:val="center"/>
          </w:tcPr>
          <w:p>
            <w:pPr>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绿地与广场用地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190.06</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15</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11</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right w:val="single" w:color="auto" w:sz="4" w:space="0"/>
            </w:tcBorders>
            <w:shd w:val="clear" w:color="auto" w:fill="auto"/>
            <w:noWrap/>
            <w:vAlign w:val="center"/>
          </w:tcPr>
          <w:p>
            <w:pPr>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道路与交通设施用地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202.03</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20</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14</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right w:val="single" w:color="auto" w:sz="4" w:space="0"/>
            </w:tcBorders>
            <w:shd w:val="clear" w:color="auto" w:fill="auto"/>
            <w:noWrap/>
            <w:vAlign w:val="center"/>
          </w:tcPr>
          <w:p>
            <w:pPr>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公用设施用地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31.31</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25</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18</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right w:val="single" w:color="auto" w:sz="4" w:space="0"/>
            </w:tcBorders>
            <w:shd w:val="clear" w:color="auto" w:fill="auto"/>
            <w:noWrap/>
            <w:vAlign w:val="center"/>
          </w:tcPr>
          <w:p>
            <w:pPr>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工业用地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742.84</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75</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54</w:t>
            </w:r>
          </w:p>
        </w:tc>
      </w:tr>
      <w:tr>
        <w:tblPrEx>
          <w:tblCellMar>
            <w:top w:w="0" w:type="dxa"/>
            <w:left w:w="108" w:type="dxa"/>
            <w:bottom w:w="0" w:type="dxa"/>
            <w:right w:w="108" w:type="dxa"/>
          </w:tblCellMar>
        </w:tblPrEx>
        <w:trPr>
          <w:cantSplit/>
          <w:trHeight w:val="315" w:hRule="atLeast"/>
        </w:trPr>
        <w:tc>
          <w:tcPr>
            <w:tcW w:w="96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color w:val="auto"/>
                <w:kern w:val="0"/>
                <w:sz w:val="21"/>
                <w:szCs w:val="21"/>
              </w:rPr>
            </w:pPr>
          </w:p>
        </w:tc>
        <w:tc>
          <w:tcPr>
            <w:tcW w:w="2551" w:type="dxa"/>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物流仓储用地</w:t>
            </w:r>
          </w:p>
        </w:tc>
        <w:tc>
          <w:tcPr>
            <w:tcW w:w="1671" w:type="dxa"/>
            <w:gridSpan w:val="2"/>
            <w:tcBorders>
              <w:top w:val="nil"/>
              <w:left w:val="nil"/>
              <w:bottom w:val="single" w:color="auto" w:sz="4" w:space="0"/>
              <w:right w:val="single" w:color="auto" w:sz="4" w:space="0"/>
            </w:tcBorders>
            <w:shd w:val="clear" w:color="auto" w:fill="auto"/>
            <w:noWrap/>
            <w:vAlign w:val="center"/>
          </w:tcPr>
          <w:p>
            <w:pPr>
              <w:jc w:val="center"/>
              <w:rPr>
                <w:color w:val="auto"/>
                <w:sz w:val="21"/>
                <w:szCs w:val="21"/>
              </w:rPr>
            </w:pPr>
            <w:r>
              <w:rPr>
                <w:color w:val="auto"/>
                <w:sz w:val="21"/>
                <w:szCs w:val="21"/>
              </w:rPr>
              <w:t>67.60</w:t>
            </w:r>
          </w:p>
        </w:tc>
        <w:tc>
          <w:tcPr>
            <w:tcW w:w="2128" w:type="dxa"/>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25</w:t>
            </w:r>
          </w:p>
        </w:tc>
        <w:tc>
          <w:tcPr>
            <w:tcW w:w="1466" w:type="dxa"/>
            <w:gridSpan w:val="2"/>
            <w:tcBorders>
              <w:top w:val="nil"/>
              <w:left w:val="nil"/>
              <w:bottom w:val="single" w:color="auto" w:sz="4" w:space="0"/>
              <w:right w:val="single" w:color="auto" w:sz="4" w:space="0"/>
            </w:tcBorders>
            <w:shd w:val="clear" w:color="auto" w:fill="auto"/>
          </w:tcPr>
          <w:p>
            <w:pPr>
              <w:jc w:val="center"/>
              <w:rPr>
                <w:color w:val="auto"/>
                <w:sz w:val="21"/>
                <w:szCs w:val="21"/>
              </w:rPr>
            </w:pPr>
            <w:r>
              <w:rPr>
                <w:color w:val="auto"/>
                <w:sz w:val="21"/>
                <w:szCs w:val="21"/>
              </w:rPr>
              <w:t>18</w:t>
            </w:r>
          </w:p>
        </w:tc>
      </w:tr>
      <w:tr>
        <w:tblPrEx>
          <w:tblCellMar>
            <w:top w:w="0" w:type="dxa"/>
            <w:left w:w="108" w:type="dxa"/>
            <w:bottom w:w="0" w:type="dxa"/>
            <w:right w:w="108" w:type="dxa"/>
          </w:tblCellMar>
        </w:tblPrEx>
        <w:trPr>
          <w:gridAfter w:val="1"/>
          <w:wAfter w:w="19" w:type="dxa"/>
          <w:cantSplit/>
          <w:trHeight w:val="315" w:hRule="atLeast"/>
        </w:trPr>
        <w:tc>
          <w:tcPr>
            <w:tcW w:w="962"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color w:val="auto"/>
                <w:kern w:val="0"/>
                <w:sz w:val="21"/>
                <w:szCs w:val="21"/>
              </w:rPr>
            </w:pPr>
            <w:r>
              <w:rPr>
                <w:rFonts w:hint="eastAsia"/>
                <w:color w:val="auto"/>
                <w:kern w:val="0"/>
                <w:sz w:val="21"/>
                <w:szCs w:val="21"/>
              </w:rPr>
              <w:t>人均综合指标</w:t>
            </w:r>
          </w:p>
        </w:tc>
        <w:tc>
          <w:tcPr>
            <w:tcW w:w="3399"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b/>
                <w:color w:val="auto"/>
                <w:sz w:val="21"/>
                <w:szCs w:val="21"/>
              </w:rPr>
            </w:pPr>
            <w:r>
              <w:rPr>
                <w:rFonts w:hint="eastAsia"/>
                <w:b/>
                <w:color w:val="auto"/>
                <w:sz w:val="21"/>
                <w:szCs w:val="21"/>
              </w:rPr>
              <w:t>规划人口（万人）</w:t>
            </w:r>
          </w:p>
        </w:tc>
        <w:tc>
          <w:tcPr>
            <w:tcW w:w="4398" w:type="dxa"/>
            <w:gridSpan w:val="3"/>
            <w:tcBorders>
              <w:top w:val="single" w:color="auto" w:sz="4" w:space="0"/>
              <w:left w:val="nil"/>
              <w:bottom w:val="single" w:color="auto" w:sz="4" w:space="0"/>
              <w:right w:val="single" w:color="auto" w:sz="4" w:space="0"/>
            </w:tcBorders>
            <w:shd w:val="clear" w:color="auto" w:fill="auto"/>
            <w:vAlign w:val="center"/>
          </w:tcPr>
          <w:p>
            <w:pPr>
              <w:jc w:val="center"/>
              <w:rPr>
                <w:b/>
                <w:color w:val="auto"/>
                <w:sz w:val="21"/>
                <w:szCs w:val="21"/>
              </w:rPr>
            </w:pPr>
            <w:r>
              <w:rPr>
                <w:rFonts w:hint="eastAsia"/>
                <w:b/>
                <w:color w:val="auto"/>
                <w:sz w:val="21"/>
                <w:szCs w:val="21"/>
              </w:rPr>
              <w:t>城市单位人口综合用水量指标（</w:t>
            </w:r>
            <w:r>
              <w:rPr>
                <w:rFonts w:eastAsiaTheme="minorEastAsia"/>
                <w:b/>
                <w:color w:val="auto"/>
                <w:kern w:val="0"/>
                <w:sz w:val="21"/>
                <w:szCs w:val="21"/>
              </w:rPr>
              <w:t>万m</w:t>
            </w:r>
            <w:r>
              <w:rPr>
                <w:rFonts w:eastAsiaTheme="minorEastAsia"/>
                <w:b/>
                <w:color w:val="auto"/>
                <w:kern w:val="0"/>
                <w:sz w:val="21"/>
                <w:szCs w:val="21"/>
                <w:vertAlign w:val="superscript"/>
              </w:rPr>
              <w:t>3</w:t>
            </w:r>
            <w:r>
              <w:rPr>
                <w:rFonts w:eastAsiaTheme="minorEastAsia"/>
                <w:b/>
                <w:color w:val="auto"/>
                <w:kern w:val="0"/>
                <w:sz w:val="21"/>
                <w:szCs w:val="21"/>
              </w:rPr>
              <w:t>/万人</w:t>
            </w:r>
            <w:r>
              <w:rPr>
                <w:b/>
                <w:color w:val="auto"/>
                <w:kern w:val="0"/>
                <w:sz w:val="21"/>
                <w:szCs w:val="21"/>
              </w:rPr>
              <w:t>·</w:t>
            </w:r>
            <w:r>
              <w:rPr>
                <w:rFonts w:eastAsiaTheme="minorEastAsia"/>
                <w:b/>
                <w:color w:val="auto"/>
                <w:kern w:val="0"/>
                <w:sz w:val="21"/>
                <w:szCs w:val="21"/>
              </w:rPr>
              <w:t>d</w:t>
            </w:r>
            <w:r>
              <w:rPr>
                <w:rFonts w:hint="eastAsia"/>
                <w:b/>
                <w:color w:val="auto"/>
                <w:sz w:val="21"/>
                <w:szCs w:val="21"/>
              </w:rPr>
              <w:t>）</w:t>
            </w:r>
          </w:p>
        </w:tc>
      </w:tr>
      <w:tr>
        <w:tblPrEx>
          <w:tblCellMar>
            <w:top w:w="0" w:type="dxa"/>
            <w:left w:w="108" w:type="dxa"/>
            <w:bottom w:w="0" w:type="dxa"/>
            <w:right w:w="108" w:type="dxa"/>
          </w:tblCellMar>
        </w:tblPrEx>
        <w:trPr>
          <w:gridAfter w:val="1"/>
          <w:wAfter w:w="19" w:type="dxa"/>
          <w:cantSplit/>
          <w:trHeight w:val="315" w:hRule="atLeast"/>
        </w:trPr>
        <w:tc>
          <w:tcPr>
            <w:tcW w:w="96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color w:val="auto"/>
                <w:kern w:val="0"/>
                <w:sz w:val="21"/>
                <w:szCs w:val="21"/>
              </w:rPr>
            </w:pPr>
          </w:p>
        </w:tc>
        <w:tc>
          <w:tcPr>
            <w:tcW w:w="3399"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color w:val="auto"/>
                <w:sz w:val="21"/>
                <w:szCs w:val="21"/>
              </w:rPr>
            </w:pPr>
            <w:r>
              <w:rPr>
                <w:rFonts w:hint="eastAsia"/>
                <w:color w:val="auto"/>
                <w:sz w:val="21"/>
                <w:szCs w:val="21"/>
              </w:rPr>
              <w:t>7.5</w:t>
            </w:r>
          </w:p>
        </w:tc>
        <w:tc>
          <w:tcPr>
            <w:tcW w:w="4398" w:type="dxa"/>
            <w:gridSpan w:val="3"/>
            <w:tcBorders>
              <w:top w:val="single" w:color="auto" w:sz="4" w:space="0"/>
              <w:left w:val="nil"/>
              <w:bottom w:val="single" w:color="auto" w:sz="4" w:space="0"/>
              <w:right w:val="single" w:color="auto" w:sz="4" w:space="0"/>
            </w:tcBorders>
            <w:shd w:val="clear" w:color="auto" w:fill="auto"/>
            <w:vAlign w:val="center"/>
          </w:tcPr>
          <w:p>
            <w:pPr>
              <w:jc w:val="center"/>
              <w:rPr>
                <w:color w:val="auto"/>
                <w:sz w:val="21"/>
                <w:szCs w:val="21"/>
              </w:rPr>
            </w:pPr>
            <w:r>
              <w:rPr>
                <w:rFonts w:hint="eastAsia"/>
                <w:color w:val="auto"/>
                <w:sz w:val="21"/>
                <w:szCs w:val="21"/>
              </w:rPr>
              <w:t>0.30</w:t>
            </w:r>
          </w:p>
        </w:tc>
      </w:tr>
    </w:tbl>
    <w:p>
      <w:pPr>
        <w:spacing w:line="360" w:lineRule="auto"/>
        <w:ind w:firstLine="480" w:firstLineChars="200"/>
        <w:rPr>
          <w:color w:val="auto"/>
          <w:sz w:val="24"/>
          <w:szCs w:val="24"/>
        </w:rPr>
      </w:pPr>
      <w:r>
        <w:rPr>
          <w:rFonts w:hint="eastAsia"/>
          <w:color w:val="auto"/>
          <w:sz w:val="24"/>
          <w:szCs w:val="24"/>
        </w:rPr>
        <w:t>根据上表基础数据，算得五华河东绿色生态工业小镇远期2035年总用水量如下表3-2-2~表3-2-3所示。</w:t>
      </w:r>
    </w:p>
    <w:p>
      <w:pPr>
        <w:pStyle w:val="50"/>
        <w:rPr>
          <w:color w:val="auto"/>
        </w:rPr>
      </w:pPr>
      <w:r>
        <w:rPr>
          <w:rFonts w:hint="eastAsia"/>
          <w:color w:val="auto"/>
        </w:rPr>
        <w:t xml:space="preserve">表3-2-2   </w:t>
      </w:r>
      <w:r>
        <w:rPr>
          <w:color w:val="auto"/>
        </w:rPr>
        <w:t>单位用地指标法</w:t>
      </w:r>
      <w:r>
        <w:rPr>
          <w:rFonts w:hint="eastAsia"/>
          <w:color w:val="auto"/>
        </w:rPr>
        <w:t>用水量预测表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4"/>
        <w:gridCol w:w="2409"/>
        <w:gridCol w:w="1701"/>
        <w:gridCol w:w="2269"/>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0" w:hRule="atLeast"/>
          <w:jc w:val="center"/>
        </w:trPr>
        <w:tc>
          <w:tcPr>
            <w:tcW w:w="534" w:type="dxa"/>
            <w:shd w:val="clear" w:color="auto" w:fill="auto"/>
            <w:noWrap/>
            <w:vAlign w:val="center"/>
          </w:tcPr>
          <w:p>
            <w:pPr>
              <w:widowControl/>
              <w:jc w:val="center"/>
              <w:rPr>
                <w:b/>
                <w:color w:val="auto"/>
                <w:kern w:val="0"/>
                <w:sz w:val="21"/>
                <w:szCs w:val="21"/>
              </w:rPr>
            </w:pPr>
            <w:r>
              <w:rPr>
                <w:b/>
                <w:color w:val="auto"/>
                <w:kern w:val="0"/>
                <w:sz w:val="21"/>
                <w:szCs w:val="21"/>
              </w:rPr>
              <w:t>序号</w:t>
            </w:r>
          </w:p>
        </w:tc>
        <w:tc>
          <w:tcPr>
            <w:tcW w:w="2409" w:type="dxa"/>
            <w:shd w:val="clear" w:color="auto" w:fill="auto"/>
            <w:noWrap/>
            <w:vAlign w:val="center"/>
          </w:tcPr>
          <w:p>
            <w:pPr>
              <w:widowControl/>
              <w:jc w:val="center"/>
              <w:rPr>
                <w:b/>
                <w:color w:val="auto"/>
                <w:kern w:val="0"/>
                <w:sz w:val="21"/>
                <w:szCs w:val="21"/>
              </w:rPr>
            </w:pPr>
            <w:r>
              <w:rPr>
                <w:b/>
                <w:color w:val="auto"/>
                <w:kern w:val="0"/>
                <w:sz w:val="21"/>
                <w:szCs w:val="21"/>
              </w:rPr>
              <w:t>用地性质</w:t>
            </w:r>
          </w:p>
        </w:tc>
        <w:tc>
          <w:tcPr>
            <w:tcW w:w="1701" w:type="dxa"/>
            <w:shd w:val="clear" w:color="auto" w:fill="auto"/>
            <w:noWrap/>
            <w:vAlign w:val="center"/>
          </w:tcPr>
          <w:p>
            <w:pPr>
              <w:widowControl/>
              <w:jc w:val="center"/>
              <w:rPr>
                <w:b/>
                <w:color w:val="auto"/>
                <w:kern w:val="0"/>
                <w:sz w:val="21"/>
                <w:szCs w:val="21"/>
              </w:rPr>
            </w:pPr>
            <w:r>
              <w:rPr>
                <w:b/>
                <w:color w:val="auto"/>
                <w:kern w:val="0"/>
                <w:sz w:val="21"/>
                <w:szCs w:val="21"/>
              </w:rPr>
              <w:t>用地面积（hm</w:t>
            </w:r>
            <w:r>
              <w:rPr>
                <w:b/>
                <w:color w:val="auto"/>
                <w:kern w:val="0"/>
                <w:sz w:val="21"/>
                <w:szCs w:val="21"/>
                <w:vertAlign w:val="superscript"/>
              </w:rPr>
              <w:t>2</w:t>
            </w:r>
            <w:r>
              <w:rPr>
                <w:b/>
                <w:color w:val="auto"/>
                <w:kern w:val="0"/>
                <w:sz w:val="21"/>
                <w:szCs w:val="21"/>
              </w:rPr>
              <w:t>）</w:t>
            </w:r>
          </w:p>
        </w:tc>
        <w:tc>
          <w:tcPr>
            <w:tcW w:w="2269" w:type="dxa"/>
            <w:shd w:val="clear" w:color="auto" w:fill="auto"/>
            <w:noWrap/>
            <w:vAlign w:val="center"/>
          </w:tcPr>
          <w:p>
            <w:pPr>
              <w:widowControl/>
              <w:jc w:val="center"/>
              <w:rPr>
                <w:b/>
                <w:color w:val="auto"/>
                <w:kern w:val="0"/>
                <w:sz w:val="21"/>
                <w:szCs w:val="21"/>
              </w:rPr>
            </w:pPr>
            <w:r>
              <w:rPr>
                <w:b/>
                <w:color w:val="auto"/>
                <w:kern w:val="0"/>
                <w:sz w:val="21"/>
                <w:szCs w:val="21"/>
              </w:rPr>
              <w:t>用水指标（m</w:t>
            </w:r>
            <w:r>
              <w:rPr>
                <w:b/>
                <w:color w:val="auto"/>
                <w:kern w:val="0"/>
                <w:sz w:val="21"/>
                <w:szCs w:val="21"/>
                <w:vertAlign w:val="superscript"/>
              </w:rPr>
              <w:t>3</w:t>
            </w:r>
            <w:r>
              <w:rPr>
                <w:b/>
                <w:color w:val="auto"/>
                <w:kern w:val="0"/>
                <w:sz w:val="21"/>
                <w:szCs w:val="21"/>
              </w:rPr>
              <w:t>/ hm</w:t>
            </w:r>
            <w:r>
              <w:rPr>
                <w:b/>
                <w:color w:val="auto"/>
                <w:kern w:val="0"/>
                <w:sz w:val="21"/>
                <w:szCs w:val="21"/>
                <w:vertAlign w:val="superscript"/>
              </w:rPr>
              <w:t>2</w:t>
            </w:r>
            <w:r>
              <w:rPr>
                <w:b/>
                <w:color w:val="auto"/>
                <w:kern w:val="0"/>
                <w:sz w:val="21"/>
                <w:szCs w:val="21"/>
              </w:rPr>
              <w:t>·d）</w:t>
            </w:r>
          </w:p>
        </w:tc>
        <w:tc>
          <w:tcPr>
            <w:tcW w:w="1609" w:type="dxa"/>
            <w:shd w:val="clear" w:color="auto" w:fill="auto"/>
            <w:noWrap/>
            <w:vAlign w:val="center"/>
          </w:tcPr>
          <w:p>
            <w:pPr>
              <w:widowControl/>
              <w:jc w:val="center"/>
              <w:rPr>
                <w:b/>
                <w:color w:val="auto"/>
                <w:kern w:val="0"/>
                <w:sz w:val="21"/>
                <w:szCs w:val="21"/>
              </w:rPr>
            </w:pPr>
            <w:r>
              <w:rPr>
                <w:b/>
                <w:color w:val="auto"/>
                <w:kern w:val="0"/>
                <w:sz w:val="21"/>
                <w:szCs w:val="21"/>
              </w:rPr>
              <w:t>用水量（m</w:t>
            </w:r>
            <w:r>
              <w:rPr>
                <w:b/>
                <w:color w:val="auto"/>
                <w:kern w:val="0"/>
                <w:sz w:val="21"/>
                <w:szCs w:val="21"/>
                <w:vertAlign w:val="superscript"/>
              </w:rPr>
              <w:t>3</w:t>
            </w:r>
            <w:r>
              <w:rPr>
                <w:b/>
                <w:color w:val="auto"/>
                <w:kern w:val="0"/>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1</w:t>
            </w:r>
          </w:p>
        </w:tc>
        <w:tc>
          <w:tcPr>
            <w:tcW w:w="2409" w:type="dxa"/>
            <w:shd w:val="clear" w:color="auto" w:fill="auto"/>
            <w:noWrap/>
            <w:vAlign w:val="center"/>
          </w:tcPr>
          <w:p>
            <w:pPr>
              <w:jc w:val="center"/>
              <w:rPr>
                <w:color w:val="auto"/>
                <w:sz w:val="21"/>
                <w:szCs w:val="21"/>
              </w:rPr>
            </w:pPr>
            <w:r>
              <w:rPr>
                <w:rFonts w:hint="eastAsia"/>
                <w:color w:val="auto"/>
                <w:sz w:val="21"/>
                <w:szCs w:val="21"/>
              </w:rPr>
              <w:t>公共管理与公共服务用地</w:t>
            </w:r>
          </w:p>
        </w:tc>
        <w:tc>
          <w:tcPr>
            <w:tcW w:w="1701" w:type="dxa"/>
            <w:shd w:val="clear" w:color="auto" w:fill="auto"/>
            <w:noWrap/>
            <w:vAlign w:val="center"/>
          </w:tcPr>
          <w:p>
            <w:pPr>
              <w:jc w:val="center"/>
              <w:rPr>
                <w:color w:val="auto"/>
                <w:sz w:val="21"/>
                <w:szCs w:val="21"/>
              </w:rPr>
            </w:pPr>
            <w:r>
              <w:rPr>
                <w:color w:val="auto"/>
                <w:sz w:val="21"/>
                <w:szCs w:val="21"/>
              </w:rPr>
              <w:t>24.85</w:t>
            </w:r>
          </w:p>
        </w:tc>
        <w:tc>
          <w:tcPr>
            <w:tcW w:w="2269" w:type="dxa"/>
            <w:shd w:val="clear" w:color="auto" w:fill="auto"/>
            <w:noWrap/>
            <w:vAlign w:val="center"/>
          </w:tcPr>
          <w:p>
            <w:pPr>
              <w:jc w:val="center"/>
              <w:rPr>
                <w:color w:val="auto"/>
                <w:sz w:val="21"/>
                <w:szCs w:val="21"/>
              </w:rPr>
            </w:pPr>
            <w:r>
              <w:rPr>
                <w:color w:val="auto"/>
                <w:sz w:val="21"/>
                <w:szCs w:val="21"/>
              </w:rPr>
              <w:t>50</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1242.5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2</w:t>
            </w:r>
          </w:p>
        </w:tc>
        <w:tc>
          <w:tcPr>
            <w:tcW w:w="2409" w:type="dxa"/>
            <w:shd w:val="clear" w:color="auto" w:fill="auto"/>
            <w:noWrap/>
            <w:vAlign w:val="center"/>
          </w:tcPr>
          <w:p>
            <w:pPr>
              <w:jc w:val="center"/>
              <w:rPr>
                <w:color w:val="auto"/>
                <w:sz w:val="21"/>
                <w:szCs w:val="21"/>
              </w:rPr>
            </w:pPr>
            <w:r>
              <w:rPr>
                <w:rFonts w:hint="eastAsia"/>
                <w:color w:val="auto"/>
                <w:sz w:val="21"/>
                <w:szCs w:val="21"/>
              </w:rPr>
              <w:t>商业服务设施用地</w:t>
            </w:r>
          </w:p>
        </w:tc>
        <w:tc>
          <w:tcPr>
            <w:tcW w:w="1701" w:type="dxa"/>
            <w:shd w:val="clear" w:color="auto" w:fill="auto"/>
            <w:noWrap/>
            <w:vAlign w:val="center"/>
          </w:tcPr>
          <w:p>
            <w:pPr>
              <w:jc w:val="center"/>
              <w:rPr>
                <w:color w:val="auto"/>
                <w:sz w:val="21"/>
                <w:szCs w:val="21"/>
              </w:rPr>
            </w:pPr>
            <w:r>
              <w:rPr>
                <w:color w:val="auto"/>
                <w:sz w:val="21"/>
                <w:szCs w:val="21"/>
              </w:rPr>
              <w:t>148.04</w:t>
            </w:r>
          </w:p>
        </w:tc>
        <w:tc>
          <w:tcPr>
            <w:tcW w:w="2269" w:type="dxa"/>
            <w:shd w:val="clear" w:color="auto" w:fill="auto"/>
            <w:noWrap/>
            <w:vAlign w:val="center"/>
          </w:tcPr>
          <w:p>
            <w:pPr>
              <w:jc w:val="center"/>
              <w:rPr>
                <w:color w:val="auto"/>
                <w:sz w:val="21"/>
                <w:szCs w:val="21"/>
              </w:rPr>
            </w:pPr>
            <w:r>
              <w:rPr>
                <w:color w:val="auto"/>
                <w:sz w:val="21"/>
                <w:szCs w:val="21"/>
              </w:rPr>
              <w:t>40</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5921.6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3</w:t>
            </w:r>
          </w:p>
        </w:tc>
        <w:tc>
          <w:tcPr>
            <w:tcW w:w="2409" w:type="dxa"/>
            <w:shd w:val="clear" w:color="auto" w:fill="auto"/>
            <w:noWrap/>
            <w:vAlign w:val="center"/>
          </w:tcPr>
          <w:p>
            <w:pPr>
              <w:jc w:val="center"/>
              <w:rPr>
                <w:color w:val="auto"/>
                <w:sz w:val="21"/>
                <w:szCs w:val="21"/>
              </w:rPr>
            </w:pPr>
            <w:r>
              <w:rPr>
                <w:rFonts w:hint="eastAsia"/>
                <w:color w:val="auto"/>
                <w:sz w:val="21"/>
                <w:szCs w:val="21"/>
              </w:rPr>
              <w:t>居住用地</w:t>
            </w:r>
          </w:p>
        </w:tc>
        <w:tc>
          <w:tcPr>
            <w:tcW w:w="1701" w:type="dxa"/>
            <w:shd w:val="clear" w:color="auto" w:fill="auto"/>
            <w:noWrap/>
            <w:vAlign w:val="center"/>
          </w:tcPr>
          <w:p>
            <w:pPr>
              <w:jc w:val="center"/>
              <w:rPr>
                <w:color w:val="auto"/>
                <w:sz w:val="21"/>
                <w:szCs w:val="21"/>
              </w:rPr>
            </w:pPr>
            <w:r>
              <w:rPr>
                <w:color w:val="auto"/>
                <w:sz w:val="21"/>
                <w:szCs w:val="21"/>
              </w:rPr>
              <w:t>161.56</w:t>
            </w:r>
          </w:p>
        </w:tc>
        <w:tc>
          <w:tcPr>
            <w:tcW w:w="2269" w:type="dxa"/>
            <w:shd w:val="clear" w:color="auto" w:fill="auto"/>
            <w:noWrap/>
            <w:vAlign w:val="center"/>
          </w:tcPr>
          <w:p>
            <w:pPr>
              <w:jc w:val="center"/>
              <w:rPr>
                <w:color w:val="auto"/>
                <w:sz w:val="21"/>
                <w:szCs w:val="21"/>
              </w:rPr>
            </w:pPr>
            <w:r>
              <w:rPr>
                <w:color w:val="auto"/>
                <w:sz w:val="21"/>
                <w:szCs w:val="21"/>
              </w:rPr>
              <w:t>50</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8078.0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4</w:t>
            </w:r>
          </w:p>
        </w:tc>
        <w:tc>
          <w:tcPr>
            <w:tcW w:w="2409" w:type="dxa"/>
            <w:shd w:val="clear" w:color="auto" w:fill="auto"/>
            <w:noWrap/>
            <w:vAlign w:val="center"/>
          </w:tcPr>
          <w:p>
            <w:pPr>
              <w:jc w:val="center"/>
              <w:rPr>
                <w:color w:val="auto"/>
                <w:sz w:val="21"/>
                <w:szCs w:val="21"/>
              </w:rPr>
            </w:pPr>
            <w:r>
              <w:rPr>
                <w:rFonts w:hint="eastAsia"/>
                <w:color w:val="auto"/>
                <w:sz w:val="21"/>
                <w:szCs w:val="21"/>
              </w:rPr>
              <w:t>绿地与广场用地</w:t>
            </w:r>
          </w:p>
        </w:tc>
        <w:tc>
          <w:tcPr>
            <w:tcW w:w="1701" w:type="dxa"/>
            <w:shd w:val="clear" w:color="auto" w:fill="auto"/>
            <w:noWrap/>
            <w:vAlign w:val="center"/>
          </w:tcPr>
          <w:p>
            <w:pPr>
              <w:jc w:val="center"/>
              <w:rPr>
                <w:color w:val="auto"/>
                <w:sz w:val="21"/>
                <w:szCs w:val="21"/>
              </w:rPr>
            </w:pPr>
            <w:r>
              <w:rPr>
                <w:color w:val="auto"/>
                <w:sz w:val="21"/>
                <w:szCs w:val="21"/>
              </w:rPr>
              <w:t>190.06</w:t>
            </w:r>
          </w:p>
        </w:tc>
        <w:tc>
          <w:tcPr>
            <w:tcW w:w="2269" w:type="dxa"/>
            <w:shd w:val="clear" w:color="auto" w:fill="auto"/>
            <w:noWrap/>
            <w:vAlign w:val="center"/>
          </w:tcPr>
          <w:p>
            <w:pPr>
              <w:jc w:val="center"/>
              <w:rPr>
                <w:color w:val="auto"/>
                <w:sz w:val="21"/>
                <w:szCs w:val="21"/>
              </w:rPr>
            </w:pPr>
            <w:r>
              <w:rPr>
                <w:color w:val="auto"/>
                <w:sz w:val="21"/>
                <w:szCs w:val="21"/>
              </w:rPr>
              <w:t>15</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2850.9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5</w:t>
            </w:r>
          </w:p>
        </w:tc>
        <w:tc>
          <w:tcPr>
            <w:tcW w:w="2409" w:type="dxa"/>
            <w:shd w:val="clear" w:color="auto" w:fill="auto"/>
            <w:noWrap/>
            <w:vAlign w:val="center"/>
          </w:tcPr>
          <w:p>
            <w:pPr>
              <w:jc w:val="center"/>
              <w:rPr>
                <w:color w:val="auto"/>
                <w:sz w:val="21"/>
                <w:szCs w:val="21"/>
              </w:rPr>
            </w:pPr>
            <w:r>
              <w:rPr>
                <w:rFonts w:hint="eastAsia"/>
                <w:color w:val="auto"/>
                <w:sz w:val="21"/>
                <w:szCs w:val="21"/>
              </w:rPr>
              <w:t>道路与交通设施用地</w:t>
            </w:r>
          </w:p>
        </w:tc>
        <w:tc>
          <w:tcPr>
            <w:tcW w:w="1701" w:type="dxa"/>
            <w:shd w:val="clear" w:color="auto" w:fill="auto"/>
            <w:noWrap/>
            <w:vAlign w:val="center"/>
          </w:tcPr>
          <w:p>
            <w:pPr>
              <w:jc w:val="center"/>
              <w:rPr>
                <w:color w:val="auto"/>
                <w:sz w:val="21"/>
                <w:szCs w:val="21"/>
              </w:rPr>
            </w:pPr>
            <w:r>
              <w:rPr>
                <w:color w:val="auto"/>
                <w:sz w:val="21"/>
                <w:szCs w:val="21"/>
              </w:rPr>
              <w:t>202.03</w:t>
            </w:r>
          </w:p>
        </w:tc>
        <w:tc>
          <w:tcPr>
            <w:tcW w:w="2269" w:type="dxa"/>
            <w:shd w:val="clear" w:color="auto" w:fill="auto"/>
            <w:noWrap/>
            <w:vAlign w:val="center"/>
          </w:tcPr>
          <w:p>
            <w:pPr>
              <w:jc w:val="center"/>
              <w:rPr>
                <w:color w:val="auto"/>
                <w:sz w:val="21"/>
                <w:szCs w:val="21"/>
              </w:rPr>
            </w:pPr>
            <w:r>
              <w:rPr>
                <w:color w:val="auto"/>
                <w:sz w:val="21"/>
                <w:szCs w:val="21"/>
              </w:rPr>
              <w:t>20</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4040.6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6</w:t>
            </w:r>
          </w:p>
        </w:tc>
        <w:tc>
          <w:tcPr>
            <w:tcW w:w="2409" w:type="dxa"/>
            <w:shd w:val="clear" w:color="auto" w:fill="auto"/>
            <w:noWrap/>
            <w:vAlign w:val="center"/>
          </w:tcPr>
          <w:p>
            <w:pPr>
              <w:jc w:val="center"/>
              <w:rPr>
                <w:color w:val="auto"/>
                <w:sz w:val="21"/>
                <w:szCs w:val="21"/>
              </w:rPr>
            </w:pPr>
            <w:r>
              <w:rPr>
                <w:rFonts w:hint="eastAsia"/>
                <w:color w:val="auto"/>
                <w:sz w:val="21"/>
                <w:szCs w:val="21"/>
              </w:rPr>
              <w:t>公用设施用地</w:t>
            </w:r>
          </w:p>
        </w:tc>
        <w:tc>
          <w:tcPr>
            <w:tcW w:w="1701" w:type="dxa"/>
            <w:shd w:val="clear" w:color="auto" w:fill="auto"/>
            <w:noWrap/>
            <w:vAlign w:val="center"/>
          </w:tcPr>
          <w:p>
            <w:pPr>
              <w:jc w:val="center"/>
              <w:rPr>
                <w:color w:val="auto"/>
                <w:sz w:val="21"/>
                <w:szCs w:val="21"/>
              </w:rPr>
            </w:pPr>
            <w:r>
              <w:rPr>
                <w:color w:val="auto"/>
                <w:sz w:val="21"/>
                <w:szCs w:val="21"/>
              </w:rPr>
              <w:t>31.31</w:t>
            </w:r>
          </w:p>
        </w:tc>
        <w:tc>
          <w:tcPr>
            <w:tcW w:w="2269" w:type="dxa"/>
            <w:shd w:val="clear" w:color="auto" w:fill="auto"/>
            <w:noWrap/>
            <w:vAlign w:val="center"/>
          </w:tcPr>
          <w:p>
            <w:pPr>
              <w:jc w:val="center"/>
              <w:rPr>
                <w:color w:val="auto"/>
                <w:sz w:val="21"/>
                <w:szCs w:val="21"/>
              </w:rPr>
            </w:pPr>
            <w:r>
              <w:rPr>
                <w:color w:val="auto"/>
                <w:sz w:val="21"/>
                <w:szCs w:val="21"/>
              </w:rPr>
              <w:t>25</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782.8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7</w:t>
            </w:r>
          </w:p>
        </w:tc>
        <w:tc>
          <w:tcPr>
            <w:tcW w:w="2409" w:type="dxa"/>
            <w:shd w:val="clear" w:color="auto" w:fill="auto"/>
            <w:noWrap/>
            <w:vAlign w:val="center"/>
          </w:tcPr>
          <w:p>
            <w:pPr>
              <w:jc w:val="center"/>
              <w:rPr>
                <w:color w:val="auto"/>
                <w:sz w:val="21"/>
                <w:szCs w:val="21"/>
              </w:rPr>
            </w:pPr>
            <w:r>
              <w:rPr>
                <w:rFonts w:hint="eastAsia"/>
                <w:color w:val="auto"/>
                <w:sz w:val="21"/>
                <w:szCs w:val="21"/>
              </w:rPr>
              <w:t>工业用地</w:t>
            </w:r>
          </w:p>
        </w:tc>
        <w:tc>
          <w:tcPr>
            <w:tcW w:w="1701" w:type="dxa"/>
            <w:shd w:val="clear" w:color="auto" w:fill="auto"/>
            <w:noWrap/>
            <w:vAlign w:val="center"/>
          </w:tcPr>
          <w:p>
            <w:pPr>
              <w:jc w:val="center"/>
              <w:rPr>
                <w:color w:val="auto"/>
                <w:sz w:val="21"/>
                <w:szCs w:val="21"/>
              </w:rPr>
            </w:pPr>
            <w:r>
              <w:rPr>
                <w:color w:val="auto"/>
                <w:sz w:val="21"/>
                <w:szCs w:val="21"/>
              </w:rPr>
              <w:t>742.84</w:t>
            </w:r>
          </w:p>
        </w:tc>
        <w:tc>
          <w:tcPr>
            <w:tcW w:w="2269" w:type="dxa"/>
            <w:shd w:val="clear" w:color="auto" w:fill="auto"/>
            <w:noWrap/>
            <w:vAlign w:val="center"/>
          </w:tcPr>
          <w:p>
            <w:pPr>
              <w:jc w:val="center"/>
              <w:rPr>
                <w:color w:val="auto"/>
                <w:sz w:val="21"/>
                <w:szCs w:val="21"/>
              </w:rPr>
            </w:pPr>
            <w:r>
              <w:rPr>
                <w:color w:val="auto"/>
                <w:sz w:val="21"/>
                <w:szCs w:val="21"/>
              </w:rPr>
              <w:t>75</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55713.0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color w:val="auto"/>
                <w:kern w:val="0"/>
                <w:sz w:val="21"/>
                <w:szCs w:val="21"/>
              </w:rPr>
              <w:t>8</w:t>
            </w:r>
          </w:p>
        </w:tc>
        <w:tc>
          <w:tcPr>
            <w:tcW w:w="2409" w:type="dxa"/>
            <w:shd w:val="clear" w:color="auto" w:fill="auto"/>
            <w:noWrap/>
            <w:vAlign w:val="center"/>
          </w:tcPr>
          <w:p>
            <w:pPr>
              <w:jc w:val="center"/>
              <w:rPr>
                <w:color w:val="auto"/>
                <w:sz w:val="21"/>
                <w:szCs w:val="21"/>
              </w:rPr>
            </w:pPr>
            <w:r>
              <w:rPr>
                <w:rFonts w:hint="eastAsia"/>
                <w:color w:val="auto"/>
                <w:sz w:val="21"/>
                <w:szCs w:val="21"/>
              </w:rPr>
              <w:t>物流仓储用地</w:t>
            </w:r>
          </w:p>
        </w:tc>
        <w:tc>
          <w:tcPr>
            <w:tcW w:w="1701" w:type="dxa"/>
            <w:shd w:val="clear" w:color="auto" w:fill="auto"/>
            <w:noWrap/>
            <w:vAlign w:val="center"/>
          </w:tcPr>
          <w:p>
            <w:pPr>
              <w:jc w:val="center"/>
              <w:rPr>
                <w:color w:val="auto"/>
                <w:sz w:val="21"/>
                <w:szCs w:val="21"/>
              </w:rPr>
            </w:pPr>
            <w:r>
              <w:rPr>
                <w:color w:val="auto"/>
                <w:sz w:val="21"/>
                <w:szCs w:val="21"/>
              </w:rPr>
              <w:t>67.60</w:t>
            </w:r>
          </w:p>
        </w:tc>
        <w:tc>
          <w:tcPr>
            <w:tcW w:w="2269" w:type="dxa"/>
            <w:shd w:val="clear" w:color="auto" w:fill="auto"/>
            <w:noWrap/>
            <w:vAlign w:val="center"/>
          </w:tcPr>
          <w:p>
            <w:pPr>
              <w:jc w:val="center"/>
              <w:rPr>
                <w:color w:val="auto"/>
                <w:sz w:val="21"/>
                <w:szCs w:val="21"/>
              </w:rPr>
            </w:pPr>
            <w:r>
              <w:rPr>
                <w:color w:val="auto"/>
                <w:sz w:val="21"/>
                <w:szCs w:val="21"/>
              </w:rPr>
              <w:t>25</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1690.0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rFonts w:hint="eastAsia"/>
                <w:color w:val="auto"/>
                <w:kern w:val="0"/>
                <w:sz w:val="21"/>
                <w:szCs w:val="21"/>
              </w:rPr>
              <w:t>9</w:t>
            </w:r>
          </w:p>
        </w:tc>
        <w:tc>
          <w:tcPr>
            <w:tcW w:w="4110" w:type="dxa"/>
            <w:gridSpan w:val="2"/>
            <w:shd w:val="clear" w:color="auto" w:fill="auto"/>
            <w:noWrap/>
            <w:vAlign w:val="center"/>
          </w:tcPr>
          <w:p>
            <w:pPr>
              <w:widowControl/>
              <w:jc w:val="center"/>
              <w:rPr>
                <w:color w:val="auto"/>
                <w:kern w:val="0"/>
                <w:sz w:val="21"/>
                <w:szCs w:val="21"/>
              </w:rPr>
            </w:pPr>
            <w:r>
              <w:rPr>
                <w:color w:val="auto"/>
                <w:kern w:val="0"/>
                <w:sz w:val="21"/>
                <w:szCs w:val="21"/>
              </w:rPr>
              <w:t>未预见</w:t>
            </w:r>
            <w:r>
              <w:rPr>
                <w:rFonts w:hint="eastAsia"/>
                <w:color w:val="auto"/>
                <w:kern w:val="0"/>
                <w:sz w:val="21"/>
                <w:szCs w:val="21"/>
              </w:rPr>
              <w:t>用</w:t>
            </w:r>
            <w:r>
              <w:rPr>
                <w:color w:val="auto"/>
                <w:kern w:val="0"/>
                <w:sz w:val="21"/>
                <w:szCs w:val="21"/>
              </w:rPr>
              <w:t>水量</w:t>
            </w:r>
          </w:p>
        </w:tc>
        <w:tc>
          <w:tcPr>
            <w:tcW w:w="2269" w:type="dxa"/>
            <w:shd w:val="clear" w:color="auto" w:fill="auto"/>
            <w:noWrap/>
            <w:vAlign w:val="center"/>
          </w:tcPr>
          <w:p>
            <w:pPr>
              <w:widowControl/>
              <w:jc w:val="center"/>
              <w:rPr>
                <w:color w:val="auto"/>
                <w:kern w:val="0"/>
                <w:sz w:val="21"/>
                <w:szCs w:val="21"/>
              </w:rPr>
            </w:pPr>
            <w:r>
              <w:rPr>
                <w:color w:val="auto"/>
                <w:kern w:val="0"/>
                <w:sz w:val="21"/>
                <w:szCs w:val="21"/>
              </w:rPr>
              <w:t>按用水量10%计算</w:t>
            </w:r>
          </w:p>
        </w:tc>
        <w:tc>
          <w:tcPr>
            <w:tcW w:w="1609" w:type="dxa"/>
            <w:shd w:val="clear" w:color="auto" w:fill="auto"/>
            <w:noWrap/>
            <w:vAlign w:val="center"/>
          </w:tcPr>
          <w:p>
            <w:pPr>
              <w:jc w:val="center"/>
              <w:rPr>
                <w:rFonts w:ascii="宋体" w:hAnsi="宋体" w:cs="宋体"/>
                <w:color w:val="auto"/>
                <w:sz w:val="21"/>
                <w:szCs w:val="21"/>
              </w:rPr>
            </w:pPr>
            <w:r>
              <w:rPr>
                <w:rFonts w:hint="eastAsia"/>
                <w:color w:val="auto"/>
                <w:sz w:val="21"/>
                <w:szCs w:val="21"/>
              </w:rPr>
              <w:t>8031.9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5" w:hRule="atLeast"/>
          <w:jc w:val="center"/>
        </w:trPr>
        <w:tc>
          <w:tcPr>
            <w:tcW w:w="534" w:type="dxa"/>
            <w:shd w:val="clear" w:color="auto" w:fill="auto"/>
            <w:noWrap/>
            <w:vAlign w:val="center"/>
          </w:tcPr>
          <w:p>
            <w:pPr>
              <w:widowControl/>
              <w:jc w:val="center"/>
              <w:rPr>
                <w:color w:val="auto"/>
                <w:kern w:val="0"/>
                <w:sz w:val="21"/>
                <w:szCs w:val="21"/>
              </w:rPr>
            </w:pPr>
            <w:r>
              <w:rPr>
                <w:rFonts w:hint="eastAsia"/>
                <w:color w:val="auto"/>
                <w:kern w:val="0"/>
                <w:sz w:val="21"/>
                <w:szCs w:val="21"/>
              </w:rPr>
              <w:t>10</w:t>
            </w:r>
          </w:p>
        </w:tc>
        <w:tc>
          <w:tcPr>
            <w:tcW w:w="6379" w:type="dxa"/>
            <w:gridSpan w:val="3"/>
            <w:shd w:val="clear" w:color="auto" w:fill="auto"/>
            <w:noWrap/>
            <w:vAlign w:val="center"/>
          </w:tcPr>
          <w:p>
            <w:pPr>
              <w:widowControl/>
              <w:jc w:val="center"/>
              <w:rPr>
                <w:color w:val="auto"/>
                <w:kern w:val="0"/>
                <w:sz w:val="21"/>
                <w:szCs w:val="21"/>
              </w:rPr>
            </w:pPr>
            <w:r>
              <w:rPr>
                <w:color w:val="auto"/>
                <w:kern w:val="0"/>
                <w:sz w:val="21"/>
                <w:szCs w:val="21"/>
              </w:rPr>
              <w:t>合计</w:t>
            </w:r>
          </w:p>
        </w:tc>
        <w:tc>
          <w:tcPr>
            <w:tcW w:w="1609" w:type="dxa"/>
            <w:shd w:val="clear" w:color="auto" w:fill="auto"/>
            <w:noWrap/>
            <w:vAlign w:val="center"/>
          </w:tcPr>
          <w:p>
            <w:pPr>
              <w:jc w:val="center"/>
              <w:rPr>
                <w:rFonts w:ascii="宋体" w:hAnsi="宋体" w:cs="宋体"/>
                <w:b/>
                <w:color w:val="auto"/>
                <w:sz w:val="21"/>
                <w:szCs w:val="21"/>
              </w:rPr>
            </w:pPr>
            <w:r>
              <w:rPr>
                <w:rFonts w:hint="eastAsia"/>
                <w:b/>
                <w:color w:val="auto"/>
                <w:sz w:val="21"/>
                <w:szCs w:val="21"/>
              </w:rPr>
              <w:t>88351.3</w:t>
            </w:r>
          </w:p>
        </w:tc>
      </w:tr>
    </w:tbl>
    <w:p>
      <w:pPr>
        <w:pStyle w:val="50"/>
        <w:rPr>
          <w:color w:val="auto"/>
        </w:rPr>
      </w:pPr>
      <w:r>
        <w:rPr>
          <w:rFonts w:hint="eastAsia"/>
          <w:color w:val="auto"/>
        </w:rPr>
        <w:t>表3-2-3   人均</w:t>
      </w:r>
      <w:r>
        <w:rPr>
          <w:color w:val="auto"/>
        </w:rPr>
        <w:t>综合指标法</w:t>
      </w:r>
      <w:r>
        <w:rPr>
          <w:rFonts w:hint="eastAsia"/>
          <w:color w:val="auto"/>
        </w:rPr>
        <w:t>用水量预测表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11"/>
        <w:gridCol w:w="3653"/>
        <w:gridCol w:w="1909"/>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blHeader/>
          <w:jc w:val="center"/>
        </w:trPr>
        <w:tc>
          <w:tcPr>
            <w:tcW w:w="1211" w:type="dxa"/>
            <w:shd w:val="clear" w:color="auto" w:fill="auto"/>
            <w:noWrap/>
            <w:vAlign w:val="center"/>
          </w:tcPr>
          <w:p>
            <w:pPr>
              <w:widowControl/>
              <w:jc w:val="center"/>
              <w:rPr>
                <w:rFonts w:eastAsiaTheme="minorEastAsia"/>
                <w:b/>
                <w:color w:val="auto"/>
                <w:kern w:val="0"/>
                <w:sz w:val="21"/>
                <w:szCs w:val="21"/>
              </w:rPr>
            </w:pPr>
            <w:r>
              <w:rPr>
                <w:rFonts w:eastAsiaTheme="minorEastAsia"/>
                <w:b/>
                <w:color w:val="auto"/>
                <w:kern w:val="0"/>
                <w:sz w:val="21"/>
                <w:szCs w:val="21"/>
              </w:rPr>
              <w:t>序号</w:t>
            </w:r>
          </w:p>
        </w:tc>
        <w:tc>
          <w:tcPr>
            <w:tcW w:w="3653" w:type="dxa"/>
            <w:shd w:val="clear" w:color="auto" w:fill="auto"/>
            <w:noWrap/>
            <w:vAlign w:val="center"/>
          </w:tcPr>
          <w:p>
            <w:pPr>
              <w:widowControl/>
              <w:jc w:val="center"/>
              <w:rPr>
                <w:rFonts w:eastAsiaTheme="minorEastAsia"/>
                <w:b/>
                <w:color w:val="auto"/>
                <w:kern w:val="0"/>
                <w:sz w:val="21"/>
                <w:szCs w:val="21"/>
              </w:rPr>
            </w:pPr>
            <w:r>
              <w:rPr>
                <w:rFonts w:eastAsiaTheme="minorEastAsia"/>
                <w:b/>
                <w:color w:val="auto"/>
                <w:kern w:val="0"/>
                <w:sz w:val="21"/>
                <w:szCs w:val="21"/>
              </w:rPr>
              <w:t>项目</w:t>
            </w:r>
          </w:p>
        </w:tc>
        <w:tc>
          <w:tcPr>
            <w:tcW w:w="1909" w:type="dxa"/>
            <w:shd w:val="clear" w:color="auto" w:fill="auto"/>
            <w:noWrap/>
            <w:vAlign w:val="center"/>
          </w:tcPr>
          <w:p>
            <w:pPr>
              <w:widowControl/>
              <w:jc w:val="center"/>
              <w:rPr>
                <w:rFonts w:eastAsiaTheme="minorEastAsia"/>
                <w:b/>
                <w:color w:val="auto"/>
                <w:kern w:val="0"/>
                <w:sz w:val="21"/>
                <w:szCs w:val="21"/>
              </w:rPr>
            </w:pPr>
            <w:r>
              <w:rPr>
                <w:rFonts w:eastAsiaTheme="minorEastAsia"/>
                <w:b/>
                <w:color w:val="auto"/>
                <w:kern w:val="0"/>
                <w:sz w:val="21"/>
                <w:szCs w:val="21"/>
              </w:rPr>
              <w:t>单位</w:t>
            </w:r>
          </w:p>
        </w:tc>
        <w:tc>
          <w:tcPr>
            <w:tcW w:w="1749" w:type="dxa"/>
            <w:shd w:val="clear" w:color="auto" w:fill="auto"/>
            <w:noWrap/>
            <w:vAlign w:val="center"/>
          </w:tcPr>
          <w:p>
            <w:pPr>
              <w:widowControl/>
              <w:jc w:val="center"/>
              <w:rPr>
                <w:rFonts w:eastAsiaTheme="minorEastAsia"/>
                <w:b/>
                <w:color w:val="auto"/>
                <w:kern w:val="0"/>
                <w:sz w:val="21"/>
                <w:szCs w:val="21"/>
              </w:rPr>
            </w:pPr>
            <w:r>
              <w:rPr>
                <w:rFonts w:hint="eastAsia" w:eastAsiaTheme="minorEastAsia"/>
                <w:b/>
                <w:color w:val="auto"/>
                <w:kern w:val="0"/>
                <w:sz w:val="21"/>
                <w:szCs w:val="21"/>
              </w:rPr>
              <w:t>预测量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1</w:t>
            </w:r>
          </w:p>
        </w:tc>
        <w:tc>
          <w:tcPr>
            <w:tcW w:w="3653"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服务人口</w:t>
            </w:r>
          </w:p>
        </w:tc>
        <w:tc>
          <w:tcPr>
            <w:tcW w:w="1909"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万人</w:t>
            </w:r>
          </w:p>
        </w:tc>
        <w:tc>
          <w:tcPr>
            <w:tcW w:w="174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2</w:t>
            </w:r>
          </w:p>
        </w:tc>
        <w:tc>
          <w:tcPr>
            <w:tcW w:w="3653"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城市单位人口综合用水量指标</w:t>
            </w:r>
          </w:p>
        </w:tc>
        <w:tc>
          <w:tcPr>
            <w:tcW w:w="1909"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万m</w:t>
            </w:r>
            <w:r>
              <w:rPr>
                <w:rFonts w:eastAsiaTheme="minorEastAsia"/>
                <w:color w:val="auto"/>
                <w:kern w:val="0"/>
                <w:sz w:val="21"/>
                <w:szCs w:val="21"/>
                <w:vertAlign w:val="superscript"/>
              </w:rPr>
              <w:t>3</w:t>
            </w:r>
            <w:r>
              <w:rPr>
                <w:rFonts w:eastAsiaTheme="minorEastAsia"/>
                <w:color w:val="auto"/>
                <w:kern w:val="0"/>
                <w:sz w:val="21"/>
                <w:szCs w:val="21"/>
              </w:rPr>
              <w:t>/万人d</w:t>
            </w:r>
          </w:p>
        </w:tc>
        <w:tc>
          <w:tcPr>
            <w:tcW w:w="174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3</w:t>
            </w:r>
          </w:p>
        </w:tc>
        <w:tc>
          <w:tcPr>
            <w:tcW w:w="3653"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城市综合用水量（最高日）</w:t>
            </w:r>
          </w:p>
        </w:tc>
        <w:tc>
          <w:tcPr>
            <w:tcW w:w="1909"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万m</w:t>
            </w:r>
            <w:r>
              <w:rPr>
                <w:rFonts w:eastAsiaTheme="minorEastAsia"/>
                <w:color w:val="auto"/>
                <w:kern w:val="0"/>
                <w:sz w:val="21"/>
                <w:szCs w:val="21"/>
                <w:vertAlign w:val="superscript"/>
              </w:rPr>
              <w:t>3</w:t>
            </w:r>
            <w:r>
              <w:rPr>
                <w:rFonts w:eastAsiaTheme="minorEastAsia"/>
                <w:color w:val="auto"/>
                <w:kern w:val="0"/>
                <w:sz w:val="21"/>
                <w:szCs w:val="21"/>
              </w:rPr>
              <w:t>/d</w:t>
            </w:r>
          </w:p>
        </w:tc>
        <w:tc>
          <w:tcPr>
            <w:tcW w:w="174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4</w:t>
            </w:r>
          </w:p>
        </w:tc>
        <w:tc>
          <w:tcPr>
            <w:tcW w:w="3653"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工业用水量（</w:t>
            </w:r>
            <w:r>
              <w:rPr>
                <w:rFonts w:eastAsiaTheme="minorEastAsia"/>
                <w:color w:val="auto"/>
                <w:kern w:val="0"/>
                <w:sz w:val="21"/>
                <w:szCs w:val="21"/>
              </w:rPr>
              <w:t>最高日</w:t>
            </w:r>
            <w:r>
              <w:rPr>
                <w:rFonts w:hint="eastAsia" w:eastAsiaTheme="minorEastAsia"/>
                <w:color w:val="auto"/>
                <w:kern w:val="0"/>
                <w:sz w:val="21"/>
                <w:szCs w:val="21"/>
              </w:rPr>
              <w:t>）</w:t>
            </w:r>
          </w:p>
        </w:tc>
        <w:tc>
          <w:tcPr>
            <w:tcW w:w="1909"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万m</w:t>
            </w:r>
            <w:r>
              <w:rPr>
                <w:rFonts w:eastAsiaTheme="minorEastAsia"/>
                <w:color w:val="auto"/>
                <w:kern w:val="0"/>
                <w:sz w:val="21"/>
                <w:szCs w:val="21"/>
                <w:vertAlign w:val="superscript"/>
              </w:rPr>
              <w:t>3</w:t>
            </w:r>
            <w:r>
              <w:rPr>
                <w:rFonts w:eastAsiaTheme="minorEastAsia"/>
                <w:color w:val="auto"/>
                <w:kern w:val="0"/>
                <w:sz w:val="21"/>
                <w:szCs w:val="21"/>
              </w:rPr>
              <w:t>/d</w:t>
            </w:r>
          </w:p>
        </w:tc>
        <w:tc>
          <w:tcPr>
            <w:tcW w:w="174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5</w:t>
            </w:r>
          </w:p>
        </w:tc>
        <w:tc>
          <w:tcPr>
            <w:tcW w:w="3653" w:type="dxa"/>
            <w:shd w:val="clear" w:color="auto" w:fill="auto"/>
            <w:noWrap/>
            <w:vAlign w:val="center"/>
          </w:tcPr>
          <w:p>
            <w:pPr>
              <w:widowControl/>
              <w:jc w:val="center"/>
              <w:rPr>
                <w:color w:val="auto"/>
                <w:kern w:val="0"/>
                <w:sz w:val="21"/>
                <w:szCs w:val="21"/>
              </w:rPr>
            </w:pPr>
            <w:r>
              <w:rPr>
                <w:color w:val="auto"/>
                <w:kern w:val="0"/>
                <w:sz w:val="21"/>
                <w:szCs w:val="21"/>
              </w:rPr>
              <w:t>未预见水量</w:t>
            </w:r>
          </w:p>
        </w:tc>
        <w:tc>
          <w:tcPr>
            <w:tcW w:w="1909"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万m</w:t>
            </w:r>
            <w:r>
              <w:rPr>
                <w:rFonts w:eastAsiaTheme="minorEastAsia"/>
                <w:color w:val="auto"/>
                <w:kern w:val="0"/>
                <w:sz w:val="21"/>
                <w:szCs w:val="21"/>
                <w:vertAlign w:val="superscript"/>
              </w:rPr>
              <w:t>3</w:t>
            </w:r>
            <w:r>
              <w:rPr>
                <w:rFonts w:eastAsiaTheme="minorEastAsia"/>
                <w:color w:val="auto"/>
                <w:kern w:val="0"/>
                <w:sz w:val="21"/>
                <w:szCs w:val="21"/>
              </w:rPr>
              <w:t>/d</w:t>
            </w:r>
          </w:p>
        </w:tc>
        <w:tc>
          <w:tcPr>
            <w:tcW w:w="174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6</w:t>
            </w:r>
          </w:p>
        </w:tc>
        <w:tc>
          <w:tcPr>
            <w:tcW w:w="3653"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城市综合用水量（最高日）</w:t>
            </w:r>
          </w:p>
        </w:tc>
        <w:tc>
          <w:tcPr>
            <w:tcW w:w="1909"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万m</w:t>
            </w:r>
            <w:r>
              <w:rPr>
                <w:rFonts w:eastAsiaTheme="minorEastAsia"/>
                <w:color w:val="auto"/>
                <w:kern w:val="0"/>
                <w:sz w:val="21"/>
                <w:szCs w:val="21"/>
                <w:vertAlign w:val="superscript"/>
              </w:rPr>
              <w:t>3</w:t>
            </w:r>
            <w:r>
              <w:rPr>
                <w:rFonts w:eastAsiaTheme="minorEastAsia"/>
                <w:color w:val="auto"/>
                <w:kern w:val="0"/>
                <w:sz w:val="21"/>
                <w:szCs w:val="21"/>
              </w:rPr>
              <w:t>/d</w:t>
            </w:r>
          </w:p>
        </w:tc>
        <w:tc>
          <w:tcPr>
            <w:tcW w:w="174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7</w:t>
            </w:r>
          </w:p>
        </w:tc>
        <w:tc>
          <w:tcPr>
            <w:tcW w:w="3653"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日变化系数</w:t>
            </w:r>
          </w:p>
        </w:tc>
        <w:tc>
          <w:tcPr>
            <w:tcW w:w="190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w:t>
            </w:r>
            <w:r>
              <w:rPr>
                <w:rFonts w:eastAsiaTheme="minorEastAsia"/>
                <w:color w:val="auto"/>
                <w:kern w:val="0"/>
                <w:sz w:val="21"/>
                <w:szCs w:val="21"/>
              </w:rPr>
              <w:t>　</w:t>
            </w:r>
          </w:p>
        </w:tc>
        <w:tc>
          <w:tcPr>
            <w:tcW w:w="1749"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211" w:type="dxa"/>
            <w:shd w:val="clear" w:color="auto" w:fill="auto"/>
            <w:noWrap/>
            <w:vAlign w:val="center"/>
          </w:tcPr>
          <w:p>
            <w:pPr>
              <w:widowControl/>
              <w:jc w:val="center"/>
              <w:rPr>
                <w:rFonts w:eastAsiaTheme="minorEastAsia"/>
                <w:color w:val="auto"/>
                <w:kern w:val="0"/>
                <w:sz w:val="21"/>
                <w:szCs w:val="21"/>
              </w:rPr>
            </w:pPr>
            <w:r>
              <w:rPr>
                <w:rFonts w:hint="eastAsia" w:eastAsiaTheme="minorEastAsia"/>
                <w:color w:val="auto"/>
                <w:kern w:val="0"/>
                <w:sz w:val="21"/>
                <w:szCs w:val="21"/>
              </w:rPr>
              <w:t>8</w:t>
            </w:r>
          </w:p>
        </w:tc>
        <w:tc>
          <w:tcPr>
            <w:tcW w:w="3653"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城市综合用水量（平均日）</w:t>
            </w:r>
          </w:p>
        </w:tc>
        <w:tc>
          <w:tcPr>
            <w:tcW w:w="1909" w:type="dxa"/>
            <w:shd w:val="clear" w:color="auto" w:fill="auto"/>
            <w:noWrap/>
            <w:vAlign w:val="center"/>
          </w:tcPr>
          <w:p>
            <w:pPr>
              <w:widowControl/>
              <w:jc w:val="center"/>
              <w:rPr>
                <w:rFonts w:eastAsiaTheme="minorEastAsia"/>
                <w:color w:val="auto"/>
                <w:kern w:val="0"/>
                <w:sz w:val="21"/>
                <w:szCs w:val="21"/>
              </w:rPr>
            </w:pPr>
            <w:r>
              <w:rPr>
                <w:rFonts w:eastAsiaTheme="minorEastAsia"/>
                <w:color w:val="auto"/>
                <w:kern w:val="0"/>
                <w:sz w:val="21"/>
                <w:szCs w:val="21"/>
              </w:rPr>
              <w:t>万m</w:t>
            </w:r>
            <w:r>
              <w:rPr>
                <w:rFonts w:eastAsiaTheme="minorEastAsia"/>
                <w:color w:val="auto"/>
                <w:kern w:val="0"/>
                <w:sz w:val="21"/>
                <w:szCs w:val="21"/>
                <w:vertAlign w:val="superscript"/>
              </w:rPr>
              <w:t>3</w:t>
            </w:r>
            <w:r>
              <w:rPr>
                <w:rFonts w:eastAsiaTheme="minorEastAsia"/>
                <w:color w:val="auto"/>
                <w:kern w:val="0"/>
                <w:sz w:val="21"/>
                <w:szCs w:val="21"/>
              </w:rPr>
              <w:t>/d</w:t>
            </w:r>
          </w:p>
        </w:tc>
        <w:tc>
          <w:tcPr>
            <w:tcW w:w="1749" w:type="dxa"/>
            <w:shd w:val="clear" w:color="auto" w:fill="auto"/>
            <w:noWrap/>
            <w:vAlign w:val="center"/>
          </w:tcPr>
          <w:p>
            <w:pPr>
              <w:widowControl/>
              <w:jc w:val="center"/>
              <w:rPr>
                <w:rFonts w:eastAsiaTheme="minorEastAsia"/>
                <w:b/>
                <w:color w:val="auto"/>
                <w:kern w:val="0"/>
                <w:sz w:val="21"/>
                <w:szCs w:val="21"/>
              </w:rPr>
            </w:pPr>
            <w:r>
              <w:rPr>
                <w:rFonts w:hint="eastAsia" w:eastAsiaTheme="minorEastAsia"/>
                <w:b/>
                <w:color w:val="auto"/>
                <w:kern w:val="0"/>
                <w:sz w:val="21"/>
                <w:szCs w:val="21"/>
              </w:rPr>
              <w:t>6.63</w:t>
            </w:r>
          </w:p>
        </w:tc>
      </w:tr>
    </w:tbl>
    <w:p>
      <w:pPr>
        <w:spacing w:line="360" w:lineRule="auto"/>
        <w:ind w:firstLine="480" w:firstLineChars="200"/>
        <w:jc w:val="left"/>
        <w:rPr>
          <w:color w:val="auto"/>
          <w:sz w:val="24"/>
          <w:szCs w:val="24"/>
        </w:rPr>
      </w:pPr>
      <w:r>
        <w:rPr>
          <w:rFonts w:hint="eastAsia"/>
          <w:color w:val="auto"/>
          <w:sz w:val="24"/>
          <w:szCs w:val="24"/>
        </w:rPr>
        <w:t>由上表3-2-2~表3-2-3可知，使用单位用地指标法预测的用水量较高，为88351.3</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sz w:val="24"/>
          <w:szCs w:val="24"/>
        </w:rPr>
        <w:t>，因此，污水量根据单位用地指标法计算。</w:t>
      </w:r>
    </w:p>
    <w:p>
      <w:pPr>
        <w:pStyle w:val="4"/>
        <w:rPr>
          <w:color w:val="auto"/>
        </w:rPr>
      </w:pPr>
      <w:bookmarkStart w:id="74" w:name="_Toc26276808"/>
      <w:r>
        <w:rPr>
          <w:rFonts w:hint="eastAsia"/>
          <w:color w:val="auto"/>
        </w:rPr>
        <w:t>3.2.2总污水量预测</w:t>
      </w:r>
      <w:bookmarkEnd w:id="74"/>
    </w:p>
    <w:p>
      <w:pPr>
        <w:spacing w:line="360" w:lineRule="auto"/>
        <w:ind w:firstLine="480" w:firstLineChars="200"/>
        <w:rPr>
          <w:rFonts w:hint="eastAsia"/>
          <w:color w:val="auto"/>
          <w:sz w:val="24"/>
          <w:szCs w:val="24"/>
        </w:rPr>
      </w:pPr>
      <w:r>
        <w:rPr>
          <w:rFonts w:hint="eastAsia"/>
          <w:color w:val="auto"/>
          <w:sz w:val="24"/>
          <w:szCs w:val="24"/>
        </w:rPr>
        <w:t>本项目使用产污系数法预测污水量，其计算公式为：污水量=用地面积×排水指标×（1+地下水渗入率），其中，地下水渗入率取10%。绿地与广场用地、道路与交通设施用地用水主要为浇洒用水，不进入城市污水收集处理系统，故五华河东绿色生态工业小镇远期2035年污水排放量预测如下表所示。</w:t>
      </w:r>
    </w:p>
    <w:p>
      <w:pPr>
        <w:spacing w:line="360" w:lineRule="auto"/>
        <w:rPr>
          <w:rFonts w:hint="eastAsia"/>
          <w:color w:val="auto"/>
          <w:sz w:val="24"/>
          <w:szCs w:val="24"/>
        </w:rPr>
      </w:pPr>
    </w:p>
    <w:p>
      <w:pPr>
        <w:spacing w:line="360" w:lineRule="auto"/>
        <w:rPr>
          <w:rFonts w:hint="eastAsia"/>
          <w:color w:val="auto"/>
          <w:sz w:val="24"/>
          <w:szCs w:val="24"/>
        </w:rPr>
      </w:pPr>
    </w:p>
    <w:p>
      <w:pPr>
        <w:pStyle w:val="50"/>
        <w:rPr>
          <w:color w:val="auto"/>
        </w:rPr>
      </w:pPr>
      <w:r>
        <w:rPr>
          <w:rFonts w:hint="eastAsia"/>
          <w:color w:val="auto"/>
        </w:rPr>
        <w:t>表3-2-4   污水量预测表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2270"/>
        <w:gridCol w:w="1700"/>
        <w:gridCol w:w="2247"/>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 w:hRule="atLeast"/>
          <w:jc w:val="center"/>
        </w:trPr>
        <w:tc>
          <w:tcPr>
            <w:tcW w:w="674" w:type="dxa"/>
            <w:shd w:val="clear" w:color="auto" w:fill="auto"/>
            <w:noWrap/>
            <w:vAlign w:val="center"/>
          </w:tcPr>
          <w:p>
            <w:pPr>
              <w:widowControl/>
              <w:jc w:val="center"/>
              <w:rPr>
                <w:b/>
                <w:color w:val="auto"/>
                <w:kern w:val="0"/>
                <w:sz w:val="21"/>
                <w:szCs w:val="21"/>
              </w:rPr>
            </w:pPr>
            <w:r>
              <w:rPr>
                <w:rFonts w:hint="eastAsia" w:ascii="宋体" w:hAnsi="宋体"/>
                <w:b/>
                <w:color w:val="auto"/>
                <w:kern w:val="0"/>
                <w:sz w:val="21"/>
                <w:szCs w:val="21"/>
              </w:rPr>
              <w:t>序号</w:t>
            </w:r>
          </w:p>
        </w:tc>
        <w:tc>
          <w:tcPr>
            <w:tcW w:w="2270" w:type="dxa"/>
            <w:shd w:val="clear" w:color="auto" w:fill="auto"/>
            <w:noWrap/>
            <w:vAlign w:val="center"/>
          </w:tcPr>
          <w:p>
            <w:pPr>
              <w:widowControl/>
              <w:jc w:val="center"/>
              <w:rPr>
                <w:b/>
                <w:color w:val="auto"/>
                <w:kern w:val="0"/>
                <w:sz w:val="21"/>
                <w:szCs w:val="21"/>
              </w:rPr>
            </w:pPr>
            <w:r>
              <w:rPr>
                <w:rFonts w:hint="eastAsia" w:ascii="宋体" w:hAnsi="宋体"/>
                <w:b/>
                <w:color w:val="auto"/>
                <w:kern w:val="0"/>
                <w:sz w:val="21"/>
                <w:szCs w:val="21"/>
              </w:rPr>
              <w:t>用地性质</w:t>
            </w:r>
          </w:p>
        </w:tc>
        <w:tc>
          <w:tcPr>
            <w:tcW w:w="1700" w:type="dxa"/>
            <w:shd w:val="clear" w:color="auto" w:fill="auto"/>
            <w:noWrap/>
            <w:vAlign w:val="center"/>
          </w:tcPr>
          <w:p>
            <w:pPr>
              <w:widowControl/>
              <w:jc w:val="center"/>
              <w:rPr>
                <w:b/>
                <w:color w:val="auto"/>
                <w:kern w:val="0"/>
                <w:sz w:val="21"/>
                <w:szCs w:val="21"/>
              </w:rPr>
            </w:pPr>
            <w:r>
              <w:rPr>
                <w:rFonts w:hint="eastAsia" w:ascii="宋体" w:hAnsi="宋体"/>
                <w:b/>
                <w:color w:val="auto"/>
                <w:kern w:val="0"/>
                <w:sz w:val="21"/>
                <w:szCs w:val="21"/>
              </w:rPr>
              <w:t>用地面积（</w:t>
            </w:r>
            <w:r>
              <w:rPr>
                <w:b/>
                <w:color w:val="auto"/>
                <w:kern w:val="0"/>
                <w:sz w:val="21"/>
                <w:szCs w:val="21"/>
              </w:rPr>
              <w:t>hm</w:t>
            </w:r>
            <w:r>
              <w:rPr>
                <w:b/>
                <w:color w:val="auto"/>
                <w:kern w:val="0"/>
                <w:sz w:val="21"/>
                <w:szCs w:val="21"/>
                <w:vertAlign w:val="superscript"/>
              </w:rPr>
              <w:t>2</w:t>
            </w:r>
            <w:r>
              <w:rPr>
                <w:rFonts w:hint="eastAsia" w:ascii="宋体" w:hAnsi="宋体"/>
                <w:b/>
                <w:color w:val="auto"/>
                <w:kern w:val="0"/>
                <w:sz w:val="21"/>
                <w:szCs w:val="21"/>
              </w:rPr>
              <w:t>）</w:t>
            </w:r>
          </w:p>
        </w:tc>
        <w:tc>
          <w:tcPr>
            <w:tcW w:w="2247" w:type="dxa"/>
            <w:shd w:val="clear" w:color="auto" w:fill="auto"/>
            <w:vAlign w:val="center"/>
          </w:tcPr>
          <w:p>
            <w:pPr>
              <w:widowControl/>
              <w:jc w:val="center"/>
              <w:rPr>
                <w:b/>
                <w:color w:val="auto"/>
                <w:kern w:val="0"/>
                <w:sz w:val="21"/>
                <w:szCs w:val="21"/>
              </w:rPr>
            </w:pPr>
            <w:r>
              <w:rPr>
                <w:b/>
                <w:color w:val="auto"/>
                <w:kern w:val="0"/>
                <w:sz w:val="21"/>
                <w:szCs w:val="21"/>
              </w:rPr>
              <w:t>排水</w:t>
            </w:r>
            <w:r>
              <w:rPr>
                <w:rFonts w:hint="eastAsia" w:ascii="宋体" w:hAnsi="宋体"/>
                <w:b/>
                <w:color w:val="auto"/>
                <w:kern w:val="0"/>
                <w:sz w:val="21"/>
                <w:szCs w:val="21"/>
              </w:rPr>
              <w:t>指标（</w:t>
            </w:r>
            <w:r>
              <w:rPr>
                <w:b/>
                <w:color w:val="auto"/>
                <w:kern w:val="0"/>
                <w:sz w:val="21"/>
                <w:szCs w:val="21"/>
              </w:rPr>
              <w:t>m</w:t>
            </w:r>
            <w:r>
              <w:rPr>
                <w:b/>
                <w:color w:val="auto"/>
                <w:kern w:val="0"/>
                <w:sz w:val="21"/>
                <w:szCs w:val="21"/>
                <w:vertAlign w:val="superscript"/>
              </w:rPr>
              <w:t>3</w:t>
            </w:r>
            <w:r>
              <w:rPr>
                <w:b/>
                <w:color w:val="auto"/>
                <w:kern w:val="0"/>
                <w:sz w:val="21"/>
                <w:szCs w:val="21"/>
              </w:rPr>
              <w:t>/d·hm</w:t>
            </w:r>
            <w:r>
              <w:rPr>
                <w:b/>
                <w:color w:val="auto"/>
                <w:kern w:val="0"/>
                <w:sz w:val="21"/>
                <w:szCs w:val="21"/>
                <w:vertAlign w:val="superscript"/>
              </w:rPr>
              <w:t>2</w:t>
            </w:r>
            <w:r>
              <w:rPr>
                <w:rFonts w:hint="eastAsia"/>
                <w:b/>
                <w:color w:val="auto"/>
                <w:kern w:val="0"/>
                <w:sz w:val="21"/>
                <w:szCs w:val="21"/>
              </w:rPr>
              <w:t>）</w:t>
            </w:r>
          </w:p>
        </w:tc>
        <w:tc>
          <w:tcPr>
            <w:tcW w:w="1631" w:type="dxa"/>
            <w:shd w:val="clear" w:color="auto" w:fill="auto"/>
            <w:vAlign w:val="center"/>
          </w:tcPr>
          <w:p>
            <w:pPr>
              <w:widowControl/>
              <w:jc w:val="center"/>
              <w:rPr>
                <w:b/>
                <w:color w:val="auto"/>
                <w:kern w:val="0"/>
                <w:sz w:val="21"/>
                <w:szCs w:val="21"/>
              </w:rPr>
            </w:pPr>
            <w:r>
              <w:rPr>
                <w:rFonts w:hint="eastAsia" w:ascii="宋体" w:hAnsi="宋体"/>
                <w:b/>
                <w:color w:val="auto"/>
                <w:kern w:val="0"/>
                <w:sz w:val="21"/>
                <w:szCs w:val="21"/>
              </w:rPr>
              <w:t>污水量</w:t>
            </w:r>
            <w:r>
              <w:rPr>
                <w:b/>
                <w:color w:val="auto"/>
                <w:kern w:val="0"/>
                <w:sz w:val="21"/>
                <w:szCs w:val="21"/>
              </w:rPr>
              <w:t xml:space="preserve"> </w:t>
            </w:r>
            <w:r>
              <w:rPr>
                <w:rFonts w:hint="eastAsia" w:ascii="宋体" w:hAnsi="宋体"/>
                <w:b/>
                <w:color w:val="auto"/>
                <w:kern w:val="0"/>
                <w:sz w:val="21"/>
                <w:szCs w:val="21"/>
              </w:rPr>
              <w:t>（</w:t>
            </w:r>
            <w:r>
              <w:rPr>
                <w:b/>
                <w:color w:val="auto"/>
                <w:kern w:val="0"/>
                <w:sz w:val="21"/>
                <w:szCs w:val="21"/>
              </w:rPr>
              <w:t>m</w:t>
            </w:r>
            <w:r>
              <w:rPr>
                <w:b/>
                <w:color w:val="auto"/>
                <w:kern w:val="0"/>
                <w:sz w:val="21"/>
                <w:szCs w:val="21"/>
                <w:vertAlign w:val="superscript"/>
              </w:rPr>
              <w:t>3</w:t>
            </w:r>
            <w:r>
              <w:rPr>
                <w:b/>
                <w:color w:val="auto"/>
                <w:kern w:val="0"/>
                <w:sz w:val="21"/>
                <w:szCs w:val="21"/>
              </w:rPr>
              <w:t>/d</w:t>
            </w:r>
            <w:r>
              <w:rPr>
                <w:rFonts w:hint="eastAsia" w:ascii="宋体" w:hAnsi="宋体"/>
                <w:b/>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1</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公共管理与公共服务用地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24.85</w:t>
            </w:r>
          </w:p>
        </w:tc>
        <w:tc>
          <w:tcPr>
            <w:tcW w:w="2247" w:type="dxa"/>
            <w:shd w:val="clear" w:color="auto" w:fill="auto"/>
            <w:noWrap/>
            <w:vAlign w:val="center"/>
          </w:tcPr>
          <w:p>
            <w:pPr>
              <w:jc w:val="center"/>
              <w:rPr>
                <w:color w:val="auto"/>
                <w:sz w:val="21"/>
                <w:szCs w:val="21"/>
              </w:rPr>
            </w:pPr>
            <w:r>
              <w:rPr>
                <w:color w:val="auto"/>
                <w:sz w:val="21"/>
                <w:szCs w:val="21"/>
              </w:rPr>
              <w:t>36</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894.6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2</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商业服务设施用地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148.04</w:t>
            </w:r>
          </w:p>
        </w:tc>
        <w:tc>
          <w:tcPr>
            <w:tcW w:w="2247" w:type="dxa"/>
            <w:shd w:val="clear" w:color="auto" w:fill="auto"/>
            <w:noWrap/>
            <w:vAlign w:val="center"/>
          </w:tcPr>
          <w:p>
            <w:pPr>
              <w:jc w:val="center"/>
              <w:rPr>
                <w:color w:val="auto"/>
                <w:sz w:val="21"/>
                <w:szCs w:val="21"/>
              </w:rPr>
            </w:pPr>
            <w:r>
              <w:rPr>
                <w:color w:val="auto"/>
                <w:sz w:val="21"/>
                <w:szCs w:val="21"/>
              </w:rPr>
              <w:t>29</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4293.2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3</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居住用地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161.56</w:t>
            </w:r>
          </w:p>
        </w:tc>
        <w:tc>
          <w:tcPr>
            <w:tcW w:w="2247" w:type="dxa"/>
            <w:shd w:val="clear" w:color="auto" w:fill="auto"/>
            <w:noWrap/>
            <w:vAlign w:val="center"/>
          </w:tcPr>
          <w:p>
            <w:pPr>
              <w:jc w:val="center"/>
              <w:rPr>
                <w:color w:val="auto"/>
                <w:sz w:val="21"/>
                <w:szCs w:val="21"/>
              </w:rPr>
            </w:pPr>
            <w:r>
              <w:rPr>
                <w:color w:val="auto"/>
                <w:sz w:val="21"/>
                <w:szCs w:val="21"/>
              </w:rPr>
              <w:t>36</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5816.2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4</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绿地与广场用地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190.06</w:t>
            </w:r>
          </w:p>
        </w:tc>
        <w:tc>
          <w:tcPr>
            <w:tcW w:w="2247" w:type="dxa"/>
            <w:shd w:val="clear" w:color="auto" w:fill="auto"/>
            <w:noWrap/>
            <w:vAlign w:val="center"/>
          </w:tcPr>
          <w:p>
            <w:pPr>
              <w:jc w:val="center"/>
              <w:rPr>
                <w:color w:val="auto"/>
                <w:sz w:val="21"/>
                <w:szCs w:val="21"/>
              </w:rPr>
            </w:pPr>
            <w:r>
              <w:rPr>
                <w:color w:val="auto"/>
                <w:sz w:val="21"/>
                <w:szCs w:val="21"/>
              </w:rPr>
              <w:t>11</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5</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道路与交通设施用地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202.03</w:t>
            </w:r>
          </w:p>
        </w:tc>
        <w:tc>
          <w:tcPr>
            <w:tcW w:w="2247" w:type="dxa"/>
            <w:shd w:val="clear" w:color="auto" w:fill="auto"/>
            <w:noWrap/>
            <w:vAlign w:val="center"/>
          </w:tcPr>
          <w:p>
            <w:pPr>
              <w:jc w:val="center"/>
              <w:rPr>
                <w:color w:val="auto"/>
                <w:sz w:val="21"/>
                <w:szCs w:val="21"/>
              </w:rPr>
            </w:pPr>
            <w:r>
              <w:rPr>
                <w:color w:val="auto"/>
                <w:sz w:val="21"/>
                <w:szCs w:val="21"/>
              </w:rPr>
              <w:t>14</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6</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公用设施用地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31.31</w:t>
            </w:r>
          </w:p>
        </w:tc>
        <w:tc>
          <w:tcPr>
            <w:tcW w:w="2247" w:type="dxa"/>
            <w:shd w:val="clear" w:color="auto" w:fill="auto"/>
            <w:noWrap/>
            <w:vAlign w:val="center"/>
          </w:tcPr>
          <w:p>
            <w:pPr>
              <w:jc w:val="center"/>
              <w:rPr>
                <w:color w:val="auto"/>
                <w:sz w:val="21"/>
                <w:szCs w:val="21"/>
              </w:rPr>
            </w:pPr>
            <w:r>
              <w:rPr>
                <w:color w:val="auto"/>
                <w:sz w:val="21"/>
                <w:szCs w:val="21"/>
              </w:rPr>
              <w:t>18</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563.6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7</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工业用地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742.84</w:t>
            </w:r>
          </w:p>
        </w:tc>
        <w:tc>
          <w:tcPr>
            <w:tcW w:w="2247" w:type="dxa"/>
            <w:shd w:val="clear" w:color="auto" w:fill="auto"/>
            <w:noWrap/>
            <w:vAlign w:val="center"/>
          </w:tcPr>
          <w:p>
            <w:pPr>
              <w:jc w:val="center"/>
              <w:rPr>
                <w:color w:val="auto"/>
                <w:sz w:val="21"/>
                <w:szCs w:val="21"/>
              </w:rPr>
            </w:pPr>
            <w:r>
              <w:rPr>
                <w:color w:val="auto"/>
                <w:sz w:val="21"/>
                <w:szCs w:val="21"/>
              </w:rPr>
              <w:t>54</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40113.4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color w:val="auto"/>
                <w:kern w:val="0"/>
                <w:sz w:val="21"/>
                <w:szCs w:val="21"/>
              </w:rPr>
              <w:t>8</w:t>
            </w:r>
          </w:p>
        </w:tc>
        <w:tc>
          <w:tcPr>
            <w:tcW w:w="2270" w:type="dxa"/>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物流仓储用地</w:t>
            </w:r>
          </w:p>
        </w:tc>
        <w:tc>
          <w:tcPr>
            <w:tcW w:w="1700" w:type="dxa"/>
            <w:shd w:val="clear" w:color="auto" w:fill="auto"/>
            <w:noWrap/>
            <w:vAlign w:val="center"/>
          </w:tcPr>
          <w:p>
            <w:pPr>
              <w:widowControl/>
              <w:jc w:val="center"/>
              <w:rPr>
                <w:color w:val="auto"/>
                <w:kern w:val="0"/>
                <w:sz w:val="21"/>
                <w:szCs w:val="21"/>
              </w:rPr>
            </w:pPr>
            <w:r>
              <w:rPr>
                <w:color w:val="auto"/>
                <w:kern w:val="0"/>
                <w:sz w:val="21"/>
                <w:szCs w:val="21"/>
              </w:rPr>
              <w:t>67.60</w:t>
            </w:r>
          </w:p>
        </w:tc>
        <w:tc>
          <w:tcPr>
            <w:tcW w:w="2247" w:type="dxa"/>
            <w:shd w:val="clear" w:color="auto" w:fill="auto"/>
            <w:noWrap/>
            <w:vAlign w:val="center"/>
          </w:tcPr>
          <w:p>
            <w:pPr>
              <w:jc w:val="center"/>
              <w:rPr>
                <w:color w:val="auto"/>
                <w:sz w:val="21"/>
                <w:szCs w:val="21"/>
              </w:rPr>
            </w:pPr>
            <w:r>
              <w:rPr>
                <w:color w:val="auto"/>
                <w:sz w:val="21"/>
                <w:szCs w:val="21"/>
              </w:rPr>
              <w:t>18</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1216.8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4" w:type="dxa"/>
            <w:shd w:val="clear" w:color="auto" w:fill="auto"/>
            <w:noWrap/>
            <w:vAlign w:val="center"/>
          </w:tcPr>
          <w:p>
            <w:pPr>
              <w:widowControl/>
              <w:jc w:val="center"/>
              <w:rPr>
                <w:color w:val="auto"/>
                <w:kern w:val="0"/>
                <w:sz w:val="21"/>
                <w:szCs w:val="21"/>
              </w:rPr>
            </w:pPr>
            <w:r>
              <w:rPr>
                <w:rFonts w:hint="eastAsia"/>
                <w:color w:val="auto"/>
                <w:kern w:val="0"/>
                <w:sz w:val="21"/>
                <w:szCs w:val="21"/>
              </w:rPr>
              <w:t>9</w:t>
            </w:r>
          </w:p>
        </w:tc>
        <w:tc>
          <w:tcPr>
            <w:tcW w:w="3970" w:type="dxa"/>
            <w:gridSpan w:val="2"/>
            <w:shd w:val="clear" w:color="auto" w:fill="auto"/>
            <w:noWrap/>
            <w:vAlign w:val="center"/>
          </w:tcPr>
          <w:p>
            <w:pPr>
              <w:jc w:val="center"/>
              <w:rPr>
                <w:color w:val="auto"/>
                <w:sz w:val="21"/>
                <w:szCs w:val="21"/>
              </w:rPr>
            </w:pPr>
            <w:r>
              <w:rPr>
                <w:rFonts w:hint="eastAsia"/>
                <w:color w:val="auto"/>
                <w:sz w:val="21"/>
                <w:szCs w:val="21"/>
              </w:rPr>
              <w:t>地下水渗入</w:t>
            </w:r>
          </w:p>
        </w:tc>
        <w:tc>
          <w:tcPr>
            <w:tcW w:w="2247" w:type="dxa"/>
            <w:shd w:val="clear" w:color="auto" w:fill="auto"/>
            <w:vAlign w:val="center"/>
          </w:tcPr>
          <w:p>
            <w:pPr>
              <w:jc w:val="center"/>
              <w:rPr>
                <w:color w:val="auto"/>
                <w:sz w:val="21"/>
                <w:szCs w:val="21"/>
              </w:rPr>
            </w:pPr>
            <w:r>
              <w:rPr>
                <w:rFonts w:hint="eastAsia"/>
                <w:color w:val="auto"/>
                <w:sz w:val="21"/>
                <w:szCs w:val="21"/>
              </w:rPr>
              <w:t>以10%计</w:t>
            </w:r>
          </w:p>
        </w:tc>
        <w:tc>
          <w:tcPr>
            <w:tcW w:w="1631" w:type="dxa"/>
            <w:shd w:val="clear" w:color="auto" w:fill="auto"/>
            <w:noWrap/>
            <w:vAlign w:val="center"/>
          </w:tcPr>
          <w:p>
            <w:pPr>
              <w:jc w:val="center"/>
              <w:rPr>
                <w:rFonts w:ascii="宋体" w:hAnsi="宋体" w:cs="宋体"/>
                <w:color w:val="auto"/>
                <w:sz w:val="21"/>
                <w:szCs w:val="21"/>
              </w:rPr>
            </w:pPr>
            <w:r>
              <w:rPr>
                <w:rFonts w:hint="eastAsia"/>
                <w:color w:val="auto"/>
                <w:sz w:val="21"/>
                <w:szCs w:val="21"/>
              </w:rPr>
              <w:t>5289.8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74" w:type="dxa"/>
            <w:shd w:val="clear" w:color="auto" w:fill="auto"/>
            <w:noWrap/>
            <w:vAlign w:val="center"/>
          </w:tcPr>
          <w:p>
            <w:pPr>
              <w:widowControl/>
              <w:jc w:val="center"/>
              <w:rPr>
                <w:color w:val="auto"/>
                <w:kern w:val="0"/>
                <w:sz w:val="21"/>
                <w:szCs w:val="21"/>
              </w:rPr>
            </w:pPr>
            <w:r>
              <w:rPr>
                <w:rFonts w:hint="eastAsia"/>
                <w:color w:val="auto"/>
                <w:kern w:val="0"/>
                <w:sz w:val="21"/>
                <w:szCs w:val="21"/>
              </w:rPr>
              <w:t>10</w:t>
            </w:r>
          </w:p>
        </w:tc>
        <w:tc>
          <w:tcPr>
            <w:tcW w:w="6217" w:type="dxa"/>
            <w:gridSpan w:val="3"/>
            <w:shd w:val="clear" w:color="auto" w:fill="auto"/>
            <w:noWrap/>
            <w:vAlign w:val="center"/>
          </w:tcPr>
          <w:p>
            <w:pPr>
              <w:widowControl/>
              <w:jc w:val="center"/>
              <w:rPr>
                <w:color w:val="auto"/>
                <w:kern w:val="0"/>
                <w:sz w:val="21"/>
                <w:szCs w:val="21"/>
              </w:rPr>
            </w:pPr>
            <w:r>
              <w:rPr>
                <w:rFonts w:hint="eastAsia" w:ascii="宋体" w:hAnsi="宋体"/>
                <w:color w:val="auto"/>
                <w:kern w:val="0"/>
                <w:sz w:val="21"/>
                <w:szCs w:val="21"/>
              </w:rPr>
              <w:t>合计</w:t>
            </w:r>
          </w:p>
        </w:tc>
        <w:tc>
          <w:tcPr>
            <w:tcW w:w="1631" w:type="dxa"/>
            <w:shd w:val="clear" w:color="auto" w:fill="auto"/>
            <w:noWrap/>
            <w:vAlign w:val="center"/>
          </w:tcPr>
          <w:p>
            <w:pPr>
              <w:jc w:val="center"/>
              <w:rPr>
                <w:rFonts w:ascii="宋体" w:hAnsi="宋体" w:cs="宋体"/>
                <w:b/>
                <w:color w:val="auto"/>
                <w:sz w:val="21"/>
                <w:szCs w:val="21"/>
              </w:rPr>
            </w:pPr>
            <w:r>
              <w:rPr>
                <w:rFonts w:hint="eastAsia"/>
                <w:b/>
                <w:color w:val="auto"/>
                <w:sz w:val="21"/>
                <w:szCs w:val="21"/>
              </w:rPr>
              <w:t>58187.4</w:t>
            </w:r>
          </w:p>
        </w:tc>
      </w:tr>
    </w:tbl>
    <w:p>
      <w:pPr>
        <w:spacing w:line="360" w:lineRule="auto"/>
        <w:ind w:firstLine="480" w:firstLineChars="200"/>
        <w:jc w:val="left"/>
        <w:rPr>
          <w:color w:val="auto"/>
          <w:sz w:val="24"/>
          <w:szCs w:val="24"/>
        </w:rPr>
      </w:pPr>
      <w:r>
        <w:rPr>
          <w:rFonts w:hint="eastAsia"/>
          <w:color w:val="auto"/>
          <w:sz w:val="24"/>
          <w:szCs w:val="24"/>
        </w:rPr>
        <w:t>由上表可知，五华河东绿色生态工业小镇远期2035年污水排放量约为58187.4</w:t>
      </w:r>
      <w:r>
        <w:rPr>
          <w:color w:val="auto"/>
          <w:kern w:val="0"/>
          <w:sz w:val="21"/>
          <w:szCs w:val="21"/>
        </w:rPr>
        <w:t xml:space="preserve"> </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w:t>
      </w:r>
    </w:p>
    <w:p>
      <w:pPr>
        <w:pStyle w:val="4"/>
        <w:rPr>
          <w:color w:val="auto"/>
        </w:rPr>
      </w:pPr>
      <w:bookmarkStart w:id="75" w:name="_Toc26276809"/>
      <w:r>
        <w:rPr>
          <w:rFonts w:hint="eastAsia"/>
          <w:color w:val="auto"/>
        </w:rPr>
        <w:t>3.2.3设计污水规模</w:t>
      </w:r>
      <w:bookmarkEnd w:id="75"/>
    </w:p>
    <w:p>
      <w:pPr>
        <w:spacing w:line="360" w:lineRule="auto"/>
        <w:ind w:firstLine="480" w:firstLineChars="200"/>
        <w:rPr>
          <w:color w:val="auto"/>
          <w:sz w:val="24"/>
          <w:szCs w:val="24"/>
        </w:rPr>
      </w:pPr>
      <w:r>
        <w:rPr>
          <w:rFonts w:hint="eastAsia"/>
          <w:color w:val="auto"/>
          <w:sz w:val="24"/>
          <w:szCs w:val="24"/>
        </w:rPr>
        <w:t>根据《五华河东绿色生态工业小镇污水专项规划（2018-2035）》，五华河东绿色生态工业小镇规划为5大污水分区，即“西北分区”、“北部分区”、“东北分区”、“中部分区”、“南部分区”。其污水系统规划如下图所示。</w:t>
      </w:r>
    </w:p>
    <w:p>
      <w:pPr>
        <w:spacing w:line="360" w:lineRule="auto"/>
        <w:jc w:val="center"/>
        <w:rPr>
          <w:color w:val="auto"/>
          <w:sz w:val="24"/>
          <w:szCs w:val="24"/>
        </w:rPr>
      </w:pPr>
      <w:r>
        <w:rPr>
          <w:color w:val="auto"/>
          <w:sz w:val="24"/>
          <w:szCs w:val="24"/>
        </w:rPr>
        <w:drawing>
          <wp:inline distT="0" distB="0" distL="0" distR="0">
            <wp:extent cx="4711065" cy="3564255"/>
            <wp:effectExtent l="0" t="0" r="13335" b="1905"/>
            <wp:docPr id="31" name="图片 14" descr="C:\Users\YouFanchao\Desktop\3-污水分区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4" descr="C:\Users\YouFanchao\Desktop\3-污水分区图.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711065" cy="3564255"/>
                    </a:xfrm>
                    <a:prstGeom prst="rect">
                      <a:avLst/>
                    </a:prstGeom>
                    <a:noFill/>
                    <a:ln>
                      <a:noFill/>
                    </a:ln>
                  </pic:spPr>
                </pic:pic>
              </a:graphicData>
            </a:graphic>
          </wp:inline>
        </w:drawing>
      </w:r>
    </w:p>
    <w:p>
      <w:pPr>
        <w:spacing w:line="360" w:lineRule="auto"/>
        <w:jc w:val="center"/>
        <w:rPr>
          <w:color w:val="auto"/>
          <w:sz w:val="24"/>
          <w:szCs w:val="24"/>
        </w:rPr>
      </w:pPr>
      <w:r>
        <w:rPr>
          <w:rFonts w:hint="eastAsia"/>
          <w:b/>
          <w:color w:val="auto"/>
          <w:sz w:val="24"/>
          <w:szCs w:val="24"/>
        </w:rPr>
        <w:t>图3-2-1   污水分区图</w:t>
      </w:r>
      <w:r>
        <w:rPr>
          <w:color w:val="auto"/>
          <w:sz w:val="24"/>
          <w:szCs w:val="24"/>
        </w:rPr>
        <w:drawing>
          <wp:inline distT="0" distB="0" distL="0" distR="0">
            <wp:extent cx="4931410" cy="4328795"/>
            <wp:effectExtent l="19050" t="0" r="1950" b="0"/>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pic:cNvPicPr>
                      <a:picLocks noChangeAspect="1" noChangeArrowheads="1"/>
                    </pic:cNvPicPr>
                  </pic:nvPicPr>
                  <pic:blipFill>
                    <a:blip r:embed="rId23" cstate="print"/>
                    <a:srcRect/>
                    <a:stretch>
                      <a:fillRect/>
                    </a:stretch>
                  </pic:blipFill>
                  <pic:spPr>
                    <a:xfrm>
                      <a:off x="0" y="0"/>
                      <a:ext cx="4932000" cy="4329329"/>
                    </a:xfrm>
                    <a:prstGeom prst="rect">
                      <a:avLst/>
                    </a:prstGeom>
                    <a:noFill/>
                    <a:ln w="9525">
                      <a:noFill/>
                      <a:miter lim="800000"/>
                      <a:headEnd/>
                      <a:tailEnd/>
                    </a:ln>
                  </pic:spPr>
                </pic:pic>
              </a:graphicData>
            </a:graphic>
          </wp:inline>
        </w:drawing>
      </w:r>
    </w:p>
    <w:p>
      <w:pPr>
        <w:spacing w:line="360" w:lineRule="auto"/>
        <w:ind w:firstLine="482" w:firstLineChars="200"/>
        <w:jc w:val="center"/>
        <w:rPr>
          <w:b/>
          <w:color w:val="auto"/>
          <w:sz w:val="24"/>
          <w:szCs w:val="24"/>
        </w:rPr>
      </w:pPr>
      <w:r>
        <w:rPr>
          <w:rFonts w:hint="eastAsia"/>
          <w:b/>
          <w:color w:val="auto"/>
          <w:sz w:val="24"/>
          <w:szCs w:val="24"/>
        </w:rPr>
        <w:t>图3-2-2   污水系统规划图</w:t>
      </w:r>
    </w:p>
    <w:p>
      <w:pPr>
        <w:spacing w:line="360" w:lineRule="auto"/>
        <w:ind w:firstLine="480" w:firstLineChars="200"/>
        <w:jc w:val="left"/>
        <w:rPr>
          <w:color w:val="auto"/>
          <w:sz w:val="24"/>
          <w:szCs w:val="24"/>
        </w:rPr>
      </w:pPr>
      <w:r>
        <w:rPr>
          <w:rFonts w:hint="eastAsia"/>
          <w:color w:val="auto"/>
          <w:sz w:val="24"/>
          <w:szCs w:val="24"/>
        </w:rPr>
        <w:t>根据上图，规划五华河东绿色生态工业小镇水质净化厂建设方案如下表所示。</w:t>
      </w:r>
    </w:p>
    <w:p>
      <w:pPr>
        <w:pStyle w:val="50"/>
        <w:rPr>
          <w:color w:val="auto"/>
        </w:rPr>
      </w:pPr>
      <w:r>
        <w:rPr>
          <w:rFonts w:hint="eastAsia"/>
          <w:color w:val="auto"/>
        </w:rPr>
        <w:t>表3-2-5    水质净化厂建设方案一览表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699"/>
        <w:gridCol w:w="1701"/>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677" w:type="dxa"/>
            <w:shd w:val="clear" w:color="auto" w:fill="auto"/>
            <w:noWrap/>
            <w:vAlign w:val="center"/>
          </w:tcPr>
          <w:p>
            <w:pPr>
              <w:widowControl/>
              <w:jc w:val="center"/>
              <w:rPr>
                <w:b/>
                <w:color w:val="auto"/>
                <w:kern w:val="0"/>
                <w:sz w:val="21"/>
                <w:szCs w:val="21"/>
              </w:rPr>
            </w:pPr>
            <w:r>
              <w:rPr>
                <w:b/>
                <w:color w:val="auto"/>
                <w:kern w:val="0"/>
                <w:sz w:val="21"/>
                <w:szCs w:val="21"/>
              </w:rPr>
              <w:t>序号</w:t>
            </w:r>
          </w:p>
        </w:tc>
        <w:tc>
          <w:tcPr>
            <w:tcW w:w="1699" w:type="dxa"/>
            <w:shd w:val="clear" w:color="auto" w:fill="auto"/>
            <w:noWrap/>
            <w:vAlign w:val="center"/>
          </w:tcPr>
          <w:p>
            <w:pPr>
              <w:widowControl/>
              <w:jc w:val="center"/>
              <w:rPr>
                <w:b/>
                <w:color w:val="auto"/>
                <w:kern w:val="0"/>
                <w:sz w:val="21"/>
                <w:szCs w:val="21"/>
              </w:rPr>
            </w:pPr>
            <w:r>
              <w:rPr>
                <w:b/>
                <w:color w:val="auto"/>
                <w:kern w:val="0"/>
                <w:sz w:val="21"/>
                <w:szCs w:val="21"/>
              </w:rPr>
              <w:t>名称</w:t>
            </w:r>
          </w:p>
        </w:tc>
        <w:tc>
          <w:tcPr>
            <w:tcW w:w="1701" w:type="dxa"/>
            <w:shd w:val="clear" w:color="auto" w:fill="auto"/>
            <w:noWrap/>
            <w:vAlign w:val="center"/>
          </w:tcPr>
          <w:p>
            <w:pPr>
              <w:widowControl/>
              <w:jc w:val="center"/>
              <w:rPr>
                <w:b/>
                <w:color w:val="auto"/>
                <w:kern w:val="0"/>
                <w:sz w:val="21"/>
                <w:szCs w:val="21"/>
              </w:rPr>
            </w:pPr>
            <w:r>
              <w:rPr>
                <w:rFonts w:hint="eastAsia"/>
                <w:b/>
                <w:color w:val="auto"/>
                <w:kern w:val="0"/>
                <w:sz w:val="21"/>
                <w:szCs w:val="21"/>
              </w:rPr>
              <w:t>建设</w:t>
            </w:r>
            <w:r>
              <w:rPr>
                <w:b/>
                <w:color w:val="auto"/>
                <w:kern w:val="0"/>
                <w:sz w:val="21"/>
                <w:szCs w:val="21"/>
              </w:rPr>
              <w:t>规模（m</w:t>
            </w:r>
            <w:r>
              <w:rPr>
                <w:b/>
                <w:color w:val="auto"/>
                <w:kern w:val="0"/>
                <w:sz w:val="21"/>
                <w:szCs w:val="21"/>
                <w:vertAlign w:val="superscript"/>
              </w:rPr>
              <w:t>3</w:t>
            </w:r>
            <w:r>
              <w:rPr>
                <w:b/>
                <w:color w:val="auto"/>
                <w:kern w:val="0"/>
                <w:sz w:val="21"/>
                <w:szCs w:val="21"/>
              </w:rPr>
              <w:t>/d）</w:t>
            </w:r>
          </w:p>
        </w:tc>
        <w:tc>
          <w:tcPr>
            <w:tcW w:w="4445" w:type="dxa"/>
            <w:shd w:val="clear" w:color="auto" w:fill="auto"/>
            <w:noWrap/>
            <w:vAlign w:val="center"/>
          </w:tcPr>
          <w:p>
            <w:pPr>
              <w:widowControl/>
              <w:jc w:val="center"/>
              <w:rPr>
                <w:b/>
                <w:color w:val="auto"/>
                <w:kern w:val="0"/>
                <w:sz w:val="21"/>
                <w:szCs w:val="21"/>
              </w:rPr>
            </w:pPr>
            <w:r>
              <w:rPr>
                <w:rFonts w:hint="eastAsia"/>
                <w:b/>
                <w:color w:val="auto"/>
                <w:kern w:val="0"/>
                <w:sz w:val="21"/>
                <w:szCs w:val="21"/>
              </w:rPr>
              <w:t>服务片区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77" w:type="dxa"/>
            <w:shd w:val="clear" w:color="auto" w:fill="auto"/>
            <w:noWrap/>
            <w:vAlign w:val="center"/>
          </w:tcPr>
          <w:p>
            <w:pPr>
              <w:widowControl/>
              <w:jc w:val="center"/>
              <w:rPr>
                <w:color w:val="auto"/>
                <w:kern w:val="0"/>
                <w:sz w:val="21"/>
                <w:szCs w:val="21"/>
              </w:rPr>
            </w:pPr>
            <w:r>
              <w:rPr>
                <w:color w:val="auto"/>
                <w:kern w:val="0"/>
                <w:sz w:val="21"/>
                <w:szCs w:val="21"/>
              </w:rPr>
              <w:t>1</w:t>
            </w:r>
          </w:p>
        </w:tc>
        <w:tc>
          <w:tcPr>
            <w:tcW w:w="1699" w:type="dxa"/>
            <w:shd w:val="clear" w:color="auto" w:fill="auto"/>
            <w:noWrap/>
            <w:vAlign w:val="center"/>
          </w:tcPr>
          <w:p>
            <w:pPr>
              <w:widowControl/>
              <w:jc w:val="center"/>
              <w:rPr>
                <w:color w:val="auto"/>
                <w:kern w:val="0"/>
                <w:sz w:val="21"/>
                <w:szCs w:val="21"/>
              </w:rPr>
            </w:pPr>
            <w:r>
              <w:rPr>
                <w:rFonts w:hint="eastAsia"/>
                <w:color w:val="auto"/>
                <w:kern w:val="0"/>
                <w:sz w:val="21"/>
                <w:szCs w:val="21"/>
              </w:rPr>
              <w:t>化裕水质净化厂</w:t>
            </w:r>
          </w:p>
        </w:tc>
        <w:tc>
          <w:tcPr>
            <w:tcW w:w="1701" w:type="dxa"/>
            <w:shd w:val="clear" w:color="auto" w:fill="auto"/>
            <w:noWrap/>
            <w:vAlign w:val="center"/>
          </w:tcPr>
          <w:p>
            <w:pPr>
              <w:widowControl/>
              <w:jc w:val="center"/>
              <w:rPr>
                <w:color w:val="auto"/>
                <w:kern w:val="0"/>
                <w:sz w:val="21"/>
                <w:szCs w:val="21"/>
              </w:rPr>
            </w:pPr>
            <w:r>
              <w:rPr>
                <w:rFonts w:hint="eastAsia"/>
                <w:color w:val="auto"/>
                <w:kern w:val="0"/>
                <w:sz w:val="21"/>
                <w:szCs w:val="21"/>
              </w:rPr>
              <w:t>40000</w:t>
            </w:r>
          </w:p>
        </w:tc>
        <w:tc>
          <w:tcPr>
            <w:tcW w:w="4445" w:type="dxa"/>
            <w:shd w:val="clear" w:color="auto" w:fill="auto"/>
            <w:noWrap/>
            <w:vAlign w:val="center"/>
          </w:tcPr>
          <w:p>
            <w:pPr>
              <w:widowControl/>
              <w:jc w:val="center"/>
              <w:rPr>
                <w:color w:val="auto"/>
                <w:kern w:val="0"/>
                <w:sz w:val="21"/>
                <w:szCs w:val="21"/>
              </w:rPr>
            </w:pPr>
            <w:r>
              <w:rPr>
                <w:rFonts w:hint="eastAsia"/>
                <w:color w:val="auto"/>
                <w:kern w:val="0"/>
                <w:sz w:val="21"/>
                <w:szCs w:val="21"/>
              </w:rPr>
              <w:t>西北分区、北部分区、东北分区、中部分区34500</w:t>
            </w:r>
            <w:r>
              <w:rPr>
                <w:color w:val="auto"/>
                <w:kern w:val="0"/>
                <w:sz w:val="21"/>
                <w:szCs w:val="21"/>
              </w:rPr>
              <w:t>m</w:t>
            </w:r>
            <w:r>
              <w:rPr>
                <w:color w:val="auto"/>
                <w:kern w:val="0"/>
                <w:sz w:val="21"/>
                <w:szCs w:val="21"/>
                <w:vertAlign w:val="superscript"/>
              </w:rPr>
              <w:t>3</w:t>
            </w:r>
            <w:r>
              <w:rPr>
                <w:color w:val="auto"/>
                <w:kern w:val="0"/>
                <w:sz w:val="21"/>
                <w:szCs w:val="21"/>
              </w:rPr>
              <w:t>/d</w:t>
            </w:r>
            <w:r>
              <w:rPr>
                <w:rFonts w:hint="eastAsia"/>
                <w:color w:val="auto"/>
                <w:kern w:val="0"/>
                <w:sz w:val="21"/>
                <w:szCs w:val="21"/>
              </w:rPr>
              <w:t>污水量+南部片区4000</w:t>
            </w:r>
            <w:r>
              <w:rPr>
                <w:color w:val="auto"/>
                <w:kern w:val="0"/>
                <w:sz w:val="21"/>
                <w:szCs w:val="21"/>
              </w:rPr>
              <w:t>m</w:t>
            </w:r>
            <w:r>
              <w:rPr>
                <w:color w:val="auto"/>
                <w:kern w:val="0"/>
                <w:sz w:val="21"/>
                <w:szCs w:val="21"/>
                <w:vertAlign w:val="superscript"/>
              </w:rPr>
              <w:t>3</w:t>
            </w:r>
            <w:r>
              <w:rPr>
                <w:color w:val="auto"/>
                <w:kern w:val="0"/>
                <w:sz w:val="21"/>
                <w:szCs w:val="21"/>
              </w:rPr>
              <w:t>/d</w:t>
            </w:r>
            <w:r>
              <w:rPr>
                <w:rFonts w:hint="eastAsia"/>
                <w:color w:val="auto"/>
                <w:kern w:val="0"/>
                <w:sz w:val="21"/>
                <w:szCs w:val="21"/>
              </w:rPr>
              <w:t>污水量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77" w:type="dxa"/>
            <w:shd w:val="clear" w:color="auto" w:fill="auto"/>
            <w:noWrap/>
            <w:vAlign w:val="center"/>
          </w:tcPr>
          <w:p>
            <w:pPr>
              <w:widowControl/>
              <w:jc w:val="center"/>
              <w:rPr>
                <w:color w:val="auto"/>
                <w:kern w:val="0"/>
                <w:sz w:val="21"/>
                <w:szCs w:val="21"/>
              </w:rPr>
            </w:pPr>
            <w:r>
              <w:rPr>
                <w:color w:val="auto"/>
                <w:kern w:val="0"/>
                <w:sz w:val="21"/>
                <w:szCs w:val="21"/>
              </w:rPr>
              <w:t>2</w:t>
            </w:r>
          </w:p>
        </w:tc>
        <w:tc>
          <w:tcPr>
            <w:tcW w:w="1699" w:type="dxa"/>
            <w:shd w:val="clear" w:color="auto" w:fill="auto"/>
            <w:noWrap/>
            <w:vAlign w:val="center"/>
          </w:tcPr>
          <w:p>
            <w:pPr>
              <w:widowControl/>
              <w:jc w:val="center"/>
              <w:rPr>
                <w:color w:val="auto"/>
                <w:kern w:val="0"/>
                <w:sz w:val="21"/>
                <w:szCs w:val="21"/>
              </w:rPr>
            </w:pPr>
            <w:r>
              <w:rPr>
                <w:rFonts w:hint="eastAsia"/>
                <w:color w:val="auto"/>
                <w:kern w:val="0"/>
                <w:sz w:val="21"/>
                <w:szCs w:val="21"/>
              </w:rPr>
              <w:t>油新水质净化厂</w:t>
            </w:r>
          </w:p>
        </w:tc>
        <w:tc>
          <w:tcPr>
            <w:tcW w:w="1701" w:type="dxa"/>
            <w:shd w:val="clear" w:color="auto" w:fill="auto"/>
            <w:noWrap/>
            <w:vAlign w:val="center"/>
          </w:tcPr>
          <w:p>
            <w:pPr>
              <w:widowControl/>
              <w:jc w:val="center"/>
              <w:rPr>
                <w:color w:val="auto"/>
                <w:kern w:val="0"/>
                <w:sz w:val="21"/>
                <w:szCs w:val="21"/>
              </w:rPr>
            </w:pPr>
            <w:r>
              <w:rPr>
                <w:rFonts w:hint="eastAsia"/>
                <w:color w:val="auto"/>
                <w:kern w:val="0"/>
                <w:sz w:val="21"/>
                <w:szCs w:val="21"/>
              </w:rPr>
              <w:t>20000</w:t>
            </w:r>
          </w:p>
        </w:tc>
        <w:tc>
          <w:tcPr>
            <w:tcW w:w="4445" w:type="dxa"/>
            <w:shd w:val="clear" w:color="auto" w:fill="auto"/>
            <w:noWrap/>
            <w:vAlign w:val="center"/>
          </w:tcPr>
          <w:p>
            <w:pPr>
              <w:widowControl/>
              <w:jc w:val="center"/>
              <w:rPr>
                <w:color w:val="auto"/>
                <w:kern w:val="0"/>
                <w:sz w:val="21"/>
                <w:szCs w:val="21"/>
              </w:rPr>
            </w:pPr>
            <w:r>
              <w:rPr>
                <w:rFonts w:hint="eastAsia"/>
                <w:color w:val="auto"/>
                <w:kern w:val="0"/>
                <w:sz w:val="21"/>
                <w:szCs w:val="21"/>
              </w:rPr>
              <w:t>南部片区18900</w:t>
            </w:r>
            <w:r>
              <w:rPr>
                <w:color w:val="auto"/>
                <w:kern w:val="0"/>
                <w:sz w:val="21"/>
                <w:szCs w:val="21"/>
              </w:rPr>
              <w:t>m</w:t>
            </w:r>
            <w:r>
              <w:rPr>
                <w:color w:val="auto"/>
                <w:kern w:val="0"/>
                <w:sz w:val="21"/>
                <w:szCs w:val="21"/>
                <w:vertAlign w:val="superscript"/>
              </w:rPr>
              <w:t>3</w:t>
            </w:r>
            <w:r>
              <w:rPr>
                <w:color w:val="auto"/>
                <w:kern w:val="0"/>
                <w:sz w:val="21"/>
                <w:szCs w:val="21"/>
              </w:rPr>
              <w:t>/d</w:t>
            </w:r>
            <w:r>
              <w:rPr>
                <w:rFonts w:hint="eastAsia"/>
                <w:color w:val="auto"/>
                <w:kern w:val="0"/>
                <w:sz w:val="21"/>
                <w:szCs w:val="21"/>
              </w:rPr>
              <w:t>污水量</w:t>
            </w:r>
          </w:p>
        </w:tc>
      </w:tr>
    </w:tbl>
    <w:p>
      <w:pPr>
        <w:spacing w:line="360" w:lineRule="auto"/>
        <w:ind w:firstLine="480" w:firstLineChars="200"/>
        <w:jc w:val="left"/>
        <w:rPr>
          <w:color w:val="auto"/>
          <w:kern w:val="0"/>
          <w:sz w:val="24"/>
          <w:szCs w:val="24"/>
        </w:rPr>
      </w:pPr>
      <w:r>
        <w:rPr>
          <w:rFonts w:hint="eastAsia"/>
          <w:color w:val="auto"/>
          <w:sz w:val="24"/>
          <w:szCs w:val="24"/>
        </w:rPr>
        <w:t>由上述规划可知，五华河东绿色生态工业小镇拟建设2座水质净化厂，即化裕水质净化厂和油新水质净化厂。其中，化裕水质净化厂主要收集</w:t>
      </w:r>
      <w:r>
        <w:rPr>
          <w:rFonts w:hint="eastAsia"/>
          <w:color w:val="auto"/>
          <w:kern w:val="0"/>
          <w:sz w:val="24"/>
          <w:szCs w:val="24"/>
        </w:rPr>
        <w:t>西北分区、北部分区、东北分区、中部分区的全部和南部片区的部分污水，共3.85万</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，其远期设计规模为4万</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，可满足该片区排水需求；油新水质净化厂</w:t>
      </w:r>
      <w:r>
        <w:rPr>
          <w:rFonts w:hint="eastAsia"/>
          <w:color w:val="auto"/>
          <w:sz w:val="24"/>
          <w:szCs w:val="24"/>
        </w:rPr>
        <w:t>主要收集南部片区的大部分污水及五华河东绿色生态工业小镇南区东边村庄的生活污水，共1.89</w:t>
      </w:r>
      <w:r>
        <w:rPr>
          <w:rFonts w:hint="eastAsia"/>
          <w:color w:val="auto"/>
          <w:kern w:val="0"/>
          <w:sz w:val="24"/>
          <w:szCs w:val="24"/>
        </w:rPr>
        <w:t>万</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，其远期设计规模为2万</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，亦可满足该片区排水需求。</w:t>
      </w:r>
    </w:p>
    <w:p>
      <w:pPr>
        <w:spacing w:line="360" w:lineRule="auto"/>
        <w:ind w:firstLine="480" w:firstLineChars="200"/>
        <w:rPr>
          <w:color w:val="auto"/>
          <w:sz w:val="24"/>
          <w:szCs w:val="24"/>
        </w:rPr>
      </w:pPr>
      <w:r>
        <w:rPr>
          <w:rFonts w:hint="eastAsia"/>
          <w:color w:val="auto"/>
          <w:kern w:val="0"/>
          <w:sz w:val="24"/>
          <w:szCs w:val="24"/>
        </w:rPr>
        <w:t>本报告仅对油新水质净化厂进行分析评价，由上述分析可知，油新水质净化厂工程规模远期确定为2万</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是可行的。</w:t>
      </w:r>
    </w:p>
    <w:p>
      <w:pPr>
        <w:pStyle w:val="3"/>
        <w:rPr>
          <w:color w:val="auto"/>
        </w:rPr>
      </w:pPr>
      <w:bookmarkStart w:id="76" w:name="_Toc26276810"/>
      <w:bookmarkStart w:id="77" w:name="_Toc24514"/>
      <w:r>
        <w:rPr>
          <w:rFonts w:hint="eastAsia"/>
          <w:color w:val="auto"/>
        </w:rPr>
        <w:t>3.3污水处理厂进、出水水质分析</w:t>
      </w:r>
      <w:bookmarkEnd w:id="76"/>
      <w:bookmarkEnd w:id="77"/>
    </w:p>
    <w:p>
      <w:pPr>
        <w:pStyle w:val="4"/>
        <w:rPr>
          <w:color w:val="auto"/>
        </w:rPr>
      </w:pPr>
      <w:bookmarkStart w:id="78" w:name="_Toc26276811"/>
      <w:r>
        <w:rPr>
          <w:rFonts w:hint="eastAsia"/>
          <w:color w:val="auto"/>
        </w:rPr>
        <w:t>3.3.1进水水质确定</w:t>
      </w:r>
      <w:bookmarkEnd w:id="78"/>
    </w:p>
    <w:p>
      <w:pPr>
        <w:spacing w:line="360" w:lineRule="auto"/>
        <w:ind w:firstLine="480" w:firstLineChars="200"/>
        <w:rPr>
          <w:color w:val="auto"/>
          <w:sz w:val="24"/>
          <w:szCs w:val="24"/>
        </w:rPr>
      </w:pPr>
      <w:r>
        <w:rPr>
          <w:rFonts w:hint="eastAsia"/>
          <w:color w:val="auto"/>
          <w:sz w:val="24"/>
          <w:szCs w:val="24"/>
        </w:rPr>
        <w:t>油新水质净化厂集水范围主要为五华河东绿色生态工业小镇南部分区产生的大部分污水（包括生活污水和工业废水）及五华河东绿色生态工业小镇南区东边村庄的生活污水。根据建设单位提供的资料，本项目接纳污水中，生活污水占其70%，即5600</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；工业废水占30%</w:t>
      </w:r>
      <w:r>
        <w:rPr>
          <w:rFonts w:hint="eastAsia"/>
          <w:color w:val="auto"/>
          <w:sz w:val="24"/>
          <w:szCs w:val="24"/>
        </w:rPr>
        <w:t>，即2400</w:t>
      </w:r>
      <w:r>
        <w:rPr>
          <w:color w:val="auto"/>
          <w:kern w:val="0"/>
          <w:sz w:val="24"/>
          <w:szCs w:val="24"/>
        </w:rPr>
        <w:t>m</w:t>
      </w:r>
      <w:r>
        <w:rPr>
          <w:color w:val="auto"/>
          <w:kern w:val="0"/>
          <w:sz w:val="24"/>
          <w:szCs w:val="24"/>
          <w:vertAlign w:val="superscript"/>
        </w:rPr>
        <w:t>3</w:t>
      </w:r>
      <w:r>
        <w:rPr>
          <w:color w:val="auto"/>
          <w:kern w:val="0"/>
          <w:sz w:val="24"/>
          <w:szCs w:val="24"/>
        </w:rPr>
        <w:t>/d</w:t>
      </w:r>
      <w:r>
        <w:rPr>
          <w:rFonts w:hint="eastAsia"/>
          <w:color w:val="auto"/>
          <w:kern w:val="0"/>
          <w:sz w:val="24"/>
          <w:szCs w:val="24"/>
        </w:rPr>
        <w:t>。目前，五华河东绿色生态工业小镇还处于招商引资阶段，后期接纳的工业废水具有不确定性，根据园区准入条件及环保要求，五华河东绿色生态工业小镇主要引入符合国家产业政策、无污染或轻污染的一、二类工业，严禁引进排放含有毒有害物质和一类污染物的项目。因此，本项目接纳的废水不属于含重金属污水，污染因子主要为COD</w:t>
      </w:r>
      <w:r>
        <w:rPr>
          <w:rFonts w:hint="eastAsia"/>
          <w:color w:val="auto"/>
          <w:kern w:val="0"/>
          <w:sz w:val="24"/>
          <w:szCs w:val="24"/>
          <w:vertAlign w:val="subscript"/>
        </w:rPr>
        <w:t>Cr</w:t>
      </w:r>
      <w:r>
        <w:rPr>
          <w:rFonts w:hint="eastAsia"/>
          <w:color w:val="auto"/>
          <w:kern w:val="0"/>
          <w:sz w:val="24"/>
          <w:szCs w:val="24"/>
        </w:rPr>
        <w:t>、BOD</w:t>
      </w:r>
      <w:r>
        <w:rPr>
          <w:rFonts w:hint="eastAsia"/>
          <w:color w:val="auto"/>
          <w:kern w:val="0"/>
          <w:sz w:val="24"/>
          <w:szCs w:val="24"/>
          <w:vertAlign w:val="subscript"/>
        </w:rPr>
        <w:t>5</w:t>
      </w:r>
      <w:r>
        <w:rPr>
          <w:rFonts w:hint="eastAsia"/>
          <w:color w:val="auto"/>
          <w:kern w:val="0"/>
          <w:sz w:val="24"/>
          <w:szCs w:val="24"/>
        </w:rPr>
        <w:t>、SS和氨氮，废水成分较为简单，可经生产企业预处理设施处理后接入园区污水管道。</w:t>
      </w:r>
      <w:r>
        <w:rPr>
          <w:rFonts w:hint="eastAsia"/>
          <w:color w:val="auto"/>
          <w:sz w:val="24"/>
          <w:szCs w:val="24"/>
        </w:rPr>
        <w:t>为保证水质净化厂顺利建设及正常运行，降低运行费用，有关部门须对境内排放污染物的单位提出要求，工业废水严格控制废水中重金属及有毒、有害物质的排放，废水排放需经过企业内部预处理设施处理后再排入市政污水管网，使排入本水质净化厂的工业废水严格执行相应标准要求，并符合本工程进水水质标准要求。</w:t>
      </w:r>
    </w:p>
    <w:p>
      <w:pPr>
        <w:spacing w:line="360" w:lineRule="auto"/>
        <w:ind w:firstLine="480" w:firstLineChars="200"/>
        <w:rPr>
          <w:rFonts w:hint="eastAsia"/>
          <w:color w:val="auto"/>
          <w:sz w:val="24"/>
          <w:szCs w:val="24"/>
        </w:rPr>
      </w:pPr>
      <w:r>
        <w:rPr>
          <w:rFonts w:hint="eastAsia"/>
          <w:color w:val="auto"/>
          <w:sz w:val="24"/>
          <w:szCs w:val="24"/>
        </w:rPr>
        <w:t>由于企业所排工业废水需经内部污水预处理设施预处理后再排入市政污水管网，这部分污水中BOD较低，可生化性较差。生活污水一般经化粪池处理后，再排入水质净化厂，BOD较高，可生化性好，但是NH</w:t>
      </w:r>
      <w:r>
        <w:rPr>
          <w:rFonts w:hint="eastAsia"/>
          <w:color w:val="auto"/>
          <w:sz w:val="24"/>
          <w:szCs w:val="24"/>
          <w:vertAlign w:val="subscript"/>
        </w:rPr>
        <w:t>3</w:t>
      </w:r>
      <w:r>
        <w:rPr>
          <w:rFonts w:hint="eastAsia"/>
          <w:color w:val="auto"/>
          <w:sz w:val="24"/>
          <w:szCs w:val="24"/>
        </w:rPr>
        <w:t>-N、TP、TN含量较高。为了更加准确的预测本项目进水水质指标，更好的确定水质净化厂处理工艺，参照广州番禺（五华）产业转移工业园水质净化厂（污水处理能力为1.5万m</w:t>
      </w:r>
      <w:r>
        <w:rPr>
          <w:rFonts w:hint="eastAsia"/>
          <w:color w:val="auto"/>
          <w:sz w:val="24"/>
          <w:szCs w:val="24"/>
          <w:vertAlign w:val="superscript"/>
        </w:rPr>
        <w:t>3</w:t>
      </w:r>
      <w:r>
        <w:rPr>
          <w:rFonts w:hint="eastAsia"/>
          <w:color w:val="auto"/>
          <w:sz w:val="24"/>
          <w:szCs w:val="24"/>
        </w:rPr>
        <w:t>/d，其中工业废水处理能力为4000m</w:t>
      </w:r>
      <w:r>
        <w:rPr>
          <w:rFonts w:hint="eastAsia"/>
          <w:color w:val="auto"/>
          <w:sz w:val="24"/>
          <w:szCs w:val="24"/>
          <w:vertAlign w:val="superscript"/>
        </w:rPr>
        <w:t>3</w:t>
      </w:r>
      <w:r>
        <w:rPr>
          <w:rFonts w:hint="eastAsia"/>
          <w:color w:val="auto"/>
          <w:sz w:val="24"/>
          <w:szCs w:val="24"/>
        </w:rPr>
        <w:t>/d，生活污水处理能力为11000m</w:t>
      </w:r>
      <w:r>
        <w:rPr>
          <w:rFonts w:hint="eastAsia"/>
          <w:color w:val="auto"/>
          <w:sz w:val="24"/>
          <w:szCs w:val="24"/>
          <w:vertAlign w:val="superscript"/>
        </w:rPr>
        <w:t>3</w:t>
      </w:r>
      <w:r>
        <w:rPr>
          <w:rFonts w:hint="eastAsia"/>
          <w:color w:val="auto"/>
          <w:sz w:val="24"/>
          <w:szCs w:val="24"/>
        </w:rPr>
        <w:t>/d，工业废水约占总进水量的26.7%，同本项目相似）的进水水质，同时考虑到进入水质净化厂处理的废水必须达到广东省《水污染物排放限值》（DB44/26-2001）第二时段三级标准，部分指标参照执行《污水排入城镇下水道水质标准》（GB/T31962-2015）B等级标准的要求后方可进入污水管网，预测油新水质净化厂的进水水质指标见下表。</w:t>
      </w:r>
    </w:p>
    <w:p>
      <w:pPr>
        <w:spacing w:line="360" w:lineRule="auto"/>
        <w:ind w:firstLine="480" w:firstLineChars="200"/>
        <w:rPr>
          <w:rFonts w:hint="eastAsia"/>
          <w:color w:val="auto"/>
          <w:sz w:val="24"/>
          <w:szCs w:val="24"/>
        </w:rPr>
      </w:pPr>
    </w:p>
    <w:p>
      <w:pPr>
        <w:spacing w:line="360" w:lineRule="auto"/>
        <w:jc w:val="center"/>
        <w:rPr>
          <w:b/>
          <w:color w:val="auto"/>
          <w:sz w:val="24"/>
          <w:szCs w:val="24"/>
        </w:rPr>
      </w:pPr>
      <w:r>
        <w:rPr>
          <w:rFonts w:hint="eastAsia"/>
          <w:b/>
          <w:color w:val="auto"/>
          <w:sz w:val="24"/>
          <w:szCs w:val="24"/>
        </w:rPr>
        <w:t>表3-3-1   设计进水水质一览表   单位：mg/L，标明的除外</w:t>
      </w:r>
    </w:p>
    <w:tbl>
      <w:tblPr>
        <w:tblStyle w:val="29"/>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851"/>
        <w:gridCol w:w="992"/>
        <w:gridCol w:w="851"/>
        <w:gridCol w:w="567"/>
        <w:gridCol w:w="850"/>
        <w:gridCol w:w="851"/>
        <w:gridCol w:w="1417"/>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189" w:type="dxa"/>
            <w:vAlign w:val="center"/>
          </w:tcPr>
          <w:p>
            <w:pPr>
              <w:jc w:val="center"/>
              <w:rPr>
                <w:b/>
                <w:color w:val="auto"/>
                <w:sz w:val="21"/>
                <w:szCs w:val="21"/>
              </w:rPr>
            </w:pPr>
            <w:r>
              <w:rPr>
                <w:rFonts w:hint="eastAsia"/>
                <w:b/>
                <w:color w:val="auto"/>
                <w:sz w:val="21"/>
                <w:szCs w:val="21"/>
              </w:rPr>
              <w:t>污染物</w:t>
            </w:r>
          </w:p>
        </w:tc>
        <w:tc>
          <w:tcPr>
            <w:tcW w:w="851" w:type="dxa"/>
            <w:vAlign w:val="center"/>
          </w:tcPr>
          <w:p>
            <w:pPr>
              <w:jc w:val="center"/>
              <w:rPr>
                <w:b/>
                <w:color w:val="auto"/>
                <w:sz w:val="21"/>
                <w:szCs w:val="21"/>
              </w:rPr>
            </w:pPr>
            <w:r>
              <w:rPr>
                <w:b/>
                <w:color w:val="auto"/>
                <w:sz w:val="21"/>
                <w:szCs w:val="21"/>
              </w:rPr>
              <w:t>COD</w:t>
            </w:r>
            <w:r>
              <w:rPr>
                <w:rFonts w:hint="eastAsia"/>
                <w:b/>
                <w:color w:val="auto"/>
                <w:sz w:val="21"/>
                <w:szCs w:val="21"/>
                <w:vertAlign w:val="subscript"/>
              </w:rPr>
              <w:t>C</w:t>
            </w:r>
            <w:r>
              <w:rPr>
                <w:b/>
                <w:color w:val="auto"/>
                <w:sz w:val="21"/>
                <w:szCs w:val="21"/>
                <w:vertAlign w:val="subscript"/>
              </w:rPr>
              <w:t>r</w:t>
            </w:r>
          </w:p>
        </w:tc>
        <w:tc>
          <w:tcPr>
            <w:tcW w:w="992" w:type="dxa"/>
            <w:vAlign w:val="center"/>
          </w:tcPr>
          <w:p>
            <w:pPr>
              <w:jc w:val="center"/>
              <w:rPr>
                <w:b/>
                <w:color w:val="auto"/>
                <w:sz w:val="21"/>
                <w:szCs w:val="21"/>
              </w:rPr>
            </w:pPr>
            <w:r>
              <w:rPr>
                <w:b/>
                <w:color w:val="auto"/>
                <w:sz w:val="21"/>
                <w:szCs w:val="21"/>
              </w:rPr>
              <w:t>BOD</w:t>
            </w:r>
            <w:r>
              <w:rPr>
                <w:b/>
                <w:color w:val="auto"/>
                <w:sz w:val="21"/>
                <w:szCs w:val="21"/>
                <w:vertAlign w:val="subscript"/>
              </w:rPr>
              <w:t>5</w:t>
            </w:r>
          </w:p>
        </w:tc>
        <w:tc>
          <w:tcPr>
            <w:tcW w:w="851" w:type="dxa"/>
            <w:vAlign w:val="center"/>
          </w:tcPr>
          <w:p>
            <w:pPr>
              <w:jc w:val="center"/>
              <w:rPr>
                <w:b/>
                <w:color w:val="auto"/>
                <w:sz w:val="21"/>
                <w:szCs w:val="21"/>
              </w:rPr>
            </w:pPr>
            <w:r>
              <w:rPr>
                <w:b/>
                <w:color w:val="auto"/>
                <w:sz w:val="21"/>
                <w:szCs w:val="21"/>
              </w:rPr>
              <w:t>SS</w:t>
            </w:r>
          </w:p>
        </w:tc>
        <w:tc>
          <w:tcPr>
            <w:tcW w:w="567" w:type="dxa"/>
            <w:vAlign w:val="center"/>
          </w:tcPr>
          <w:p>
            <w:pPr>
              <w:jc w:val="center"/>
              <w:rPr>
                <w:b/>
                <w:color w:val="auto"/>
                <w:sz w:val="21"/>
                <w:szCs w:val="21"/>
              </w:rPr>
            </w:pPr>
            <w:r>
              <w:rPr>
                <w:b/>
                <w:color w:val="auto"/>
                <w:sz w:val="21"/>
                <w:szCs w:val="21"/>
              </w:rPr>
              <w:t>TN</w:t>
            </w:r>
          </w:p>
        </w:tc>
        <w:tc>
          <w:tcPr>
            <w:tcW w:w="850" w:type="dxa"/>
            <w:vAlign w:val="center"/>
          </w:tcPr>
          <w:p>
            <w:pPr>
              <w:jc w:val="center"/>
              <w:rPr>
                <w:b/>
                <w:color w:val="auto"/>
                <w:sz w:val="21"/>
                <w:szCs w:val="21"/>
              </w:rPr>
            </w:pPr>
            <w:r>
              <w:rPr>
                <w:b/>
                <w:color w:val="auto"/>
                <w:sz w:val="21"/>
                <w:szCs w:val="21"/>
              </w:rPr>
              <w:t>NH</w:t>
            </w:r>
            <w:r>
              <w:rPr>
                <w:b/>
                <w:color w:val="auto"/>
                <w:sz w:val="21"/>
                <w:szCs w:val="21"/>
                <w:vertAlign w:val="subscript"/>
              </w:rPr>
              <w:t>3</w:t>
            </w:r>
            <w:r>
              <w:rPr>
                <w:b/>
                <w:color w:val="auto"/>
                <w:sz w:val="21"/>
                <w:szCs w:val="21"/>
              </w:rPr>
              <w:t>-N</w:t>
            </w:r>
          </w:p>
        </w:tc>
        <w:tc>
          <w:tcPr>
            <w:tcW w:w="851" w:type="dxa"/>
            <w:vAlign w:val="center"/>
          </w:tcPr>
          <w:p>
            <w:pPr>
              <w:jc w:val="center"/>
              <w:rPr>
                <w:b/>
                <w:color w:val="auto"/>
                <w:sz w:val="21"/>
                <w:szCs w:val="21"/>
              </w:rPr>
            </w:pPr>
            <w:r>
              <w:rPr>
                <w:b/>
                <w:color w:val="auto"/>
                <w:sz w:val="21"/>
                <w:szCs w:val="21"/>
              </w:rPr>
              <w:t>TP</w:t>
            </w:r>
          </w:p>
        </w:tc>
        <w:tc>
          <w:tcPr>
            <w:tcW w:w="1417" w:type="dxa"/>
            <w:vAlign w:val="center"/>
          </w:tcPr>
          <w:p>
            <w:pPr>
              <w:jc w:val="center"/>
              <w:rPr>
                <w:b/>
                <w:color w:val="auto"/>
                <w:sz w:val="21"/>
                <w:szCs w:val="21"/>
              </w:rPr>
            </w:pPr>
            <w:r>
              <w:rPr>
                <w:b/>
                <w:color w:val="auto"/>
                <w:sz w:val="21"/>
                <w:szCs w:val="21"/>
              </w:rPr>
              <w:t>pH</w:t>
            </w:r>
            <w:r>
              <w:rPr>
                <w:rFonts w:hint="eastAsia"/>
                <w:b/>
                <w:color w:val="auto"/>
                <w:sz w:val="21"/>
                <w:szCs w:val="21"/>
              </w:rPr>
              <w:t>（无量纲）</w:t>
            </w:r>
          </w:p>
        </w:tc>
        <w:tc>
          <w:tcPr>
            <w:tcW w:w="1277" w:type="dxa"/>
            <w:vAlign w:val="center"/>
          </w:tcPr>
          <w:p>
            <w:pPr>
              <w:jc w:val="center"/>
              <w:rPr>
                <w:b/>
                <w:color w:val="auto"/>
                <w:sz w:val="21"/>
                <w:szCs w:val="21"/>
              </w:rPr>
            </w:pPr>
            <w:r>
              <w:rPr>
                <w:rFonts w:hint="eastAsia"/>
                <w:b/>
                <w:color w:val="auto"/>
                <w:sz w:val="21"/>
                <w:szCs w:val="21"/>
              </w:rPr>
              <w:t>余氯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189" w:type="dxa"/>
            <w:vAlign w:val="center"/>
          </w:tcPr>
          <w:p>
            <w:pPr>
              <w:jc w:val="center"/>
              <w:rPr>
                <w:color w:val="auto"/>
                <w:sz w:val="21"/>
                <w:szCs w:val="21"/>
              </w:rPr>
            </w:pPr>
            <w:r>
              <w:rPr>
                <w:rFonts w:hint="eastAsia"/>
                <w:color w:val="auto"/>
                <w:sz w:val="21"/>
                <w:szCs w:val="21"/>
              </w:rPr>
              <w:t>进水浓度</w:t>
            </w:r>
          </w:p>
        </w:tc>
        <w:tc>
          <w:tcPr>
            <w:tcW w:w="851" w:type="dxa"/>
            <w:vAlign w:val="center"/>
          </w:tcPr>
          <w:p>
            <w:pPr>
              <w:jc w:val="center"/>
              <w:rPr>
                <w:color w:val="auto"/>
                <w:sz w:val="21"/>
                <w:szCs w:val="21"/>
              </w:rPr>
            </w:pPr>
            <w:r>
              <w:rPr>
                <w:rFonts w:hint="eastAsia"/>
                <w:color w:val="auto"/>
                <w:sz w:val="21"/>
                <w:szCs w:val="21"/>
              </w:rPr>
              <w:t>500</w:t>
            </w:r>
          </w:p>
        </w:tc>
        <w:tc>
          <w:tcPr>
            <w:tcW w:w="992" w:type="dxa"/>
            <w:vAlign w:val="center"/>
          </w:tcPr>
          <w:p>
            <w:pPr>
              <w:jc w:val="center"/>
              <w:rPr>
                <w:color w:val="auto"/>
                <w:sz w:val="21"/>
                <w:szCs w:val="21"/>
              </w:rPr>
            </w:pPr>
            <w:r>
              <w:rPr>
                <w:rFonts w:hint="eastAsia"/>
                <w:color w:val="auto"/>
                <w:sz w:val="21"/>
                <w:szCs w:val="21"/>
              </w:rPr>
              <w:t>200</w:t>
            </w:r>
          </w:p>
        </w:tc>
        <w:tc>
          <w:tcPr>
            <w:tcW w:w="851" w:type="dxa"/>
            <w:vAlign w:val="center"/>
          </w:tcPr>
          <w:p>
            <w:pPr>
              <w:jc w:val="center"/>
              <w:rPr>
                <w:color w:val="auto"/>
                <w:sz w:val="21"/>
                <w:szCs w:val="21"/>
              </w:rPr>
            </w:pPr>
            <w:r>
              <w:rPr>
                <w:rFonts w:hint="eastAsia"/>
                <w:color w:val="auto"/>
                <w:sz w:val="21"/>
                <w:szCs w:val="21"/>
              </w:rPr>
              <w:t>300</w:t>
            </w:r>
          </w:p>
        </w:tc>
        <w:tc>
          <w:tcPr>
            <w:tcW w:w="567" w:type="dxa"/>
            <w:vAlign w:val="center"/>
          </w:tcPr>
          <w:p>
            <w:pPr>
              <w:jc w:val="center"/>
              <w:rPr>
                <w:color w:val="auto"/>
                <w:sz w:val="21"/>
                <w:szCs w:val="21"/>
              </w:rPr>
            </w:pPr>
            <w:r>
              <w:rPr>
                <w:rFonts w:hint="eastAsia"/>
                <w:color w:val="auto"/>
                <w:sz w:val="21"/>
                <w:szCs w:val="21"/>
              </w:rPr>
              <w:t>50</w:t>
            </w:r>
          </w:p>
        </w:tc>
        <w:tc>
          <w:tcPr>
            <w:tcW w:w="850" w:type="dxa"/>
            <w:vAlign w:val="center"/>
          </w:tcPr>
          <w:p>
            <w:pPr>
              <w:jc w:val="center"/>
              <w:rPr>
                <w:color w:val="auto"/>
                <w:sz w:val="21"/>
                <w:szCs w:val="21"/>
              </w:rPr>
            </w:pPr>
            <w:r>
              <w:rPr>
                <w:rFonts w:hint="eastAsia"/>
                <w:color w:val="auto"/>
                <w:sz w:val="21"/>
                <w:szCs w:val="21"/>
              </w:rPr>
              <w:t>40</w:t>
            </w:r>
          </w:p>
        </w:tc>
        <w:tc>
          <w:tcPr>
            <w:tcW w:w="851" w:type="dxa"/>
            <w:vAlign w:val="center"/>
          </w:tcPr>
          <w:p>
            <w:pPr>
              <w:jc w:val="center"/>
              <w:rPr>
                <w:color w:val="auto"/>
                <w:sz w:val="21"/>
                <w:szCs w:val="21"/>
              </w:rPr>
            </w:pPr>
            <w:r>
              <w:rPr>
                <w:rFonts w:hint="eastAsia"/>
                <w:color w:val="auto"/>
                <w:sz w:val="21"/>
                <w:szCs w:val="21"/>
              </w:rPr>
              <w:t>8.0</w:t>
            </w:r>
          </w:p>
        </w:tc>
        <w:tc>
          <w:tcPr>
            <w:tcW w:w="1417" w:type="dxa"/>
            <w:vAlign w:val="center"/>
          </w:tcPr>
          <w:p>
            <w:pPr>
              <w:jc w:val="center"/>
              <w:rPr>
                <w:color w:val="auto"/>
                <w:sz w:val="21"/>
                <w:szCs w:val="21"/>
              </w:rPr>
            </w:pPr>
            <w:r>
              <w:rPr>
                <w:rFonts w:hint="eastAsia"/>
                <w:color w:val="auto"/>
                <w:sz w:val="21"/>
                <w:szCs w:val="21"/>
              </w:rPr>
              <w:t>6~9</w:t>
            </w:r>
          </w:p>
        </w:tc>
        <w:tc>
          <w:tcPr>
            <w:tcW w:w="1277" w:type="dxa"/>
            <w:vAlign w:val="center"/>
          </w:tcPr>
          <w:p>
            <w:pPr>
              <w:jc w:val="center"/>
              <w:rPr>
                <w:color w:val="auto"/>
                <w:sz w:val="21"/>
                <w:szCs w:val="21"/>
              </w:rPr>
            </w:pPr>
            <w:r>
              <w:rPr>
                <w:rFonts w:hint="eastAsia"/>
                <w:color w:val="auto"/>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189" w:type="dxa"/>
            <w:vAlign w:val="center"/>
          </w:tcPr>
          <w:p>
            <w:pPr>
              <w:jc w:val="center"/>
              <w:rPr>
                <w:b/>
                <w:color w:val="auto"/>
                <w:sz w:val="21"/>
                <w:szCs w:val="21"/>
              </w:rPr>
            </w:pPr>
            <w:r>
              <w:rPr>
                <w:rFonts w:hint="eastAsia"/>
                <w:b/>
                <w:color w:val="auto"/>
                <w:sz w:val="21"/>
                <w:szCs w:val="21"/>
              </w:rPr>
              <w:t>污染物</w:t>
            </w:r>
          </w:p>
        </w:tc>
        <w:tc>
          <w:tcPr>
            <w:tcW w:w="851" w:type="dxa"/>
            <w:vAlign w:val="center"/>
          </w:tcPr>
          <w:p>
            <w:pPr>
              <w:jc w:val="center"/>
              <w:rPr>
                <w:b/>
                <w:color w:val="auto"/>
                <w:sz w:val="21"/>
                <w:szCs w:val="21"/>
              </w:rPr>
            </w:pPr>
            <w:r>
              <w:rPr>
                <w:rFonts w:hint="eastAsia"/>
                <w:b/>
                <w:color w:val="auto"/>
                <w:sz w:val="21"/>
                <w:szCs w:val="21"/>
              </w:rPr>
              <w:t>溶解氧</w:t>
            </w:r>
          </w:p>
        </w:tc>
        <w:tc>
          <w:tcPr>
            <w:tcW w:w="992" w:type="dxa"/>
            <w:vAlign w:val="center"/>
          </w:tcPr>
          <w:p>
            <w:pPr>
              <w:jc w:val="center"/>
              <w:rPr>
                <w:b/>
                <w:color w:val="auto"/>
                <w:sz w:val="21"/>
                <w:szCs w:val="21"/>
              </w:rPr>
            </w:pPr>
            <w:r>
              <w:rPr>
                <w:rFonts w:hint="eastAsia"/>
                <w:b/>
                <w:color w:val="auto"/>
                <w:sz w:val="21"/>
                <w:szCs w:val="21"/>
              </w:rPr>
              <w:t>浊度（NTU）</w:t>
            </w:r>
          </w:p>
        </w:tc>
        <w:tc>
          <w:tcPr>
            <w:tcW w:w="851" w:type="dxa"/>
            <w:vAlign w:val="center"/>
          </w:tcPr>
          <w:p>
            <w:pPr>
              <w:jc w:val="center"/>
              <w:rPr>
                <w:b/>
                <w:color w:val="auto"/>
                <w:sz w:val="21"/>
                <w:szCs w:val="21"/>
              </w:rPr>
            </w:pPr>
            <w:r>
              <w:rPr>
                <w:rFonts w:hint="eastAsia"/>
                <w:b/>
                <w:color w:val="auto"/>
                <w:sz w:val="21"/>
                <w:szCs w:val="21"/>
              </w:rPr>
              <w:t>色度（度）</w:t>
            </w:r>
          </w:p>
        </w:tc>
        <w:tc>
          <w:tcPr>
            <w:tcW w:w="567" w:type="dxa"/>
            <w:vAlign w:val="center"/>
          </w:tcPr>
          <w:p>
            <w:pPr>
              <w:jc w:val="center"/>
              <w:rPr>
                <w:b/>
                <w:color w:val="auto"/>
                <w:sz w:val="21"/>
                <w:szCs w:val="21"/>
              </w:rPr>
            </w:pPr>
            <w:r>
              <w:rPr>
                <w:rFonts w:hint="eastAsia"/>
                <w:b/>
                <w:color w:val="auto"/>
                <w:sz w:val="21"/>
                <w:szCs w:val="21"/>
              </w:rPr>
              <w:t>铁</w:t>
            </w:r>
          </w:p>
        </w:tc>
        <w:tc>
          <w:tcPr>
            <w:tcW w:w="850" w:type="dxa"/>
            <w:vAlign w:val="center"/>
          </w:tcPr>
          <w:p>
            <w:pPr>
              <w:jc w:val="center"/>
              <w:rPr>
                <w:b/>
                <w:color w:val="auto"/>
                <w:sz w:val="21"/>
                <w:szCs w:val="21"/>
              </w:rPr>
            </w:pPr>
            <w:r>
              <w:rPr>
                <w:rFonts w:hint="eastAsia"/>
                <w:b/>
                <w:color w:val="auto"/>
                <w:sz w:val="21"/>
                <w:szCs w:val="21"/>
              </w:rPr>
              <w:t>锰</w:t>
            </w:r>
          </w:p>
        </w:tc>
        <w:tc>
          <w:tcPr>
            <w:tcW w:w="851" w:type="dxa"/>
            <w:vAlign w:val="center"/>
          </w:tcPr>
          <w:p>
            <w:pPr>
              <w:jc w:val="center"/>
              <w:rPr>
                <w:b/>
                <w:color w:val="auto"/>
                <w:sz w:val="21"/>
                <w:szCs w:val="21"/>
              </w:rPr>
            </w:pPr>
            <w:r>
              <w:rPr>
                <w:rFonts w:hint="eastAsia"/>
                <w:b/>
                <w:color w:val="auto"/>
                <w:sz w:val="21"/>
                <w:szCs w:val="21"/>
              </w:rPr>
              <w:t>溶解性总固体</w:t>
            </w:r>
          </w:p>
        </w:tc>
        <w:tc>
          <w:tcPr>
            <w:tcW w:w="1417" w:type="dxa"/>
            <w:vAlign w:val="center"/>
          </w:tcPr>
          <w:p>
            <w:pPr>
              <w:jc w:val="center"/>
              <w:rPr>
                <w:b/>
                <w:color w:val="auto"/>
                <w:sz w:val="21"/>
                <w:szCs w:val="21"/>
              </w:rPr>
            </w:pPr>
            <w:r>
              <w:rPr>
                <w:rFonts w:hint="eastAsia"/>
                <w:b/>
                <w:color w:val="auto"/>
                <w:sz w:val="21"/>
                <w:szCs w:val="21"/>
              </w:rPr>
              <w:t>阴离子表面活性剂</w:t>
            </w:r>
          </w:p>
        </w:tc>
        <w:tc>
          <w:tcPr>
            <w:tcW w:w="1277" w:type="dxa"/>
            <w:vAlign w:val="center"/>
          </w:tcPr>
          <w:p>
            <w:pPr>
              <w:jc w:val="center"/>
              <w:rPr>
                <w:b/>
                <w:color w:val="auto"/>
                <w:sz w:val="21"/>
                <w:szCs w:val="21"/>
              </w:rPr>
            </w:pPr>
            <w:r>
              <w:rPr>
                <w:rFonts w:hint="eastAsia"/>
                <w:b/>
                <w:color w:val="auto"/>
                <w:sz w:val="21"/>
                <w:szCs w:val="21"/>
              </w:rPr>
              <w:t>粪大肠菌群数（个/L）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189" w:type="dxa"/>
            <w:vAlign w:val="center"/>
          </w:tcPr>
          <w:p>
            <w:pPr>
              <w:jc w:val="center"/>
              <w:rPr>
                <w:color w:val="auto"/>
                <w:sz w:val="21"/>
                <w:szCs w:val="21"/>
              </w:rPr>
            </w:pPr>
            <w:r>
              <w:rPr>
                <w:rFonts w:hint="eastAsia"/>
                <w:color w:val="auto"/>
                <w:sz w:val="21"/>
                <w:szCs w:val="21"/>
              </w:rPr>
              <w:t>进水浓度</w:t>
            </w:r>
          </w:p>
        </w:tc>
        <w:tc>
          <w:tcPr>
            <w:tcW w:w="851" w:type="dxa"/>
            <w:vAlign w:val="center"/>
          </w:tcPr>
          <w:p>
            <w:pPr>
              <w:jc w:val="center"/>
              <w:rPr>
                <w:color w:val="auto"/>
                <w:sz w:val="21"/>
                <w:szCs w:val="21"/>
              </w:rPr>
            </w:pPr>
            <w:r>
              <w:rPr>
                <w:rFonts w:hint="eastAsia"/>
                <w:color w:val="auto"/>
                <w:sz w:val="21"/>
                <w:szCs w:val="21"/>
              </w:rPr>
              <w:t>——</w:t>
            </w:r>
          </w:p>
        </w:tc>
        <w:tc>
          <w:tcPr>
            <w:tcW w:w="992" w:type="dxa"/>
            <w:vAlign w:val="center"/>
          </w:tcPr>
          <w:p>
            <w:pPr>
              <w:jc w:val="center"/>
              <w:rPr>
                <w:color w:val="auto"/>
                <w:sz w:val="21"/>
                <w:szCs w:val="21"/>
              </w:rPr>
            </w:pPr>
            <w:r>
              <w:rPr>
                <w:rFonts w:hint="eastAsia"/>
                <w:color w:val="auto"/>
                <w:sz w:val="21"/>
                <w:szCs w:val="21"/>
              </w:rPr>
              <w:t>——</w:t>
            </w:r>
          </w:p>
        </w:tc>
        <w:tc>
          <w:tcPr>
            <w:tcW w:w="851" w:type="dxa"/>
            <w:vAlign w:val="center"/>
          </w:tcPr>
          <w:p>
            <w:pPr>
              <w:jc w:val="center"/>
              <w:rPr>
                <w:color w:val="auto"/>
                <w:sz w:val="21"/>
                <w:szCs w:val="21"/>
              </w:rPr>
            </w:pPr>
            <w:r>
              <w:rPr>
                <w:rFonts w:hint="eastAsia"/>
                <w:color w:val="auto"/>
                <w:sz w:val="21"/>
                <w:szCs w:val="21"/>
              </w:rPr>
              <w:t>64</w:t>
            </w:r>
          </w:p>
        </w:tc>
        <w:tc>
          <w:tcPr>
            <w:tcW w:w="567" w:type="dxa"/>
            <w:vAlign w:val="center"/>
          </w:tcPr>
          <w:p>
            <w:pPr>
              <w:jc w:val="center"/>
              <w:rPr>
                <w:color w:val="auto"/>
                <w:sz w:val="21"/>
                <w:szCs w:val="21"/>
              </w:rPr>
            </w:pPr>
            <w:r>
              <w:rPr>
                <w:rFonts w:hint="eastAsia"/>
                <w:color w:val="auto"/>
                <w:sz w:val="21"/>
                <w:szCs w:val="21"/>
              </w:rPr>
              <w:t>0</w:t>
            </w:r>
          </w:p>
        </w:tc>
        <w:tc>
          <w:tcPr>
            <w:tcW w:w="850" w:type="dxa"/>
            <w:vAlign w:val="center"/>
          </w:tcPr>
          <w:p>
            <w:pPr>
              <w:jc w:val="center"/>
              <w:rPr>
                <w:color w:val="auto"/>
                <w:sz w:val="21"/>
                <w:szCs w:val="21"/>
              </w:rPr>
            </w:pPr>
            <w:r>
              <w:rPr>
                <w:rFonts w:hint="eastAsia"/>
                <w:color w:val="auto"/>
                <w:sz w:val="21"/>
                <w:szCs w:val="21"/>
              </w:rPr>
              <w:t>0</w:t>
            </w:r>
          </w:p>
        </w:tc>
        <w:tc>
          <w:tcPr>
            <w:tcW w:w="851" w:type="dxa"/>
            <w:vAlign w:val="center"/>
          </w:tcPr>
          <w:p>
            <w:pPr>
              <w:jc w:val="center"/>
              <w:rPr>
                <w:color w:val="auto"/>
                <w:sz w:val="21"/>
                <w:szCs w:val="21"/>
              </w:rPr>
            </w:pPr>
            <w:r>
              <w:rPr>
                <w:rFonts w:hint="eastAsia"/>
                <w:color w:val="auto"/>
                <w:sz w:val="21"/>
                <w:szCs w:val="21"/>
              </w:rPr>
              <w:t>2000</w:t>
            </w:r>
          </w:p>
        </w:tc>
        <w:tc>
          <w:tcPr>
            <w:tcW w:w="1417" w:type="dxa"/>
            <w:vAlign w:val="center"/>
          </w:tcPr>
          <w:p>
            <w:pPr>
              <w:jc w:val="center"/>
              <w:rPr>
                <w:color w:val="auto"/>
                <w:sz w:val="21"/>
                <w:szCs w:val="21"/>
              </w:rPr>
            </w:pPr>
            <w:r>
              <w:rPr>
                <w:rFonts w:hint="eastAsia"/>
                <w:color w:val="auto"/>
                <w:sz w:val="21"/>
                <w:szCs w:val="21"/>
              </w:rPr>
              <w:t>20</w:t>
            </w:r>
          </w:p>
        </w:tc>
        <w:tc>
          <w:tcPr>
            <w:tcW w:w="1277" w:type="dxa"/>
            <w:vAlign w:val="center"/>
          </w:tcPr>
          <w:p>
            <w:pPr>
              <w:jc w:val="center"/>
              <w:rPr>
                <w:color w:val="auto"/>
                <w:sz w:val="21"/>
                <w:szCs w:val="21"/>
              </w:rPr>
            </w:pPr>
            <w:r>
              <w:rPr>
                <w:rFonts w:hint="eastAsia"/>
                <w:color w:val="auto"/>
                <w:sz w:val="21"/>
                <w:szCs w:val="21"/>
              </w:rPr>
              <w:t>——</w:t>
            </w:r>
          </w:p>
        </w:tc>
      </w:tr>
    </w:tbl>
    <w:p>
      <w:pPr>
        <w:pStyle w:val="4"/>
        <w:rPr>
          <w:color w:val="auto"/>
        </w:rPr>
      </w:pPr>
      <w:bookmarkStart w:id="79" w:name="_Toc26276812"/>
      <w:r>
        <w:rPr>
          <w:rFonts w:hint="eastAsia"/>
          <w:color w:val="auto"/>
        </w:rPr>
        <w:t>3.3.2出水水质确定</w:t>
      </w:r>
      <w:bookmarkEnd w:id="79"/>
    </w:p>
    <w:p>
      <w:pPr>
        <w:spacing w:line="360" w:lineRule="auto"/>
        <w:ind w:firstLine="480" w:firstLineChars="200"/>
        <w:jc w:val="left"/>
        <w:rPr>
          <w:color w:val="auto"/>
          <w:sz w:val="24"/>
          <w:szCs w:val="24"/>
        </w:rPr>
      </w:pPr>
      <w:r>
        <w:rPr>
          <w:rFonts w:hint="eastAsia"/>
          <w:color w:val="auto"/>
          <w:sz w:val="24"/>
          <w:szCs w:val="24"/>
        </w:rPr>
        <w:t>本项目位于梅州市五华县河东镇，根据《梅州市人民政府关于印发广东梅兴华丰产业集聚带发展总体规划</w:t>
      </w:r>
      <w:r>
        <w:rPr>
          <w:color w:val="auto"/>
          <w:sz w:val="24"/>
          <w:szCs w:val="24"/>
        </w:rPr>
        <w:t>（2015—2030年）</w:t>
      </w:r>
      <w:r>
        <w:rPr>
          <w:rFonts w:hint="eastAsia"/>
          <w:color w:val="auto"/>
          <w:sz w:val="24"/>
          <w:szCs w:val="24"/>
        </w:rPr>
        <w:t>实施方案的通知》（梅市府函〔2016〕67号），五华县属于“一核四组团”中四个外围产业组团之一—“五华县组团”。根据《梅州市人民政府关于印发广东梅兴华丰产业集聚带发展总体规划</w:t>
      </w:r>
      <w:r>
        <w:rPr>
          <w:color w:val="auto"/>
          <w:sz w:val="24"/>
          <w:szCs w:val="24"/>
        </w:rPr>
        <w:t>（2015—2030年）</w:t>
      </w:r>
      <w:r>
        <w:rPr>
          <w:rFonts w:hint="eastAsia"/>
          <w:color w:val="auto"/>
          <w:sz w:val="24"/>
          <w:szCs w:val="24"/>
        </w:rPr>
        <w:t>实施方案的通知》（梅市府函〔2016〕67号）要求：“严格控制各污水处理厂的排水标准和出水水质，产业集聚带核心区各污水处理厂对废水进行深度处理，出水水质达到《地表水环境质量标准》（GB3838-2002）Ⅳ类后方可排放。”，由此确定本项目出水水质需执行《地表水环境质量标准》（GB3838-2002）准Ⅳ类标准（即SS、粪大肠菌群数达到《城镇污水处理厂污染物排放标准》（GB18918-2002）中的一级A出水标准，其它主要污染指标达到地表水Ⅳ类标准，TN放宽至10mg/L），结合项目回用水水质执行《城市污水再生利用 城市杂用水水质》（GB/T18920-2020），具体浓度值列于下表。</w:t>
      </w:r>
    </w:p>
    <w:p>
      <w:pPr>
        <w:spacing w:line="360" w:lineRule="auto"/>
        <w:jc w:val="center"/>
        <w:rPr>
          <w:b/>
          <w:color w:val="auto"/>
          <w:sz w:val="24"/>
          <w:szCs w:val="24"/>
        </w:rPr>
      </w:pPr>
      <w:r>
        <w:rPr>
          <w:rFonts w:hint="eastAsia"/>
          <w:b/>
          <w:color w:val="auto"/>
          <w:sz w:val="24"/>
          <w:szCs w:val="24"/>
        </w:rPr>
        <w:t>表3-3-2   设计出水水质一览表   单位：mg/L，标明的除外</w:t>
      </w:r>
    </w:p>
    <w:tbl>
      <w:tblPr>
        <w:tblStyle w:val="29"/>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851"/>
        <w:gridCol w:w="992"/>
        <w:gridCol w:w="850"/>
        <w:gridCol w:w="709"/>
        <w:gridCol w:w="1134"/>
        <w:gridCol w:w="851"/>
        <w:gridCol w:w="1134"/>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b/>
                <w:color w:val="auto"/>
                <w:sz w:val="21"/>
                <w:szCs w:val="21"/>
              </w:rPr>
            </w:pPr>
            <w:r>
              <w:rPr>
                <w:rFonts w:hint="eastAsia"/>
                <w:b/>
                <w:color w:val="auto"/>
                <w:sz w:val="21"/>
                <w:szCs w:val="21"/>
              </w:rPr>
              <w:t>污染物</w:t>
            </w:r>
          </w:p>
        </w:tc>
        <w:tc>
          <w:tcPr>
            <w:tcW w:w="851" w:type="dxa"/>
            <w:vAlign w:val="center"/>
          </w:tcPr>
          <w:p>
            <w:pPr>
              <w:jc w:val="center"/>
              <w:rPr>
                <w:b/>
                <w:color w:val="auto"/>
                <w:sz w:val="21"/>
                <w:szCs w:val="21"/>
              </w:rPr>
            </w:pPr>
            <w:r>
              <w:rPr>
                <w:b/>
                <w:color w:val="auto"/>
                <w:sz w:val="21"/>
                <w:szCs w:val="21"/>
              </w:rPr>
              <w:t>COD</w:t>
            </w:r>
            <w:r>
              <w:rPr>
                <w:rFonts w:hint="eastAsia"/>
                <w:b/>
                <w:color w:val="auto"/>
                <w:sz w:val="21"/>
                <w:szCs w:val="21"/>
                <w:vertAlign w:val="subscript"/>
              </w:rPr>
              <w:t>C</w:t>
            </w:r>
            <w:r>
              <w:rPr>
                <w:b/>
                <w:color w:val="auto"/>
                <w:sz w:val="21"/>
                <w:szCs w:val="21"/>
                <w:vertAlign w:val="subscript"/>
              </w:rPr>
              <w:t>r</w:t>
            </w:r>
          </w:p>
        </w:tc>
        <w:tc>
          <w:tcPr>
            <w:tcW w:w="992" w:type="dxa"/>
            <w:vAlign w:val="center"/>
          </w:tcPr>
          <w:p>
            <w:pPr>
              <w:jc w:val="center"/>
              <w:rPr>
                <w:b/>
                <w:color w:val="auto"/>
                <w:sz w:val="21"/>
                <w:szCs w:val="21"/>
              </w:rPr>
            </w:pPr>
            <w:r>
              <w:rPr>
                <w:b/>
                <w:color w:val="auto"/>
                <w:sz w:val="21"/>
                <w:szCs w:val="21"/>
              </w:rPr>
              <w:t>BOD</w:t>
            </w:r>
            <w:r>
              <w:rPr>
                <w:b/>
                <w:color w:val="auto"/>
                <w:sz w:val="21"/>
                <w:szCs w:val="21"/>
                <w:vertAlign w:val="subscript"/>
              </w:rPr>
              <w:t>5</w:t>
            </w:r>
          </w:p>
        </w:tc>
        <w:tc>
          <w:tcPr>
            <w:tcW w:w="850" w:type="dxa"/>
            <w:vAlign w:val="center"/>
          </w:tcPr>
          <w:p>
            <w:pPr>
              <w:jc w:val="center"/>
              <w:rPr>
                <w:b/>
                <w:color w:val="auto"/>
                <w:sz w:val="21"/>
                <w:szCs w:val="21"/>
              </w:rPr>
            </w:pPr>
            <w:r>
              <w:rPr>
                <w:b/>
                <w:color w:val="auto"/>
                <w:sz w:val="21"/>
                <w:szCs w:val="21"/>
              </w:rPr>
              <w:t>SS</w:t>
            </w:r>
          </w:p>
        </w:tc>
        <w:tc>
          <w:tcPr>
            <w:tcW w:w="709" w:type="dxa"/>
            <w:vAlign w:val="center"/>
          </w:tcPr>
          <w:p>
            <w:pPr>
              <w:jc w:val="center"/>
              <w:rPr>
                <w:b/>
                <w:color w:val="auto"/>
                <w:sz w:val="21"/>
                <w:szCs w:val="21"/>
              </w:rPr>
            </w:pPr>
            <w:r>
              <w:rPr>
                <w:b/>
                <w:color w:val="auto"/>
                <w:sz w:val="21"/>
                <w:szCs w:val="21"/>
              </w:rPr>
              <w:t>TN</w:t>
            </w:r>
          </w:p>
        </w:tc>
        <w:tc>
          <w:tcPr>
            <w:tcW w:w="1134" w:type="dxa"/>
            <w:vAlign w:val="center"/>
          </w:tcPr>
          <w:p>
            <w:pPr>
              <w:jc w:val="center"/>
              <w:rPr>
                <w:b/>
                <w:color w:val="auto"/>
                <w:sz w:val="21"/>
                <w:szCs w:val="21"/>
              </w:rPr>
            </w:pPr>
            <w:r>
              <w:rPr>
                <w:b/>
                <w:color w:val="auto"/>
                <w:sz w:val="21"/>
                <w:szCs w:val="21"/>
              </w:rPr>
              <w:t>NH</w:t>
            </w:r>
            <w:r>
              <w:rPr>
                <w:b/>
                <w:color w:val="auto"/>
                <w:sz w:val="21"/>
                <w:szCs w:val="21"/>
                <w:vertAlign w:val="subscript"/>
              </w:rPr>
              <w:t>3</w:t>
            </w:r>
            <w:r>
              <w:rPr>
                <w:b/>
                <w:color w:val="auto"/>
                <w:sz w:val="21"/>
                <w:szCs w:val="21"/>
              </w:rPr>
              <w:t>-N</w:t>
            </w:r>
          </w:p>
        </w:tc>
        <w:tc>
          <w:tcPr>
            <w:tcW w:w="851" w:type="dxa"/>
            <w:vAlign w:val="center"/>
          </w:tcPr>
          <w:p>
            <w:pPr>
              <w:jc w:val="center"/>
              <w:rPr>
                <w:b/>
                <w:color w:val="auto"/>
                <w:sz w:val="21"/>
                <w:szCs w:val="21"/>
              </w:rPr>
            </w:pPr>
            <w:r>
              <w:rPr>
                <w:b/>
                <w:color w:val="auto"/>
                <w:sz w:val="21"/>
                <w:szCs w:val="21"/>
              </w:rPr>
              <w:t>TP</w:t>
            </w:r>
          </w:p>
        </w:tc>
        <w:tc>
          <w:tcPr>
            <w:tcW w:w="1134" w:type="dxa"/>
            <w:vAlign w:val="center"/>
          </w:tcPr>
          <w:p>
            <w:pPr>
              <w:jc w:val="center"/>
              <w:rPr>
                <w:b/>
                <w:color w:val="auto"/>
                <w:sz w:val="21"/>
                <w:szCs w:val="21"/>
              </w:rPr>
            </w:pPr>
            <w:r>
              <w:rPr>
                <w:b/>
                <w:color w:val="auto"/>
                <w:sz w:val="21"/>
                <w:szCs w:val="21"/>
              </w:rPr>
              <w:t>pH</w:t>
            </w:r>
            <w:r>
              <w:rPr>
                <w:rFonts w:hint="eastAsia"/>
                <w:b/>
                <w:color w:val="auto"/>
                <w:sz w:val="21"/>
                <w:szCs w:val="21"/>
              </w:rPr>
              <w:t>（无量纲）</w:t>
            </w:r>
          </w:p>
        </w:tc>
        <w:tc>
          <w:tcPr>
            <w:tcW w:w="1275" w:type="dxa"/>
            <w:vAlign w:val="center"/>
          </w:tcPr>
          <w:p>
            <w:pPr>
              <w:jc w:val="center"/>
              <w:rPr>
                <w:b/>
                <w:color w:val="auto"/>
                <w:sz w:val="21"/>
                <w:szCs w:val="21"/>
              </w:rPr>
            </w:pPr>
            <w:r>
              <w:rPr>
                <w:rFonts w:hint="eastAsia"/>
                <w:b/>
                <w:color w:val="auto"/>
                <w:sz w:val="21"/>
                <w:szCs w:val="21"/>
              </w:rPr>
              <w:t>粪大肠菌群数（个/L）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color w:val="auto"/>
                <w:sz w:val="21"/>
                <w:szCs w:val="21"/>
              </w:rPr>
            </w:pPr>
            <w:r>
              <w:rPr>
                <w:rFonts w:hint="eastAsia"/>
                <w:color w:val="auto"/>
                <w:sz w:val="21"/>
                <w:szCs w:val="21"/>
              </w:rPr>
              <w:t>出水浓度</w:t>
            </w:r>
          </w:p>
        </w:tc>
        <w:tc>
          <w:tcPr>
            <w:tcW w:w="851" w:type="dxa"/>
            <w:vAlign w:val="center"/>
          </w:tcPr>
          <w:p>
            <w:pPr>
              <w:jc w:val="center"/>
              <w:rPr>
                <w:color w:val="auto"/>
                <w:sz w:val="21"/>
                <w:szCs w:val="21"/>
              </w:rPr>
            </w:pPr>
            <w:r>
              <w:rPr>
                <w:rFonts w:hint="eastAsia"/>
                <w:color w:val="auto"/>
                <w:sz w:val="21"/>
                <w:szCs w:val="21"/>
              </w:rPr>
              <w:t>≦30</w:t>
            </w:r>
          </w:p>
        </w:tc>
        <w:tc>
          <w:tcPr>
            <w:tcW w:w="992" w:type="dxa"/>
            <w:vAlign w:val="center"/>
          </w:tcPr>
          <w:p>
            <w:pPr>
              <w:jc w:val="center"/>
              <w:rPr>
                <w:color w:val="auto"/>
                <w:sz w:val="21"/>
                <w:szCs w:val="21"/>
              </w:rPr>
            </w:pPr>
            <w:r>
              <w:rPr>
                <w:rFonts w:hint="eastAsia"/>
                <w:color w:val="auto"/>
                <w:sz w:val="21"/>
                <w:szCs w:val="21"/>
              </w:rPr>
              <w:t>≦6</w:t>
            </w:r>
          </w:p>
        </w:tc>
        <w:tc>
          <w:tcPr>
            <w:tcW w:w="850" w:type="dxa"/>
            <w:vAlign w:val="center"/>
          </w:tcPr>
          <w:p>
            <w:pPr>
              <w:jc w:val="center"/>
              <w:rPr>
                <w:color w:val="auto"/>
                <w:sz w:val="21"/>
                <w:szCs w:val="21"/>
              </w:rPr>
            </w:pPr>
            <w:r>
              <w:rPr>
                <w:rFonts w:hint="eastAsia"/>
                <w:color w:val="auto"/>
                <w:sz w:val="21"/>
                <w:szCs w:val="21"/>
              </w:rPr>
              <w:t>≦10</w:t>
            </w:r>
          </w:p>
        </w:tc>
        <w:tc>
          <w:tcPr>
            <w:tcW w:w="709" w:type="dxa"/>
            <w:vAlign w:val="center"/>
          </w:tcPr>
          <w:p>
            <w:pPr>
              <w:jc w:val="center"/>
              <w:rPr>
                <w:color w:val="auto"/>
                <w:sz w:val="21"/>
                <w:szCs w:val="21"/>
              </w:rPr>
            </w:pPr>
            <w:r>
              <w:rPr>
                <w:rFonts w:hint="eastAsia"/>
                <w:color w:val="auto"/>
                <w:sz w:val="21"/>
                <w:szCs w:val="21"/>
              </w:rPr>
              <w:t>≦10</w:t>
            </w:r>
          </w:p>
        </w:tc>
        <w:tc>
          <w:tcPr>
            <w:tcW w:w="1134" w:type="dxa"/>
            <w:vAlign w:val="center"/>
          </w:tcPr>
          <w:p>
            <w:pPr>
              <w:jc w:val="center"/>
              <w:rPr>
                <w:color w:val="auto"/>
                <w:sz w:val="21"/>
                <w:szCs w:val="21"/>
              </w:rPr>
            </w:pPr>
            <w:r>
              <w:rPr>
                <w:rFonts w:hint="eastAsia"/>
                <w:color w:val="auto"/>
                <w:sz w:val="21"/>
                <w:szCs w:val="21"/>
              </w:rPr>
              <w:t>≦1.5（3）</w:t>
            </w:r>
          </w:p>
        </w:tc>
        <w:tc>
          <w:tcPr>
            <w:tcW w:w="851" w:type="dxa"/>
            <w:vAlign w:val="center"/>
          </w:tcPr>
          <w:p>
            <w:pPr>
              <w:jc w:val="center"/>
              <w:rPr>
                <w:color w:val="auto"/>
                <w:sz w:val="21"/>
                <w:szCs w:val="21"/>
              </w:rPr>
            </w:pPr>
            <w:r>
              <w:rPr>
                <w:rFonts w:hint="eastAsia"/>
                <w:color w:val="auto"/>
                <w:sz w:val="21"/>
                <w:szCs w:val="21"/>
              </w:rPr>
              <w:t>≦0.3</w:t>
            </w:r>
          </w:p>
        </w:tc>
        <w:tc>
          <w:tcPr>
            <w:tcW w:w="1134" w:type="dxa"/>
            <w:vAlign w:val="center"/>
          </w:tcPr>
          <w:p>
            <w:pPr>
              <w:jc w:val="center"/>
              <w:rPr>
                <w:color w:val="auto"/>
                <w:sz w:val="21"/>
                <w:szCs w:val="21"/>
              </w:rPr>
            </w:pPr>
            <w:r>
              <w:rPr>
                <w:rFonts w:hint="eastAsia"/>
                <w:color w:val="auto"/>
                <w:sz w:val="21"/>
                <w:szCs w:val="21"/>
              </w:rPr>
              <w:t>6~9</w:t>
            </w:r>
          </w:p>
        </w:tc>
        <w:tc>
          <w:tcPr>
            <w:tcW w:w="1275" w:type="dxa"/>
            <w:vAlign w:val="center"/>
          </w:tcPr>
          <w:p>
            <w:pPr>
              <w:jc w:val="center"/>
              <w:rPr>
                <w:color w:val="auto"/>
                <w:sz w:val="21"/>
                <w:szCs w:val="21"/>
              </w:rPr>
            </w:pPr>
            <w:r>
              <w:rPr>
                <w:rFonts w:hint="eastAsia"/>
                <w:color w:val="auto"/>
                <w:sz w:val="21"/>
                <w:szCs w:val="21"/>
              </w:rPr>
              <w:t>≦10</w:t>
            </w:r>
            <w:r>
              <w:rPr>
                <w:rFonts w:hint="eastAsia"/>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b/>
                <w:color w:val="auto"/>
                <w:sz w:val="21"/>
                <w:szCs w:val="21"/>
              </w:rPr>
            </w:pPr>
            <w:r>
              <w:rPr>
                <w:rFonts w:hint="eastAsia"/>
                <w:b/>
                <w:color w:val="auto"/>
                <w:sz w:val="21"/>
                <w:szCs w:val="21"/>
              </w:rPr>
              <w:t>污染物</w:t>
            </w:r>
          </w:p>
        </w:tc>
        <w:tc>
          <w:tcPr>
            <w:tcW w:w="851" w:type="dxa"/>
            <w:vAlign w:val="center"/>
          </w:tcPr>
          <w:p>
            <w:pPr>
              <w:jc w:val="center"/>
              <w:rPr>
                <w:b/>
                <w:color w:val="auto"/>
                <w:sz w:val="21"/>
                <w:szCs w:val="21"/>
              </w:rPr>
            </w:pPr>
            <w:r>
              <w:rPr>
                <w:rFonts w:hint="eastAsia"/>
                <w:b/>
                <w:color w:val="auto"/>
                <w:sz w:val="21"/>
                <w:szCs w:val="21"/>
              </w:rPr>
              <w:t>溶解氧</w:t>
            </w:r>
          </w:p>
        </w:tc>
        <w:tc>
          <w:tcPr>
            <w:tcW w:w="992" w:type="dxa"/>
            <w:vAlign w:val="center"/>
          </w:tcPr>
          <w:p>
            <w:pPr>
              <w:jc w:val="center"/>
              <w:rPr>
                <w:b/>
                <w:color w:val="auto"/>
                <w:sz w:val="21"/>
                <w:szCs w:val="21"/>
              </w:rPr>
            </w:pPr>
            <w:r>
              <w:rPr>
                <w:rFonts w:hint="eastAsia"/>
                <w:b/>
                <w:color w:val="auto"/>
                <w:sz w:val="21"/>
                <w:szCs w:val="21"/>
              </w:rPr>
              <w:t>浊度（NTU）</w:t>
            </w:r>
          </w:p>
        </w:tc>
        <w:tc>
          <w:tcPr>
            <w:tcW w:w="850" w:type="dxa"/>
            <w:vAlign w:val="center"/>
          </w:tcPr>
          <w:p>
            <w:pPr>
              <w:jc w:val="center"/>
              <w:rPr>
                <w:b/>
                <w:color w:val="auto"/>
                <w:sz w:val="21"/>
                <w:szCs w:val="21"/>
              </w:rPr>
            </w:pPr>
            <w:r>
              <w:rPr>
                <w:rFonts w:hint="eastAsia"/>
                <w:b/>
                <w:color w:val="auto"/>
                <w:sz w:val="21"/>
                <w:szCs w:val="21"/>
              </w:rPr>
              <w:t>色度（度）</w:t>
            </w:r>
          </w:p>
        </w:tc>
        <w:tc>
          <w:tcPr>
            <w:tcW w:w="709" w:type="dxa"/>
            <w:vAlign w:val="center"/>
          </w:tcPr>
          <w:p>
            <w:pPr>
              <w:jc w:val="center"/>
              <w:rPr>
                <w:b/>
                <w:color w:val="auto"/>
                <w:sz w:val="21"/>
                <w:szCs w:val="21"/>
              </w:rPr>
            </w:pPr>
            <w:r>
              <w:rPr>
                <w:rFonts w:hint="eastAsia"/>
                <w:b/>
                <w:color w:val="auto"/>
                <w:sz w:val="21"/>
                <w:szCs w:val="21"/>
              </w:rPr>
              <w:t>铁</w:t>
            </w:r>
          </w:p>
        </w:tc>
        <w:tc>
          <w:tcPr>
            <w:tcW w:w="1134" w:type="dxa"/>
            <w:vAlign w:val="center"/>
          </w:tcPr>
          <w:p>
            <w:pPr>
              <w:jc w:val="center"/>
              <w:rPr>
                <w:b/>
                <w:color w:val="auto"/>
                <w:sz w:val="21"/>
                <w:szCs w:val="21"/>
              </w:rPr>
            </w:pPr>
            <w:r>
              <w:rPr>
                <w:rFonts w:hint="eastAsia"/>
                <w:b/>
                <w:color w:val="auto"/>
                <w:sz w:val="21"/>
                <w:szCs w:val="21"/>
              </w:rPr>
              <w:t>锰</w:t>
            </w:r>
          </w:p>
        </w:tc>
        <w:tc>
          <w:tcPr>
            <w:tcW w:w="851" w:type="dxa"/>
            <w:vAlign w:val="center"/>
          </w:tcPr>
          <w:p>
            <w:pPr>
              <w:jc w:val="center"/>
              <w:rPr>
                <w:b/>
                <w:color w:val="auto"/>
                <w:sz w:val="21"/>
                <w:szCs w:val="21"/>
              </w:rPr>
            </w:pPr>
            <w:r>
              <w:rPr>
                <w:rFonts w:hint="eastAsia"/>
                <w:b/>
                <w:color w:val="auto"/>
                <w:sz w:val="21"/>
                <w:szCs w:val="21"/>
              </w:rPr>
              <w:t>溶解性总固体</w:t>
            </w:r>
          </w:p>
        </w:tc>
        <w:tc>
          <w:tcPr>
            <w:tcW w:w="1134" w:type="dxa"/>
            <w:vAlign w:val="center"/>
          </w:tcPr>
          <w:p>
            <w:pPr>
              <w:jc w:val="center"/>
              <w:rPr>
                <w:b/>
                <w:color w:val="auto"/>
                <w:sz w:val="21"/>
                <w:szCs w:val="21"/>
              </w:rPr>
            </w:pPr>
            <w:r>
              <w:rPr>
                <w:rFonts w:hint="eastAsia"/>
                <w:b/>
                <w:color w:val="auto"/>
                <w:sz w:val="21"/>
                <w:szCs w:val="21"/>
              </w:rPr>
              <w:t>阴离子表面活性剂</w:t>
            </w:r>
          </w:p>
        </w:tc>
        <w:tc>
          <w:tcPr>
            <w:tcW w:w="1275" w:type="dxa"/>
            <w:vAlign w:val="center"/>
          </w:tcPr>
          <w:p>
            <w:pPr>
              <w:jc w:val="center"/>
              <w:rPr>
                <w:b/>
                <w:color w:val="auto"/>
                <w:sz w:val="21"/>
                <w:szCs w:val="21"/>
              </w:rPr>
            </w:pPr>
            <w:r>
              <w:rPr>
                <w:rFonts w:hint="eastAsia"/>
                <w:b/>
                <w:color w:val="auto"/>
                <w:sz w:val="21"/>
                <w:szCs w:val="21"/>
              </w:rPr>
              <w:t>余氯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color w:val="auto"/>
                <w:sz w:val="21"/>
                <w:szCs w:val="21"/>
              </w:rPr>
            </w:pPr>
            <w:r>
              <w:rPr>
                <w:rFonts w:hint="eastAsia"/>
                <w:color w:val="auto"/>
                <w:sz w:val="21"/>
                <w:szCs w:val="21"/>
              </w:rPr>
              <w:t>出水浓度</w:t>
            </w:r>
          </w:p>
        </w:tc>
        <w:tc>
          <w:tcPr>
            <w:tcW w:w="851" w:type="dxa"/>
            <w:vAlign w:val="center"/>
          </w:tcPr>
          <w:p>
            <w:pPr>
              <w:jc w:val="center"/>
              <w:rPr>
                <w:color w:val="auto"/>
                <w:sz w:val="21"/>
                <w:szCs w:val="21"/>
              </w:rPr>
            </w:pPr>
            <w:r>
              <w:rPr>
                <w:rFonts w:hint="eastAsia"/>
                <w:color w:val="auto"/>
                <w:sz w:val="21"/>
                <w:szCs w:val="21"/>
              </w:rPr>
              <w:t>≥2.0</w:t>
            </w:r>
          </w:p>
        </w:tc>
        <w:tc>
          <w:tcPr>
            <w:tcW w:w="992" w:type="dxa"/>
            <w:vAlign w:val="center"/>
          </w:tcPr>
          <w:p>
            <w:pPr>
              <w:jc w:val="center"/>
              <w:rPr>
                <w:color w:val="auto"/>
                <w:sz w:val="21"/>
                <w:szCs w:val="21"/>
              </w:rPr>
            </w:pPr>
            <w:r>
              <w:rPr>
                <w:rFonts w:hint="eastAsia"/>
                <w:color w:val="auto"/>
                <w:sz w:val="21"/>
                <w:szCs w:val="21"/>
              </w:rPr>
              <w:t>≦5</w:t>
            </w:r>
          </w:p>
        </w:tc>
        <w:tc>
          <w:tcPr>
            <w:tcW w:w="850" w:type="dxa"/>
            <w:vAlign w:val="center"/>
          </w:tcPr>
          <w:p>
            <w:pPr>
              <w:jc w:val="center"/>
              <w:rPr>
                <w:color w:val="auto"/>
                <w:sz w:val="21"/>
                <w:szCs w:val="21"/>
              </w:rPr>
            </w:pPr>
            <w:r>
              <w:rPr>
                <w:rFonts w:hint="eastAsia"/>
                <w:color w:val="auto"/>
                <w:sz w:val="21"/>
                <w:szCs w:val="21"/>
              </w:rPr>
              <w:t>≦15</w:t>
            </w:r>
          </w:p>
        </w:tc>
        <w:tc>
          <w:tcPr>
            <w:tcW w:w="709" w:type="dxa"/>
            <w:vAlign w:val="center"/>
          </w:tcPr>
          <w:p>
            <w:pPr>
              <w:jc w:val="center"/>
              <w:rPr>
                <w:color w:val="auto"/>
                <w:sz w:val="21"/>
                <w:szCs w:val="21"/>
              </w:rPr>
            </w:pPr>
            <w:r>
              <w:rPr>
                <w:rFonts w:hint="eastAsia"/>
                <w:color w:val="auto"/>
                <w:sz w:val="21"/>
                <w:szCs w:val="21"/>
              </w:rPr>
              <w:t>0</w:t>
            </w:r>
          </w:p>
        </w:tc>
        <w:tc>
          <w:tcPr>
            <w:tcW w:w="1134" w:type="dxa"/>
            <w:vAlign w:val="center"/>
          </w:tcPr>
          <w:p>
            <w:pPr>
              <w:jc w:val="center"/>
              <w:rPr>
                <w:color w:val="auto"/>
                <w:sz w:val="21"/>
                <w:szCs w:val="21"/>
              </w:rPr>
            </w:pPr>
            <w:r>
              <w:rPr>
                <w:rFonts w:hint="eastAsia"/>
                <w:color w:val="auto"/>
                <w:sz w:val="21"/>
                <w:szCs w:val="21"/>
              </w:rPr>
              <w:t>0</w:t>
            </w:r>
          </w:p>
        </w:tc>
        <w:tc>
          <w:tcPr>
            <w:tcW w:w="851" w:type="dxa"/>
            <w:vAlign w:val="center"/>
          </w:tcPr>
          <w:p>
            <w:pPr>
              <w:jc w:val="center"/>
              <w:rPr>
                <w:b/>
                <w:color w:val="auto"/>
                <w:sz w:val="21"/>
                <w:szCs w:val="21"/>
              </w:rPr>
            </w:pPr>
            <w:r>
              <w:rPr>
                <w:rFonts w:hint="eastAsia"/>
                <w:color w:val="auto"/>
                <w:sz w:val="21"/>
                <w:szCs w:val="21"/>
              </w:rPr>
              <w:t>≦1000</w:t>
            </w:r>
          </w:p>
        </w:tc>
        <w:tc>
          <w:tcPr>
            <w:tcW w:w="1134" w:type="dxa"/>
            <w:vAlign w:val="center"/>
          </w:tcPr>
          <w:p>
            <w:pPr>
              <w:jc w:val="center"/>
              <w:rPr>
                <w:b/>
                <w:color w:val="auto"/>
                <w:sz w:val="21"/>
                <w:szCs w:val="21"/>
              </w:rPr>
            </w:pPr>
            <w:r>
              <w:rPr>
                <w:rFonts w:hint="eastAsia"/>
                <w:color w:val="auto"/>
                <w:sz w:val="21"/>
                <w:szCs w:val="21"/>
              </w:rPr>
              <w:t>≦0.5</w:t>
            </w:r>
          </w:p>
        </w:tc>
        <w:tc>
          <w:tcPr>
            <w:tcW w:w="1275" w:type="dxa"/>
            <w:vAlign w:val="center"/>
          </w:tcPr>
          <w:p>
            <w:pPr>
              <w:jc w:val="center"/>
              <w:rPr>
                <w:b/>
                <w:color w:val="auto"/>
                <w:sz w:val="21"/>
                <w:szCs w:val="21"/>
              </w:rPr>
            </w:pPr>
            <w:r>
              <w:rPr>
                <w:color w:val="auto"/>
                <w:sz w:val="21"/>
                <w:szCs w:val="21"/>
                <w:shd w:val="clear" w:color="auto" w:fill="FFFFFF"/>
              </w:rPr>
              <w:t>≥</w:t>
            </w:r>
            <w:r>
              <w:rPr>
                <w:rFonts w:hint="eastAsia"/>
                <w:iCs/>
                <w:color w:val="auto"/>
                <w:sz w:val="21"/>
                <w:szCs w:val="21"/>
              </w:rPr>
              <w:t>1.0（出厂），0.2（管网末端）</w:t>
            </w:r>
          </w:p>
        </w:tc>
      </w:tr>
    </w:tbl>
    <w:p>
      <w:pPr>
        <w:spacing w:line="360" w:lineRule="auto"/>
        <w:ind w:firstLine="480" w:firstLineChars="200"/>
        <w:rPr>
          <w:color w:val="auto"/>
          <w:sz w:val="24"/>
          <w:szCs w:val="24"/>
        </w:rPr>
      </w:pPr>
      <w:r>
        <w:rPr>
          <w:rFonts w:hint="eastAsia"/>
          <w:color w:val="auto"/>
          <w:sz w:val="24"/>
          <w:szCs w:val="24"/>
        </w:rPr>
        <w:t>注：括号内为水温≤12℃时的控制指标。</w:t>
      </w:r>
    </w:p>
    <w:p>
      <w:pPr>
        <w:pStyle w:val="4"/>
        <w:rPr>
          <w:color w:val="auto"/>
        </w:rPr>
      </w:pPr>
      <w:bookmarkStart w:id="80" w:name="_Toc26276813"/>
      <w:r>
        <w:rPr>
          <w:rFonts w:hint="eastAsia"/>
          <w:color w:val="auto"/>
        </w:rPr>
        <w:t>3.3.3本次工程出水处理效果</w:t>
      </w:r>
      <w:bookmarkEnd w:id="80"/>
    </w:p>
    <w:p>
      <w:pPr>
        <w:spacing w:line="360" w:lineRule="auto"/>
        <w:ind w:firstLine="480" w:firstLineChars="200"/>
        <w:jc w:val="left"/>
        <w:rPr>
          <w:color w:val="auto"/>
          <w:sz w:val="24"/>
          <w:szCs w:val="24"/>
        </w:rPr>
      </w:pPr>
      <w:r>
        <w:rPr>
          <w:rFonts w:hint="eastAsia"/>
          <w:color w:val="auto"/>
          <w:sz w:val="24"/>
          <w:szCs w:val="24"/>
        </w:rPr>
        <w:t>根据前述论证确定的设计进水水质和运行控制出水水质，工程应满足的污染物去除率如下表所示。</w:t>
      </w:r>
    </w:p>
    <w:p>
      <w:pPr>
        <w:spacing w:line="360" w:lineRule="auto"/>
        <w:jc w:val="center"/>
        <w:rPr>
          <w:b/>
          <w:color w:val="auto"/>
          <w:sz w:val="24"/>
          <w:szCs w:val="24"/>
        </w:rPr>
      </w:pPr>
      <w:r>
        <w:rPr>
          <w:rFonts w:hint="eastAsia"/>
          <w:b/>
          <w:color w:val="auto"/>
          <w:sz w:val="24"/>
          <w:szCs w:val="24"/>
        </w:rPr>
        <w:t>表3-3-3   本工程污染物去除率控制要求</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559"/>
        <w:gridCol w:w="2739"/>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tcPr>
          <w:p>
            <w:pPr>
              <w:jc w:val="center"/>
              <w:rPr>
                <w:b/>
                <w:color w:val="auto"/>
                <w:sz w:val="21"/>
                <w:szCs w:val="21"/>
              </w:rPr>
            </w:pPr>
            <w:r>
              <w:rPr>
                <w:rFonts w:hint="eastAsia"/>
                <w:b/>
                <w:color w:val="auto"/>
                <w:sz w:val="21"/>
                <w:szCs w:val="21"/>
              </w:rPr>
              <w:t>项目</w:t>
            </w:r>
          </w:p>
        </w:tc>
        <w:tc>
          <w:tcPr>
            <w:tcW w:w="1559" w:type="dxa"/>
          </w:tcPr>
          <w:p>
            <w:pPr>
              <w:jc w:val="center"/>
              <w:rPr>
                <w:b/>
                <w:color w:val="auto"/>
                <w:sz w:val="21"/>
                <w:szCs w:val="21"/>
              </w:rPr>
            </w:pPr>
            <w:r>
              <w:rPr>
                <w:rFonts w:hint="eastAsia"/>
                <w:b/>
                <w:color w:val="auto"/>
                <w:sz w:val="21"/>
                <w:szCs w:val="21"/>
              </w:rPr>
              <w:t>进水水质</w:t>
            </w:r>
          </w:p>
        </w:tc>
        <w:tc>
          <w:tcPr>
            <w:tcW w:w="2739" w:type="dxa"/>
          </w:tcPr>
          <w:p>
            <w:pPr>
              <w:jc w:val="center"/>
              <w:rPr>
                <w:b/>
                <w:color w:val="auto"/>
                <w:sz w:val="21"/>
                <w:szCs w:val="21"/>
              </w:rPr>
            </w:pPr>
            <w:r>
              <w:rPr>
                <w:rFonts w:hint="eastAsia"/>
                <w:b/>
                <w:color w:val="auto"/>
                <w:sz w:val="21"/>
                <w:szCs w:val="21"/>
              </w:rPr>
              <w:t>出水水质</w:t>
            </w:r>
          </w:p>
        </w:tc>
        <w:tc>
          <w:tcPr>
            <w:tcW w:w="2131" w:type="dxa"/>
          </w:tcPr>
          <w:p>
            <w:pPr>
              <w:jc w:val="center"/>
              <w:rPr>
                <w:b/>
                <w:color w:val="auto"/>
                <w:sz w:val="21"/>
                <w:szCs w:val="21"/>
              </w:rPr>
            </w:pPr>
            <w:r>
              <w:rPr>
                <w:rFonts w:hint="eastAsia"/>
                <w:b/>
                <w:color w:val="auto"/>
                <w:sz w:val="21"/>
                <w:szCs w:val="21"/>
              </w:rPr>
              <w:t>去除率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color w:val="auto"/>
                <w:sz w:val="21"/>
                <w:szCs w:val="21"/>
              </w:rPr>
            </w:pPr>
            <w:r>
              <w:rPr>
                <w:color w:val="auto"/>
                <w:sz w:val="21"/>
                <w:szCs w:val="21"/>
              </w:rPr>
              <w:t>COD</w:t>
            </w:r>
            <w:r>
              <w:rPr>
                <w:rFonts w:hint="eastAsia"/>
                <w:color w:val="auto"/>
                <w:sz w:val="21"/>
                <w:szCs w:val="21"/>
                <w:vertAlign w:val="subscript"/>
              </w:rPr>
              <w:t>C</w:t>
            </w:r>
            <w:r>
              <w:rPr>
                <w:color w:val="auto"/>
                <w:sz w:val="21"/>
                <w:szCs w:val="21"/>
                <w:vertAlign w:val="subscript"/>
              </w:rPr>
              <w:t>r</w:t>
            </w:r>
          </w:p>
        </w:tc>
        <w:tc>
          <w:tcPr>
            <w:tcW w:w="1559" w:type="dxa"/>
            <w:vAlign w:val="center"/>
          </w:tcPr>
          <w:p>
            <w:pPr>
              <w:jc w:val="center"/>
              <w:rPr>
                <w:color w:val="auto"/>
                <w:sz w:val="21"/>
                <w:szCs w:val="21"/>
              </w:rPr>
            </w:pPr>
            <w:r>
              <w:rPr>
                <w:color w:val="auto"/>
                <w:sz w:val="21"/>
                <w:szCs w:val="21"/>
              </w:rPr>
              <w:t>500</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30</w:t>
            </w:r>
            <w:r>
              <w:rPr>
                <w:rFonts w:hint="eastAsia"/>
                <w:color w:val="auto"/>
                <w:sz w:val="21"/>
                <w:szCs w:val="21"/>
              </w:rPr>
              <w:t xml:space="preserve"> mg/L</w:t>
            </w:r>
          </w:p>
        </w:tc>
        <w:tc>
          <w:tcPr>
            <w:tcW w:w="2131" w:type="dxa"/>
            <w:vAlign w:val="center"/>
          </w:tcPr>
          <w:p>
            <w:pPr>
              <w:jc w:val="center"/>
              <w:rPr>
                <w:rFonts w:ascii="宋体" w:hAnsi="宋体" w:cs="宋体"/>
                <w:color w:val="auto"/>
                <w:sz w:val="21"/>
                <w:szCs w:val="21"/>
              </w:rPr>
            </w:pPr>
            <w:r>
              <w:rPr>
                <w:rFonts w:hint="eastAsia"/>
                <w:color w:val="auto"/>
                <w:sz w:val="21"/>
                <w:szCs w:val="21"/>
              </w:rPr>
              <w:t>≧94.0%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color w:val="auto"/>
                <w:sz w:val="21"/>
                <w:szCs w:val="21"/>
              </w:rPr>
            </w:pPr>
            <w:r>
              <w:rPr>
                <w:color w:val="auto"/>
                <w:sz w:val="21"/>
                <w:szCs w:val="21"/>
              </w:rPr>
              <w:t>BOD</w:t>
            </w:r>
            <w:r>
              <w:rPr>
                <w:color w:val="auto"/>
                <w:sz w:val="21"/>
                <w:szCs w:val="21"/>
                <w:vertAlign w:val="subscript"/>
              </w:rPr>
              <w:t>5</w:t>
            </w:r>
          </w:p>
        </w:tc>
        <w:tc>
          <w:tcPr>
            <w:tcW w:w="1559" w:type="dxa"/>
            <w:vAlign w:val="center"/>
          </w:tcPr>
          <w:p>
            <w:pPr>
              <w:jc w:val="center"/>
              <w:rPr>
                <w:color w:val="auto"/>
                <w:sz w:val="21"/>
                <w:szCs w:val="21"/>
              </w:rPr>
            </w:pPr>
            <w:r>
              <w:rPr>
                <w:color w:val="auto"/>
                <w:sz w:val="21"/>
                <w:szCs w:val="21"/>
              </w:rPr>
              <w:t>200</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6</w:t>
            </w:r>
            <w:r>
              <w:rPr>
                <w:rFonts w:hint="eastAsia"/>
                <w:color w:val="auto"/>
                <w:sz w:val="21"/>
                <w:szCs w:val="21"/>
              </w:rPr>
              <w:t xml:space="preserve"> mg/L</w:t>
            </w:r>
          </w:p>
        </w:tc>
        <w:tc>
          <w:tcPr>
            <w:tcW w:w="2131" w:type="dxa"/>
            <w:vAlign w:val="center"/>
          </w:tcPr>
          <w:p>
            <w:pPr>
              <w:jc w:val="center"/>
              <w:rPr>
                <w:rFonts w:ascii="宋体" w:hAnsi="宋体" w:cs="宋体"/>
                <w:color w:val="auto"/>
                <w:sz w:val="21"/>
                <w:szCs w:val="21"/>
              </w:rPr>
            </w:pPr>
            <w:r>
              <w:rPr>
                <w:rFonts w:hint="eastAsia"/>
                <w:color w:val="auto"/>
                <w:sz w:val="21"/>
                <w:szCs w:val="21"/>
              </w:rPr>
              <w:t>≧97.0%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color w:val="auto"/>
                <w:sz w:val="21"/>
                <w:szCs w:val="21"/>
              </w:rPr>
            </w:pPr>
            <w:r>
              <w:rPr>
                <w:color w:val="auto"/>
                <w:sz w:val="21"/>
                <w:szCs w:val="21"/>
              </w:rPr>
              <w:t>SS</w:t>
            </w:r>
          </w:p>
        </w:tc>
        <w:tc>
          <w:tcPr>
            <w:tcW w:w="1559" w:type="dxa"/>
            <w:vAlign w:val="center"/>
          </w:tcPr>
          <w:p>
            <w:pPr>
              <w:jc w:val="center"/>
              <w:rPr>
                <w:color w:val="auto"/>
                <w:sz w:val="21"/>
                <w:szCs w:val="21"/>
              </w:rPr>
            </w:pPr>
            <w:r>
              <w:rPr>
                <w:color w:val="auto"/>
                <w:sz w:val="21"/>
                <w:szCs w:val="21"/>
              </w:rPr>
              <w:t>300</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10</w:t>
            </w:r>
            <w:r>
              <w:rPr>
                <w:rFonts w:hint="eastAsia"/>
                <w:color w:val="auto"/>
                <w:sz w:val="21"/>
                <w:szCs w:val="21"/>
              </w:rPr>
              <w:t xml:space="preserve"> mg/L</w:t>
            </w:r>
          </w:p>
        </w:tc>
        <w:tc>
          <w:tcPr>
            <w:tcW w:w="2131" w:type="dxa"/>
            <w:vAlign w:val="center"/>
          </w:tcPr>
          <w:p>
            <w:pPr>
              <w:jc w:val="center"/>
              <w:rPr>
                <w:rFonts w:ascii="宋体" w:hAnsi="宋体" w:cs="宋体"/>
                <w:color w:val="auto"/>
                <w:sz w:val="21"/>
                <w:szCs w:val="21"/>
              </w:rPr>
            </w:pPr>
            <w:r>
              <w:rPr>
                <w:rFonts w:hint="eastAsia"/>
                <w:color w:val="auto"/>
                <w:sz w:val="21"/>
                <w:szCs w:val="21"/>
              </w:rPr>
              <w:t>≧96.7%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color w:val="auto"/>
                <w:sz w:val="21"/>
                <w:szCs w:val="21"/>
              </w:rPr>
            </w:pPr>
            <w:r>
              <w:rPr>
                <w:color w:val="auto"/>
                <w:sz w:val="21"/>
                <w:szCs w:val="21"/>
              </w:rPr>
              <w:t>TN</w:t>
            </w:r>
          </w:p>
        </w:tc>
        <w:tc>
          <w:tcPr>
            <w:tcW w:w="1559" w:type="dxa"/>
            <w:vAlign w:val="center"/>
          </w:tcPr>
          <w:p>
            <w:pPr>
              <w:jc w:val="center"/>
              <w:rPr>
                <w:color w:val="auto"/>
                <w:sz w:val="21"/>
                <w:szCs w:val="21"/>
              </w:rPr>
            </w:pPr>
            <w:r>
              <w:rPr>
                <w:color w:val="auto"/>
                <w:sz w:val="21"/>
                <w:szCs w:val="21"/>
              </w:rPr>
              <w:t>50</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10</w:t>
            </w:r>
            <w:r>
              <w:rPr>
                <w:rFonts w:hint="eastAsia"/>
                <w:color w:val="auto"/>
                <w:sz w:val="21"/>
                <w:szCs w:val="21"/>
              </w:rPr>
              <w:t xml:space="preserve"> mg/L</w:t>
            </w:r>
          </w:p>
        </w:tc>
        <w:tc>
          <w:tcPr>
            <w:tcW w:w="2131" w:type="dxa"/>
            <w:vAlign w:val="center"/>
          </w:tcPr>
          <w:p>
            <w:pPr>
              <w:jc w:val="center"/>
              <w:rPr>
                <w:rFonts w:ascii="宋体" w:hAnsi="宋体" w:cs="宋体"/>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1559" w:type="dxa"/>
            <w:vAlign w:val="center"/>
          </w:tcPr>
          <w:p>
            <w:pPr>
              <w:jc w:val="center"/>
              <w:rPr>
                <w:color w:val="auto"/>
                <w:sz w:val="21"/>
                <w:szCs w:val="21"/>
              </w:rPr>
            </w:pPr>
            <w:r>
              <w:rPr>
                <w:color w:val="auto"/>
                <w:sz w:val="21"/>
                <w:szCs w:val="21"/>
              </w:rPr>
              <w:t>40</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1.5</w:t>
            </w:r>
            <w:r>
              <w:rPr>
                <w:rFonts w:hint="eastAsia"/>
                <w:color w:val="auto"/>
                <w:sz w:val="21"/>
                <w:szCs w:val="21"/>
              </w:rPr>
              <w:t>（</w:t>
            </w:r>
            <w:r>
              <w:rPr>
                <w:color w:val="auto"/>
                <w:sz w:val="21"/>
                <w:szCs w:val="21"/>
              </w:rPr>
              <w:t>3</w:t>
            </w:r>
            <w:r>
              <w:rPr>
                <w:rFonts w:hint="eastAsia"/>
                <w:color w:val="auto"/>
                <w:sz w:val="21"/>
                <w:szCs w:val="21"/>
              </w:rPr>
              <w:t>）mg/L</w:t>
            </w:r>
          </w:p>
        </w:tc>
        <w:tc>
          <w:tcPr>
            <w:tcW w:w="2131" w:type="dxa"/>
            <w:vAlign w:val="center"/>
          </w:tcPr>
          <w:p>
            <w:pPr>
              <w:jc w:val="center"/>
              <w:rPr>
                <w:rFonts w:ascii="宋体" w:hAnsi="宋体" w:cs="宋体"/>
                <w:color w:val="auto"/>
                <w:sz w:val="21"/>
                <w:szCs w:val="21"/>
              </w:rPr>
            </w:pPr>
            <w:r>
              <w:rPr>
                <w:rFonts w:hint="eastAsia"/>
                <w:color w:val="auto"/>
                <w:sz w:val="21"/>
                <w:szCs w:val="21"/>
              </w:rPr>
              <w:t>≧96.3（92.5）%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color w:val="auto"/>
                <w:sz w:val="21"/>
                <w:szCs w:val="21"/>
              </w:rPr>
            </w:pPr>
            <w:r>
              <w:rPr>
                <w:color w:val="auto"/>
                <w:sz w:val="21"/>
                <w:szCs w:val="21"/>
              </w:rPr>
              <w:t>TP</w:t>
            </w:r>
          </w:p>
        </w:tc>
        <w:tc>
          <w:tcPr>
            <w:tcW w:w="1559" w:type="dxa"/>
            <w:vAlign w:val="center"/>
          </w:tcPr>
          <w:p>
            <w:pPr>
              <w:jc w:val="center"/>
              <w:rPr>
                <w:color w:val="auto"/>
                <w:sz w:val="21"/>
                <w:szCs w:val="21"/>
              </w:rPr>
            </w:pPr>
            <w:r>
              <w:rPr>
                <w:color w:val="auto"/>
                <w:sz w:val="21"/>
                <w:szCs w:val="21"/>
              </w:rPr>
              <w:t>8</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0.3</w:t>
            </w:r>
            <w:r>
              <w:rPr>
                <w:rFonts w:hint="eastAsia"/>
                <w:color w:val="auto"/>
                <w:sz w:val="21"/>
                <w:szCs w:val="21"/>
              </w:rPr>
              <w:t xml:space="preserve"> mg/L</w:t>
            </w:r>
          </w:p>
        </w:tc>
        <w:tc>
          <w:tcPr>
            <w:tcW w:w="2131" w:type="dxa"/>
            <w:vAlign w:val="center"/>
          </w:tcPr>
          <w:p>
            <w:pPr>
              <w:jc w:val="center"/>
              <w:rPr>
                <w:rFonts w:ascii="宋体" w:hAnsi="宋体" w:cs="宋体"/>
                <w:color w:val="auto"/>
                <w:sz w:val="21"/>
                <w:szCs w:val="21"/>
              </w:rPr>
            </w:pPr>
            <w:r>
              <w:rPr>
                <w:rFonts w:hint="eastAsia"/>
                <w:color w:val="auto"/>
                <w:sz w:val="21"/>
                <w:szCs w:val="21"/>
              </w:rPr>
              <w:t>≧96.3%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color w:val="auto"/>
                <w:sz w:val="21"/>
                <w:szCs w:val="21"/>
              </w:rPr>
            </w:pPr>
            <w:r>
              <w:rPr>
                <w:color w:val="auto"/>
                <w:sz w:val="21"/>
                <w:szCs w:val="21"/>
              </w:rPr>
              <w:t>pH</w:t>
            </w:r>
            <w:r>
              <w:rPr>
                <w:rFonts w:hint="eastAsia"/>
                <w:color w:val="auto"/>
                <w:sz w:val="21"/>
                <w:szCs w:val="21"/>
              </w:rPr>
              <w:t>（无量纲）</w:t>
            </w:r>
          </w:p>
        </w:tc>
        <w:tc>
          <w:tcPr>
            <w:tcW w:w="1559" w:type="dxa"/>
            <w:vAlign w:val="center"/>
          </w:tcPr>
          <w:p>
            <w:pPr>
              <w:jc w:val="center"/>
              <w:rPr>
                <w:color w:val="auto"/>
                <w:sz w:val="21"/>
                <w:szCs w:val="21"/>
              </w:rPr>
            </w:pPr>
            <w:r>
              <w:rPr>
                <w:color w:val="auto"/>
                <w:sz w:val="21"/>
                <w:szCs w:val="21"/>
              </w:rPr>
              <w:t>6~9</w:t>
            </w:r>
          </w:p>
        </w:tc>
        <w:tc>
          <w:tcPr>
            <w:tcW w:w="2739" w:type="dxa"/>
            <w:vAlign w:val="center"/>
          </w:tcPr>
          <w:p>
            <w:pPr>
              <w:jc w:val="center"/>
              <w:rPr>
                <w:color w:val="auto"/>
                <w:sz w:val="21"/>
                <w:szCs w:val="21"/>
              </w:rPr>
            </w:pPr>
            <w:r>
              <w:rPr>
                <w:color w:val="auto"/>
                <w:sz w:val="21"/>
                <w:szCs w:val="21"/>
              </w:rPr>
              <w:t>6~9</w:t>
            </w:r>
          </w:p>
        </w:tc>
        <w:tc>
          <w:tcPr>
            <w:tcW w:w="2131" w:type="dxa"/>
            <w:vAlign w:val="center"/>
          </w:tcPr>
          <w:p>
            <w:pPr>
              <w:jc w:val="center"/>
              <w:rPr>
                <w:color w:val="auto"/>
                <w:sz w:val="21"/>
                <w:szCs w:val="21"/>
              </w:rPr>
            </w:pP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溶解氧</w:t>
            </w:r>
          </w:p>
        </w:tc>
        <w:tc>
          <w:tcPr>
            <w:tcW w:w="1559" w:type="dxa"/>
            <w:vAlign w:val="center"/>
          </w:tcPr>
          <w:p>
            <w:pPr>
              <w:jc w:val="center"/>
              <w:rPr>
                <w:rFonts w:ascii="宋体" w:hAnsi="宋体" w:cs="宋体"/>
                <w:color w:val="auto"/>
                <w:sz w:val="21"/>
                <w:szCs w:val="21"/>
              </w:rPr>
            </w:pPr>
            <w:r>
              <w:rPr>
                <w:rFonts w:hint="eastAsia"/>
                <w:color w:val="auto"/>
                <w:sz w:val="21"/>
                <w:szCs w:val="21"/>
              </w:rPr>
              <w:t>——</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2.0</w:t>
            </w:r>
            <w:r>
              <w:rPr>
                <w:rFonts w:hint="eastAsia"/>
                <w:color w:val="auto"/>
                <w:sz w:val="21"/>
                <w:szCs w:val="21"/>
              </w:rPr>
              <w:t xml:space="preserve"> mg/L</w:t>
            </w:r>
          </w:p>
        </w:tc>
        <w:tc>
          <w:tcPr>
            <w:tcW w:w="2131" w:type="dxa"/>
            <w:vAlign w:val="center"/>
          </w:tcPr>
          <w:p>
            <w:pPr>
              <w:jc w:val="center"/>
              <w:rPr>
                <w:color w:val="auto"/>
                <w:sz w:val="21"/>
                <w:szCs w:val="21"/>
              </w:rPr>
            </w:pP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浊度（</w:t>
            </w:r>
            <w:r>
              <w:rPr>
                <w:color w:val="auto"/>
                <w:sz w:val="21"/>
                <w:szCs w:val="21"/>
              </w:rPr>
              <w:t>NTU</w:t>
            </w:r>
            <w:r>
              <w:rPr>
                <w:rFonts w:hint="eastAsia"/>
                <w:color w:val="auto"/>
                <w:sz w:val="21"/>
                <w:szCs w:val="21"/>
              </w:rPr>
              <w:t>）</w:t>
            </w:r>
          </w:p>
        </w:tc>
        <w:tc>
          <w:tcPr>
            <w:tcW w:w="1559" w:type="dxa"/>
            <w:vAlign w:val="center"/>
          </w:tcPr>
          <w:p>
            <w:pPr>
              <w:jc w:val="center"/>
              <w:rPr>
                <w:rFonts w:ascii="宋体" w:hAnsi="宋体" w:cs="宋体"/>
                <w:color w:val="auto"/>
                <w:sz w:val="21"/>
                <w:szCs w:val="21"/>
              </w:rPr>
            </w:pPr>
            <w:r>
              <w:rPr>
                <w:rFonts w:hint="eastAsia"/>
                <w:color w:val="auto"/>
                <w:sz w:val="21"/>
                <w:szCs w:val="21"/>
              </w:rPr>
              <w:t>——</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5 NTU</w:t>
            </w:r>
          </w:p>
        </w:tc>
        <w:tc>
          <w:tcPr>
            <w:tcW w:w="2131" w:type="dxa"/>
            <w:vAlign w:val="center"/>
          </w:tcPr>
          <w:p>
            <w:pPr>
              <w:jc w:val="center"/>
              <w:rPr>
                <w:color w:val="auto"/>
                <w:sz w:val="21"/>
                <w:szCs w:val="21"/>
              </w:rPr>
            </w:pP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色度（度）</w:t>
            </w:r>
          </w:p>
        </w:tc>
        <w:tc>
          <w:tcPr>
            <w:tcW w:w="1559" w:type="dxa"/>
            <w:vAlign w:val="center"/>
          </w:tcPr>
          <w:p>
            <w:pPr>
              <w:jc w:val="center"/>
              <w:rPr>
                <w:color w:val="auto"/>
                <w:sz w:val="21"/>
                <w:szCs w:val="21"/>
              </w:rPr>
            </w:pPr>
            <w:r>
              <w:rPr>
                <w:color w:val="auto"/>
                <w:sz w:val="21"/>
                <w:szCs w:val="21"/>
              </w:rPr>
              <w:t>64</w:t>
            </w:r>
            <w:r>
              <w:rPr>
                <w:rFonts w:hint="eastAsia"/>
                <w:color w:val="auto"/>
                <w:sz w:val="21"/>
                <w:szCs w:val="21"/>
              </w:rPr>
              <w:t>度</w:t>
            </w:r>
          </w:p>
        </w:tc>
        <w:tc>
          <w:tcPr>
            <w:tcW w:w="2739" w:type="dxa"/>
            <w:vAlign w:val="center"/>
          </w:tcPr>
          <w:p>
            <w:pPr>
              <w:jc w:val="center"/>
              <w:rPr>
                <w:rFonts w:ascii="宋体" w:hAnsi="宋体" w:cs="宋体"/>
                <w:color w:val="auto"/>
                <w:sz w:val="21"/>
                <w:szCs w:val="21"/>
              </w:rPr>
            </w:pPr>
            <w:r>
              <w:rPr>
                <w:rFonts w:hint="eastAsia"/>
                <w:color w:val="auto"/>
                <w:sz w:val="21"/>
                <w:szCs w:val="21"/>
              </w:rPr>
              <w:t>≦15度</w:t>
            </w:r>
          </w:p>
        </w:tc>
        <w:tc>
          <w:tcPr>
            <w:tcW w:w="2131" w:type="dxa"/>
            <w:vAlign w:val="center"/>
          </w:tcPr>
          <w:p>
            <w:pPr>
              <w:jc w:val="center"/>
              <w:rPr>
                <w:color w:val="auto"/>
                <w:sz w:val="21"/>
                <w:szCs w:val="21"/>
              </w:rPr>
            </w:pPr>
            <w:r>
              <w:rPr>
                <w:rFonts w:hint="eastAsia"/>
                <w:color w:val="auto"/>
                <w:sz w:val="21"/>
                <w:szCs w:val="21"/>
              </w:rPr>
              <w:t>≧76.6%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铁</w:t>
            </w:r>
          </w:p>
        </w:tc>
        <w:tc>
          <w:tcPr>
            <w:tcW w:w="1559" w:type="dxa"/>
            <w:vAlign w:val="center"/>
          </w:tcPr>
          <w:p>
            <w:pPr>
              <w:jc w:val="center"/>
              <w:rPr>
                <w:color w:val="auto"/>
                <w:sz w:val="21"/>
                <w:szCs w:val="21"/>
              </w:rPr>
            </w:pPr>
            <w:r>
              <w:rPr>
                <w:color w:val="auto"/>
                <w:sz w:val="21"/>
                <w:szCs w:val="21"/>
              </w:rPr>
              <w:t>0</w:t>
            </w:r>
          </w:p>
        </w:tc>
        <w:tc>
          <w:tcPr>
            <w:tcW w:w="2739" w:type="dxa"/>
            <w:vAlign w:val="center"/>
          </w:tcPr>
          <w:p>
            <w:pPr>
              <w:jc w:val="center"/>
              <w:rPr>
                <w:color w:val="auto"/>
                <w:sz w:val="21"/>
                <w:szCs w:val="21"/>
              </w:rPr>
            </w:pPr>
            <w:r>
              <w:rPr>
                <w:color w:val="auto"/>
                <w:sz w:val="21"/>
                <w:szCs w:val="21"/>
              </w:rPr>
              <w:t>0</w:t>
            </w:r>
          </w:p>
        </w:tc>
        <w:tc>
          <w:tcPr>
            <w:tcW w:w="2131" w:type="dxa"/>
            <w:vAlign w:val="center"/>
          </w:tcPr>
          <w:p>
            <w:pPr>
              <w:jc w:val="center"/>
              <w:rPr>
                <w:color w:val="auto"/>
                <w:sz w:val="21"/>
                <w:szCs w:val="21"/>
              </w:rPr>
            </w:pPr>
            <w:r>
              <w:rPr>
                <w:rFonts w:hint="eastAsia"/>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锰</w:t>
            </w:r>
          </w:p>
        </w:tc>
        <w:tc>
          <w:tcPr>
            <w:tcW w:w="1559" w:type="dxa"/>
            <w:vAlign w:val="center"/>
          </w:tcPr>
          <w:p>
            <w:pPr>
              <w:jc w:val="center"/>
              <w:rPr>
                <w:color w:val="auto"/>
                <w:sz w:val="21"/>
                <w:szCs w:val="21"/>
              </w:rPr>
            </w:pPr>
            <w:r>
              <w:rPr>
                <w:color w:val="auto"/>
                <w:sz w:val="21"/>
                <w:szCs w:val="21"/>
              </w:rPr>
              <w:t>0</w:t>
            </w:r>
          </w:p>
        </w:tc>
        <w:tc>
          <w:tcPr>
            <w:tcW w:w="2739" w:type="dxa"/>
            <w:vAlign w:val="center"/>
          </w:tcPr>
          <w:p>
            <w:pPr>
              <w:jc w:val="center"/>
              <w:rPr>
                <w:color w:val="auto"/>
                <w:sz w:val="21"/>
                <w:szCs w:val="21"/>
              </w:rPr>
            </w:pPr>
            <w:r>
              <w:rPr>
                <w:color w:val="auto"/>
                <w:sz w:val="21"/>
                <w:szCs w:val="21"/>
              </w:rPr>
              <w:t>0</w:t>
            </w:r>
          </w:p>
        </w:tc>
        <w:tc>
          <w:tcPr>
            <w:tcW w:w="2131" w:type="dxa"/>
            <w:vAlign w:val="center"/>
          </w:tcPr>
          <w:p>
            <w:pPr>
              <w:jc w:val="center"/>
              <w:rPr>
                <w:color w:val="auto"/>
                <w:sz w:val="21"/>
                <w:szCs w:val="21"/>
              </w:rPr>
            </w:pPr>
            <w:r>
              <w:rPr>
                <w:rFonts w:hint="eastAsia"/>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溶解性总固体</w:t>
            </w:r>
          </w:p>
        </w:tc>
        <w:tc>
          <w:tcPr>
            <w:tcW w:w="1559" w:type="dxa"/>
            <w:vAlign w:val="center"/>
          </w:tcPr>
          <w:p>
            <w:pPr>
              <w:jc w:val="center"/>
              <w:rPr>
                <w:color w:val="auto"/>
                <w:sz w:val="21"/>
                <w:szCs w:val="21"/>
              </w:rPr>
            </w:pPr>
            <w:r>
              <w:rPr>
                <w:color w:val="auto"/>
                <w:sz w:val="21"/>
                <w:szCs w:val="21"/>
              </w:rPr>
              <w:t>2000</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1000</w:t>
            </w:r>
            <w:r>
              <w:rPr>
                <w:rFonts w:hint="eastAsia"/>
                <w:color w:val="auto"/>
                <w:sz w:val="21"/>
                <w:szCs w:val="21"/>
              </w:rPr>
              <w:t xml:space="preserve"> mg/L</w:t>
            </w:r>
          </w:p>
        </w:tc>
        <w:tc>
          <w:tcPr>
            <w:tcW w:w="2131" w:type="dxa"/>
            <w:vAlign w:val="center"/>
          </w:tcPr>
          <w:p>
            <w:pPr>
              <w:jc w:val="center"/>
              <w:rPr>
                <w:color w:val="auto"/>
              </w:rPr>
            </w:pPr>
            <w:r>
              <w:rPr>
                <w:rFonts w:hint="eastAsia"/>
                <w:color w:val="auto"/>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阴离子表面活性剂</w:t>
            </w:r>
          </w:p>
        </w:tc>
        <w:tc>
          <w:tcPr>
            <w:tcW w:w="1559" w:type="dxa"/>
            <w:vAlign w:val="center"/>
          </w:tcPr>
          <w:p>
            <w:pPr>
              <w:jc w:val="center"/>
              <w:rPr>
                <w:color w:val="auto"/>
                <w:sz w:val="21"/>
                <w:szCs w:val="21"/>
              </w:rPr>
            </w:pPr>
            <w:r>
              <w:rPr>
                <w:color w:val="auto"/>
                <w:sz w:val="21"/>
                <w:szCs w:val="21"/>
              </w:rPr>
              <w:t>20</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0.5</w:t>
            </w:r>
            <w:r>
              <w:rPr>
                <w:rFonts w:hint="eastAsia"/>
                <w:color w:val="auto"/>
                <w:sz w:val="21"/>
                <w:szCs w:val="21"/>
              </w:rPr>
              <w:t xml:space="preserve"> mg/L</w:t>
            </w:r>
          </w:p>
        </w:tc>
        <w:tc>
          <w:tcPr>
            <w:tcW w:w="2131" w:type="dxa"/>
            <w:vAlign w:val="center"/>
          </w:tcPr>
          <w:p>
            <w:pPr>
              <w:jc w:val="center"/>
              <w:rPr>
                <w:color w:val="auto"/>
              </w:rPr>
            </w:pPr>
            <w:r>
              <w:rPr>
                <w:rFonts w:hint="eastAsia"/>
                <w:color w:val="auto"/>
                <w:sz w:val="21"/>
                <w:szCs w:val="21"/>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余氯</w:t>
            </w:r>
          </w:p>
        </w:tc>
        <w:tc>
          <w:tcPr>
            <w:tcW w:w="1559" w:type="dxa"/>
            <w:vAlign w:val="center"/>
          </w:tcPr>
          <w:p>
            <w:pPr>
              <w:jc w:val="center"/>
              <w:rPr>
                <w:color w:val="auto"/>
                <w:sz w:val="21"/>
                <w:szCs w:val="21"/>
              </w:rPr>
            </w:pPr>
            <w:r>
              <w:rPr>
                <w:color w:val="auto"/>
                <w:sz w:val="21"/>
                <w:szCs w:val="21"/>
              </w:rPr>
              <w:t>8</w:t>
            </w:r>
            <w:r>
              <w:rPr>
                <w:rFonts w:hint="eastAsia"/>
                <w:color w:val="auto"/>
                <w:sz w:val="21"/>
                <w:szCs w:val="21"/>
              </w:rPr>
              <w:t xml:space="preserve"> mg/L</w:t>
            </w:r>
          </w:p>
        </w:tc>
        <w:tc>
          <w:tcPr>
            <w:tcW w:w="2739" w:type="dxa"/>
            <w:vAlign w:val="center"/>
          </w:tcPr>
          <w:p>
            <w:pPr>
              <w:jc w:val="center"/>
              <w:rPr>
                <w:rFonts w:ascii="宋体" w:hAnsi="宋体" w:cs="宋体"/>
                <w:color w:val="auto"/>
                <w:sz w:val="21"/>
                <w:szCs w:val="21"/>
              </w:rPr>
            </w:pPr>
            <w:r>
              <w:rPr>
                <w:color w:val="auto"/>
                <w:sz w:val="21"/>
                <w:szCs w:val="21"/>
                <w:shd w:val="clear" w:color="auto" w:fill="FFFFFF"/>
              </w:rPr>
              <w:t>≥</w:t>
            </w:r>
            <w:r>
              <w:rPr>
                <w:rFonts w:hint="eastAsia"/>
                <w:iCs/>
                <w:color w:val="auto"/>
                <w:sz w:val="21"/>
                <w:szCs w:val="21"/>
              </w:rPr>
              <w:t>1.0（出厂），0.2（管网末端）</w:t>
            </w:r>
            <w:r>
              <w:rPr>
                <w:rFonts w:hint="eastAsia"/>
                <w:color w:val="auto"/>
                <w:sz w:val="21"/>
                <w:szCs w:val="21"/>
              </w:rPr>
              <w:t>mg/L</w:t>
            </w:r>
          </w:p>
        </w:tc>
        <w:tc>
          <w:tcPr>
            <w:tcW w:w="2131" w:type="dxa"/>
            <w:vAlign w:val="center"/>
          </w:tcPr>
          <w:p>
            <w:pPr>
              <w:jc w:val="center"/>
              <w:rPr>
                <w:color w:val="auto"/>
              </w:rPr>
            </w:pPr>
            <w:r>
              <w:rPr>
                <w:rFonts w:hint="eastAsia"/>
                <w:color w:val="auto"/>
                <w:sz w:val="21"/>
                <w:szCs w:val="21"/>
              </w:rPr>
              <w:t>≦</w:t>
            </w:r>
            <w:r>
              <w:rPr>
                <w:rFonts w:hint="eastAsia"/>
                <w:iCs/>
                <w:color w:val="auto"/>
                <w:sz w:val="21"/>
                <w:szCs w:val="21"/>
              </w:rPr>
              <w:t>87.5%（出厂），97.5%（管网末端）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jc w:val="center"/>
              <w:rPr>
                <w:rFonts w:ascii="宋体" w:hAnsi="宋体" w:cs="宋体"/>
                <w:color w:val="auto"/>
                <w:sz w:val="21"/>
                <w:szCs w:val="21"/>
              </w:rPr>
            </w:pPr>
            <w:r>
              <w:rPr>
                <w:rFonts w:hint="eastAsia"/>
                <w:color w:val="auto"/>
                <w:sz w:val="21"/>
                <w:szCs w:val="21"/>
              </w:rPr>
              <w:t>粪大肠菌群数（个</w:t>
            </w:r>
            <w:r>
              <w:rPr>
                <w:color w:val="auto"/>
                <w:sz w:val="21"/>
                <w:szCs w:val="21"/>
              </w:rPr>
              <w:t>/L</w:t>
            </w:r>
            <w:r>
              <w:rPr>
                <w:rFonts w:hint="eastAsia"/>
                <w:color w:val="auto"/>
                <w:sz w:val="21"/>
                <w:szCs w:val="21"/>
              </w:rPr>
              <w:t>）</w:t>
            </w:r>
          </w:p>
        </w:tc>
        <w:tc>
          <w:tcPr>
            <w:tcW w:w="1559" w:type="dxa"/>
            <w:vAlign w:val="center"/>
          </w:tcPr>
          <w:p>
            <w:pPr>
              <w:jc w:val="center"/>
              <w:rPr>
                <w:rFonts w:ascii="宋体" w:hAnsi="宋体" w:cs="宋体"/>
                <w:color w:val="auto"/>
                <w:sz w:val="21"/>
                <w:szCs w:val="21"/>
              </w:rPr>
            </w:pPr>
            <w:r>
              <w:rPr>
                <w:rFonts w:hint="eastAsia"/>
                <w:color w:val="auto"/>
                <w:sz w:val="21"/>
                <w:szCs w:val="21"/>
              </w:rPr>
              <w:t>——</w:t>
            </w:r>
          </w:p>
        </w:tc>
        <w:tc>
          <w:tcPr>
            <w:tcW w:w="2739" w:type="dxa"/>
            <w:vAlign w:val="center"/>
          </w:tcPr>
          <w:p>
            <w:pPr>
              <w:jc w:val="center"/>
              <w:rPr>
                <w:rFonts w:ascii="宋体" w:hAnsi="宋体" w:cs="宋体"/>
                <w:color w:val="auto"/>
                <w:sz w:val="21"/>
                <w:szCs w:val="21"/>
              </w:rPr>
            </w:pPr>
            <w:r>
              <w:rPr>
                <w:rFonts w:hint="eastAsia"/>
                <w:color w:val="auto"/>
                <w:sz w:val="21"/>
                <w:szCs w:val="21"/>
              </w:rPr>
              <w:t>≦</w:t>
            </w:r>
            <w:r>
              <w:rPr>
                <w:color w:val="auto"/>
                <w:sz w:val="21"/>
                <w:szCs w:val="21"/>
              </w:rPr>
              <w:t>10</w:t>
            </w:r>
            <w:r>
              <w:rPr>
                <w:color w:val="auto"/>
                <w:sz w:val="21"/>
                <w:szCs w:val="21"/>
                <w:vertAlign w:val="superscript"/>
              </w:rPr>
              <w:t>3</w:t>
            </w:r>
            <w:r>
              <w:rPr>
                <w:rFonts w:hint="eastAsia"/>
                <w:color w:val="auto"/>
                <w:sz w:val="21"/>
                <w:szCs w:val="21"/>
              </w:rPr>
              <w:t>个</w:t>
            </w:r>
            <w:r>
              <w:rPr>
                <w:color w:val="auto"/>
                <w:sz w:val="21"/>
                <w:szCs w:val="21"/>
              </w:rPr>
              <w:t>/L</w:t>
            </w:r>
          </w:p>
        </w:tc>
        <w:tc>
          <w:tcPr>
            <w:tcW w:w="2131" w:type="dxa"/>
            <w:vAlign w:val="center"/>
          </w:tcPr>
          <w:p>
            <w:pPr>
              <w:jc w:val="center"/>
              <w:rPr>
                <w:color w:val="auto"/>
                <w:sz w:val="21"/>
                <w:szCs w:val="21"/>
              </w:rPr>
            </w:pPr>
            <w:r>
              <w:rPr>
                <w:rFonts w:hint="eastAsia"/>
                <w:color w:val="auto"/>
                <w:sz w:val="21"/>
                <w:szCs w:val="21"/>
              </w:rPr>
              <w:t>——</w:t>
            </w:r>
          </w:p>
        </w:tc>
      </w:tr>
    </w:tbl>
    <w:p>
      <w:pPr>
        <w:spacing w:line="360" w:lineRule="auto"/>
        <w:ind w:firstLine="480" w:firstLineChars="200"/>
        <w:rPr>
          <w:color w:val="auto"/>
          <w:sz w:val="24"/>
          <w:szCs w:val="24"/>
        </w:rPr>
      </w:pPr>
      <w:r>
        <w:rPr>
          <w:rFonts w:hint="eastAsia"/>
          <w:color w:val="auto"/>
          <w:sz w:val="24"/>
          <w:szCs w:val="24"/>
        </w:rPr>
        <w:t>注：括号内为水温≤12℃时的控制指标。</w:t>
      </w:r>
    </w:p>
    <w:p>
      <w:pPr>
        <w:pStyle w:val="3"/>
        <w:rPr>
          <w:color w:val="auto"/>
        </w:rPr>
      </w:pPr>
      <w:bookmarkStart w:id="81" w:name="_Toc10318"/>
      <w:bookmarkStart w:id="82" w:name="_Toc26276814"/>
      <w:r>
        <w:rPr>
          <w:rFonts w:hint="eastAsia"/>
          <w:color w:val="auto"/>
        </w:rPr>
        <w:t>3.4项目的组成</w:t>
      </w:r>
      <w:bookmarkEnd w:id="81"/>
      <w:bookmarkEnd w:id="82"/>
    </w:p>
    <w:p>
      <w:pPr>
        <w:pStyle w:val="4"/>
        <w:rPr>
          <w:color w:val="auto"/>
        </w:rPr>
      </w:pPr>
      <w:bookmarkStart w:id="83" w:name="_Toc26276815"/>
      <w:r>
        <w:rPr>
          <w:rFonts w:hint="eastAsia"/>
          <w:color w:val="auto"/>
        </w:rPr>
        <w:t>3.4.1项目组成</w:t>
      </w:r>
      <w:bookmarkEnd w:id="83"/>
    </w:p>
    <w:p>
      <w:pPr>
        <w:spacing w:line="360" w:lineRule="auto"/>
        <w:ind w:firstLine="480" w:firstLineChars="200"/>
        <w:rPr>
          <w:color w:val="auto"/>
          <w:sz w:val="24"/>
          <w:szCs w:val="24"/>
        </w:rPr>
      </w:pPr>
      <w:r>
        <w:rPr>
          <w:rFonts w:hint="eastAsia"/>
          <w:color w:val="auto"/>
          <w:sz w:val="24"/>
          <w:szCs w:val="24"/>
        </w:rPr>
        <w:t>本项目组成详见下表。</w:t>
      </w:r>
    </w:p>
    <w:p>
      <w:pPr>
        <w:spacing w:line="360" w:lineRule="auto"/>
        <w:jc w:val="center"/>
        <w:rPr>
          <w:b/>
          <w:color w:val="auto"/>
          <w:sz w:val="24"/>
          <w:szCs w:val="24"/>
        </w:rPr>
      </w:pPr>
      <w:r>
        <w:rPr>
          <w:rFonts w:hint="eastAsia"/>
          <w:b/>
          <w:color w:val="auto"/>
          <w:sz w:val="24"/>
          <w:szCs w:val="24"/>
        </w:rPr>
        <w:t>表3-4-1   项目组成一览表</w:t>
      </w:r>
    </w:p>
    <w:tbl>
      <w:tblPr>
        <w:tblStyle w:val="29"/>
        <w:tblW w:w="8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605"/>
        <w:gridCol w:w="5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01" w:type="dxa"/>
            <w:vMerge w:val="restart"/>
            <w:vAlign w:val="center"/>
          </w:tcPr>
          <w:p>
            <w:pPr>
              <w:adjustRightInd w:val="0"/>
              <w:snapToGrid w:val="0"/>
              <w:jc w:val="center"/>
              <w:rPr>
                <w:b/>
                <w:color w:val="auto"/>
                <w:sz w:val="21"/>
                <w:szCs w:val="21"/>
              </w:rPr>
            </w:pPr>
            <w:r>
              <w:rPr>
                <w:rFonts w:hint="eastAsia"/>
                <w:b/>
                <w:color w:val="auto"/>
                <w:sz w:val="21"/>
                <w:szCs w:val="21"/>
              </w:rPr>
              <w:t>项目组成</w:t>
            </w:r>
          </w:p>
        </w:tc>
        <w:tc>
          <w:tcPr>
            <w:tcW w:w="1605" w:type="dxa"/>
            <w:vMerge w:val="restart"/>
            <w:vAlign w:val="center"/>
          </w:tcPr>
          <w:p>
            <w:pPr>
              <w:adjustRightInd w:val="0"/>
              <w:snapToGrid w:val="0"/>
              <w:jc w:val="center"/>
              <w:rPr>
                <w:b/>
                <w:color w:val="auto"/>
                <w:sz w:val="21"/>
                <w:szCs w:val="21"/>
              </w:rPr>
            </w:pPr>
            <w:r>
              <w:rPr>
                <w:rFonts w:hint="eastAsia"/>
                <w:b/>
                <w:color w:val="auto"/>
                <w:sz w:val="21"/>
                <w:szCs w:val="21"/>
              </w:rPr>
              <w:t>项目内容</w:t>
            </w:r>
          </w:p>
        </w:tc>
        <w:tc>
          <w:tcPr>
            <w:tcW w:w="5624" w:type="dxa"/>
            <w:vMerge w:val="restart"/>
            <w:vAlign w:val="center"/>
          </w:tcPr>
          <w:p>
            <w:pPr>
              <w:adjustRightInd w:val="0"/>
              <w:snapToGrid w:val="0"/>
              <w:jc w:val="center"/>
              <w:rPr>
                <w:b/>
                <w:color w:val="auto"/>
                <w:sz w:val="21"/>
                <w:szCs w:val="21"/>
              </w:rPr>
            </w:pPr>
            <w:r>
              <w:rPr>
                <w:rFonts w:hint="eastAsia"/>
                <w:b/>
                <w:color w:val="auto"/>
                <w:sz w:val="21"/>
                <w:szCs w:val="21"/>
              </w:rPr>
              <w:t>项目规模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01" w:type="dxa"/>
            <w:vMerge w:val="continue"/>
            <w:vAlign w:val="center"/>
          </w:tcPr>
          <w:p>
            <w:pPr>
              <w:adjustRightInd w:val="0"/>
              <w:snapToGrid w:val="0"/>
              <w:jc w:val="center"/>
              <w:rPr>
                <w:color w:val="auto"/>
                <w:sz w:val="21"/>
                <w:szCs w:val="21"/>
              </w:rPr>
            </w:pPr>
          </w:p>
        </w:tc>
        <w:tc>
          <w:tcPr>
            <w:tcW w:w="1605" w:type="dxa"/>
            <w:vMerge w:val="continue"/>
            <w:vAlign w:val="center"/>
          </w:tcPr>
          <w:p>
            <w:pPr>
              <w:adjustRightInd w:val="0"/>
              <w:snapToGrid w:val="0"/>
              <w:jc w:val="center"/>
              <w:rPr>
                <w:color w:val="auto"/>
                <w:sz w:val="21"/>
                <w:szCs w:val="21"/>
              </w:rPr>
            </w:pPr>
          </w:p>
        </w:tc>
        <w:tc>
          <w:tcPr>
            <w:tcW w:w="5624"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pPr>
              <w:adjustRightInd w:val="0"/>
              <w:snapToGrid w:val="0"/>
              <w:jc w:val="center"/>
              <w:rPr>
                <w:color w:val="auto"/>
                <w:sz w:val="21"/>
                <w:szCs w:val="21"/>
              </w:rPr>
            </w:pPr>
            <w:r>
              <w:rPr>
                <w:rFonts w:hint="eastAsia"/>
                <w:color w:val="auto"/>
                <w:sz w:val="21"/>
                <w:szCs w:val="21"/>
              </w:rPr>
              <w:t>主体工程</w:t>
            </w:r>
          </w:p>
        </w:tc>
        <w:tc>
          <w:tcPr>
            <w:tcW w:w="1605" w:type="dxa"/>
            <w:vAlign w:val="center"/>
          </w:tcPr>
          <w:p>
            <w:pPr>
              <w:adjustRightInd w:val="0"/>
              <w:snapToGrid w:val="0"/>
              <w:jc w:val="center"/>
              <w:rPr>
                <w:color w:val="auto"/>
                <w:sz w:val="21"/>
                <w:szCs w:val="21"/>
              </w:rPr>
            </w:pPr>
            <w:r>
              <w:rPr>
                <w:rFonts w:hint="eastAsia"/>
                <w:color w:val="auto"/>
                <w:sz w:val="21"/>
                <w:szCs w:val="21"/>
              </w:rPr>
              <w:t>粗格栅进水泵房</w:t>
            </w:r>
          </w:p>
        </w:tc>
        <w:tc>
          <w:tcPr>
            <w:tcW w:w="5624" w:type="dxa"/>
            <w:vAlign w:val="center"/>
          </w:tcPr>
          <w:p>
            <w:pPr>
              <w:adjustRightInd w:val="0"/>
              <w:snapToGrid w:val="0"/>
              <w:jc w:val="center"/>
              <w:rPr>
                <w:color w:val="auto"/>
                <w:sz w:val="21"/>
                <w:szCs w:val="21"/>
              </w:rPr>
            </w:pPr>
            <w:r>
              <w:rPr>
                <w:color w:val="auto"/>
                <w:sz w:val="21"/>
                <w:szCs w:val="21"/>
              </w:rPr>
              <w:t xml:space="preserve">1 </w:t>
            </w:r>
            <w:r>
              <w:rPr>
                <w:rFonts w:hint="eastAsia"/>
                <w:color w:val="auto"/>
                <w:sz w:val="21"/>
                <w:szCs w:val="21"/>
              </w:rPr>
              <w:t>座。平面尺寸为</w:t>
            </w:r>
            <w:r>
              <w:rPr>
                <w:color w:val="auto"/>
                <w:sz w:val="21"/>
                <w:szCs w:val="21"/>
              </w:rPr>
              <w:t>12m</w:t>
            </w:r>
            <w:r>
              <w:rPr>
                <w:rFonts w:hint="eastAsia"/>
                <w:color w:val="auto"/>
                <w:sz w:val="21"/>
                <w:szCs w:val="21"/>
              </w:rPr>
              <w:t>×</w:t>
            </w:r>
            <w:r>
              <w:rPr>
                <w:color w:val="auto"/>
                <w:sz w:val="21"/>
                <w:szCs w:val="21"/>
              </w:rPr>
              <w:t>20m</w:t>
            </w:r>
            <w:r>
              <w:rPr>
                <w:rFonts w:hint="eastAsia"/>
                <w:color w:val="auto"/>
                <w:sz w:val="21"/>
                <w:szCs w:val="21"/>
              </w:rPr>
              <w:t>，净深</w:t>
            </w:r>
            <w:r>
              <w:rPr>
                <w:color w:val="auto"/>
                <w:sz w:val="21"/>
                <w:szCs w:val="21"/>
              </w:rPr>
              <w:t>10m</w:t>
            </w:r>
            <w:r>
              <w:rPr>
                <w:rFonts w:hint="eastAsia"/>
                <w:color w:val="auto"/>
                <w:sz w:val="21"/>
                <w:szCs w:val="21"/>
              </w:rPr>
              <w:t>，现浇钢筋混凝土结构。内设粗格栅井，格栅井包括格栅除污机、栅渣输送、压榨机及检修闸门。脱水后的栅渣含水率小于60%。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细格栅及曝气沉砂池</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座。平面尺寸约为20m×9m，净高为5.40m，埋深0.75m，现浇钢筋混凝土结构。细格栅井包括细格栅和栅渣输送机，脱水后的栅渣含水率小于60%。沉砂池将去除污水中粒径&gt;0.2mm的砂粒95%以上，曝气沉砂池为平流型式。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应急沉淀池</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座。平面尺寸约为8.5m×38.4m，池高4.7m，埋深约1.35m，现浇钢筋混凝土结构。采用平流沉淀池形式。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生物反应池</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座。平面尺寸约为36m×38.4m，池高8.0m，埋深约5.1m，现浇钢筋混凝土结构。有效水深7m，总有效容积为7167m</w:t>
            </w:r>
            <w:r>
              <w:rPr>
                <w:rFonts w:hint="eastAsia"/>
                <w:color w:val="auto"/>
                <w:sz w:val="21"/>
                <w:szCs w:val="21"/>
                <w:vertAlign w:val="superscript"/>
              </w:rPr>
              <w:t>3</w:t>
            </w:r>
            <w:r>
              <w:rPr>
                <w:rFonts w:hint="eastAsia"/>
                <w:color w:val="auto"/>
                <w:sz w:val="21"/>
                <w:szCs w:val="21"/>
              </w:rPr>
              <w:t>，总停留时间17.2h，其中好氧段停留时间：9.1hr，厌氧段停留时间：1.5hr，缺氧段停留时间：7.6hr。气水比为7.2:1。设计最大内回流比300%，外回流比100%。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二沉池</w:t>
            </w:r>
          </w:p>
        </w:tc>
        <w:tc>
          <w:tcPr>
            <w:tcW w:w="5624" w:type="dxa"/>
            <w:vAlign w:val="center"/>
          </w:tcPr>
          <w:p>
            <w:pPr>
              <w:adjustRightInd w:val="0"/>
              <w:snapToGrid w:val="0"/>
              <w:jc w:val="center"/>
              <w:rPr>
                <w:color w:val="auto"/>
                <w:sz w:val="21"/>
                <w:szCs w:val="21"/>
              </w:rPr>
            </w:pPr>
            <w:r>
              <w:rPr>
                <w:color w:val="auto"/>
                <w:sz w:val="21"/>
                <w:szCs w:val="21"/>
              </w:rPr>
              <w:t xml:space="preserve">1 </w:t>
            </w:r>
            <w:r>
              <w:rPr>
                <w:rFonts w:hint="eastAsia"/>
                <w:color w:val="auto"/>
                <w:sz w:val="21"/>
                <w:szCs w:val="21"/>
              </w:rPr>
              <w:t>座。圆形水池，直径为</w:t>
            </w:r>
            <w:r>
              <w:rPr>
                <w:color w:val="auto"/>
                <w:sz w:val="21"/>
                <w:szCs w:val="21"/>
              </w:rPr>
              <w:t>22m</w:t>
            </w:r>
            <w:r>
              <w:rPr>
                <w:rFonts w:hint="eastAsia"/>
                <w:color w:val="auto"/>
                <w:sz w:val="21"/>
                <w:szCs w:val="21"/>
              </w:rPr>
              <w:t>，池高</w:t>
            </w:r>
            <w:r>
              <w:rPr>
                <w:color w:val="auto"/>
                <w:sz w:val="21"/>
                <w:szCs w:val="21"/>
              </w:rPr>
              <w:t>4.7m</w:t>
            </w:r>
            <w:r>
              <w:rPr>
                <w:rFonts w:hint="eastAsia"/>
                <w:color w:val="auto"/>
                <w:sz w:val="21"/>
                <w:szCs w:val="21"/>
              </w:rPr>
              <w:t>，埋深约</w:t>
            </w:r>
            <w:r>
              <w:rPr>
                <w:color w:val="auto"/>
                <w:sz w:val="21"/>
                <w:szCs w:val="21"/>
              </w:rPr>
              <w:t>3.5m</w:t>
            </w:r>
            <w:r>
              <w:rPr>
                <w:rFonts w:hint="eastAsia"/>
                <w:color w:val="auto"/>
                <w:sz w:val="21"/>
                <w:szCs w:val="21"/>
              </w:rPr>
              <w:t>。采用钢筋混凝土结构。采用周进周出形式，高峰流量时设计表面负荷为1.05m</w:t>
            </w:r>
            <w:r>
              <w:rPr>
                <w:rFonts w:hint="eastAsia"/>
                <w:color w:val="auto"/>
                <w:sz w:val="21"/>
                <w:szCs w:val="21"/>
                <w:vertAlign w:val="superscript"/>
              </w:rPr>
              <w:t>3</w:t>
            </w:r>
            <w:r>
              <w:rPr>
                <w:rFonts w:hint="eastAsia"/>
                <w:color w:val="auto"/>
                <w:sz w:val="21"/>
                <w:szCs w:val="21"/>
              </w:rPr>
              <w:t>/m</w:t>
            </w:r>
            <w:r>
              <w:rPr>
                <w:rFonts w:hint="eastAsia"/>
                <w:color w:val="auto"/>
                <w:sz w:val="21"/>
                <w:szCs w:val="21"/>
                <w:vertAlign w:val="superscript"/>
              </w:rPr>
              <w:t>2</w:t>
            </w:r>
            <w:r>
              <w:rPr>
                <w:rFonts w:hint="eastAsia"/>
                <w:color w:val="auto"/>
                <w:sz w:val="21"/>
                <w:szCs w:val="21"/>
              </w:rPr>
              <w:t>•hr，水深4.0m，沉淀时间3.81hr。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反冲洗废水池</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座。平面尺寸约为7.0m×10.1m，最大埋深约4.5m，现浇钢筋混凝土结构。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曝气生物滤池</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座。平面尺寸约为10.5m×27.0m，最大埋深约5.0m，现浇钢筋混凝土结构。主要设计参数如下：峰值污水量658m</w:t>
            </w:r>
            <w:r>
              <w:rPr>
                <w:rFonts w:hint="eastAsia"/>
                <w:color w:val="auto"/>
                <w:sz w:val="21"/>
                <w:szCs w:val="21"/>
                <w:vertAlign w:val="superscript"/>
              </w:rPr>
              <w:t>3</w:t>
            </w:r>
            <w:r>
              <w:rPr>
                <w:rFonts w:hint="eastAsia"/>
                <w:color w:val="auto"/>
                <w:sz w:val="21"/>
                <w:szCs w:val="21"/>
              </w:rPr>
              <w:t>/h；单座过滤面积30m</w:t>
            </w:r>
            <w:r>
              <w:rPr>
                <w:rFonts w:hint="eastAsia"/>
                <w:color w:val="auto"/>
                <w:sz w:val="21"/>
                <w:szCs w:val="21"/>
                <w:vertAlign w:val="superscript"/>
              </w:rPr>
              <w:t>2</w:t>
            </w:r>
            <w:r>
              <w:rPr>
                <w:rFonts w:hint="eastAsia"/>
                <w:color w:val="auto"/>
                <w:sz w:val="21"/>
                <w:szCs w:val="21"/>
              </w:rPr>
              <w:t>；滤料层厚度3.7m；设计规模滤速（N）3.47m/h；设计峰值流量滤速（N）5.48 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反冲洗水池</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座。平面尺寸约为10.1m×13m，最大埋深约3.5m，现浇钢筋混凝土结构。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中间提升泵房、高效沉、滤池、消毒接触池及中水回用泵房</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29m×37.5m，最大埋深约3.5m，现浇钢筋混凝土结构。本次工程中间提升泵房、高效沉淀池、滤池、消毒接触池及中水回用泵房合建。中间提升泵房设1座，内设潜污泵3台；电动葫芦1台，用于潜污泵的检修；高效沉淀池尺寸为10m×10m，有效水深为7.4m，沉淀区表面负荷为6.58m</w:t>
            </w:r>
            <w:r>
              <w:rPr>
                <w:rFonts w:hint="eastAsia"/>
                <w:color w:val="auto"/>
                <w:sz w:val="21"/>
                <w:szCs w:val="21"/>
                <w:vertAlign w:val="superscript"/>
              </w:rPr>
              <w:t>3</w:t>
            </w:r>
            <w:r>
              <w:rPr>
                <w:rFonts w:hint="eastAsia"/>
                <w:color w:val="auto"/>
                <w:sz w:val="21"/>
                <w:szCs w:val="21"/>
              </w:rPr>
              <w:t>/m</w:t>
            </w:r>
            <w:r>
              <w:rPr>
                <w:rFonts w:hint="eastAsia"/>
                <w:color w:val="auto"/>
                <w:sz w:val="21"/>
                <w:szCs w:val="21"/>
                <w:vertAlign w:val="superscript"/>
              </w:rPr>
              <w:t>2</w:t>
            </w:r>
            <w:r>
              <w:rPr>
                <w:rFonts w:hint="eastAsia"/>
                <w:color w:val="auto"/>
                <w:sz w:val="21"/>
                <w:szCs w:val="21"/>
              </w:rPr>
              <w:t>/h；滤池使用转盘过滤器；消毒接触池1座，采用次氯酸钠消毒，消毒后尾水重力流排入河道。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污泥浓缩池</w:t>
            </w:r>
          </w:p>
        </w:tc>
        <w:tc>
          <w:tcPr>
            <w:tcW w:w="5624" w:type="dxa"/>
            <w:vAlign w:val="center"/>
          </w:tcPr>
          <w:p>
            <w:pPr>
              <w:adjustRightInd w:val="0"/>
              <w:snapToGrid w:val="0"/>
              <w:jc w:val="center"/>
              <w:rPr>
                <w:color w:val="auto"/>
                <w:sz w:val="21"/>
                <w:szCs w:val="21"/>
              </w:rPr>
            </w:pPr>
            <w:r>
              <w:rPr>
                <w:rFonts w:hint="eastAsia"/>
                <w:color w:val="auto"/>
                <w:sz w:val="21"/>
                <w:szCs w:val="21"/>
              </w:rPr>
              <w:t>1 座。圆形水池，池体内径Φ8.0m，池高为5.7m，埋深约2.5m。采用钢筋混凝土结构。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污泥均质调理池</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座。平面尺寸约为5.7m×14.5m，池高为6 m，埋深约2.0m。采用钢筋混凝土结构。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污泥脱水机房</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座。平面尺寸约为30.0m×28.0m。单层建筑，现浇钢筋混凝土框架结构。设置隔膜压滤机2套，单套过滤面积200m</w:t>
            </w:r>
            <w:r>
              <w:rPr>
                <w:rFonts w:hint="eastAsia"/>
                <w:color w:val="auto"/>
                <w:sz w:val="21"/>
                <w:szCs w:val="21"/>
                <w:vertAlign w:val="superscript"/>
              </w:rPr>
              <w:t>2</w:t>
            </w: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加药间</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座。平面尺寸约为38.0m×9.5m。单层建筑，现浇钢筋混凝土框架结构。加药间内设置PAC、NaClO、乙酸钠等药剂的储存及投加设施。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highlight w:val="yellow"/>
              </w:rPr>
            </w:pPr>
            <w:r>
              <w:rPr>
                <w:rFonts w:hint="eastAsia"/>
                <w:color w:val="auto"/>
                <w:sz w:val="21"/>
                <w:szCs w:val="21"/>
              </w:rPr>
              <w:t>配套管网</w:t>
            </w:r>
          </w:p>
        </w:tc>
        <w:tc>
          <w:tcPr>
            <w:tcW w:w="5624" w:type="dxa"/>
            <w:vAlign w:val="center"/>
          </w:tcPr>
          <w:p>
            <w:pPr>
              <w:adjustRightInd w:val="0"/>
              <w:snapToGrid w:val="0"/>
              <w:jc w:val="center"/>
              <w:rPr>
                <w:color w:val="auto"/>
                <w:sz w:val="21"/>
                <w:szCs w:val="21"/>
                <w:highlight w:val="yellow"/>
              </w:rPr>
            </w:pPr>
            <w:r>
              <w:rPr>
                <w:rFonts w:hint="eastAsia"/>
                <w:color w:val="auto"/>
                <w:sz w:val="21"/>
                <w:szCs w:val="21"/>
              </w:rPr>
              <w:t>总污水进厂管网</w:t>
            </w:r>
            <w:r>
              <w:rPr>
                <w:color w:val="auto"/>
                <w:sz w:val="21"/>
                <w:szCs w:val="21"/>
              </w:rPr>
              <w:t>2000m</w:t>
            </w:r>
            <w:r>
              <w:rPr>
                <w:rFonts w:hint="eastAsia"/>
                <w:color w:val="auto"/>
                <w:sz w:val="21"/>
                <w:szCs w:val="21"/>
              </w:rPr>
              <w:t>，包括</w:t>
            </w:r>
            <w:r>
              <w:rPr>
                <w:color w:val="auto"/>
                <w:sz w:val="21"/>
                <w:szCs w:val="21"/>
              </w:rPr>
              <w:t>DN1000</w:t>
            </w:r>
            <w:r>
              <w:rPr>
                <w:rFonts w:hint="eastAsia"/>
                <w:color w:val="auto"/>
                <w:sz w:val="21"/>
                <w:szCs w:val="21"/>
              </w:rPr>
              <w:t>管</w:t>
            </w:r>
            <w:r>
              <w:rPr>
                <w:color w:val="auto"/>
                <w:sz w:val="21"/>
                <w:szCs w:val="21"/>
              </w:rPr>
              <w:t>200m</w:t>
            </w:r>
            <w:r>
              <w:rPr>
                <w:rFonts w:hint="eastAsia"/>
                <w:color w:val="auto"/>
                <w:sz w:val="21"/>
                <w:szCs w:val="21"/>
              </w:rPr>
              <w:t>，</w:t>
            </w:r>
            <w:r>
              <w:rPr>
                <w:color w:val="auto"/>
                <w:sz w:val="21"/>
                <w:szCs w:val="21"/>
              </w:rPr>
              <w:t>DN800</w:t>
            </w:r>
            <w:r>
              <w:rPr>
                <w:rFonts w:hint="eastAsia"/>
                <w:color w:val="auto"/>
                <w:sz w:val="21"/>
                <w:szCs w:val="21"/>
              </w:rPr>
              <w:t>管</w:t>
            </w:r>
            <w:r>
              <w:rPr>
                <w:color w:val="auto"/>
                <w:sz w:val="21"/>
                <w:szCs w:val="21"/>
              </w:rPr>
              <w:t>600m</w:t>
            </w:r>
            <w:r>
              <w:rPr>
                <w:rFonts w:hint="eastAsia"/>
                <w:color w:val="auto"/>
                <w:sz w:val="21"/>
                <w:szCs w:val="21"/>
              </w:rPr>
              <w:t>，</w:t>
            </w:r>
            <w:r>
              <w:rPr>
                <w:color w:val="auto"/>
                <w:sz w:val="21"/>
                <w:szCs w:val="21"/>
              </w:rPr>
              <w:t>DN600</w:t>
            </w:r>
            <w:r>
              <w:rPr>
                <w:rFonts w:hint="eastAsia"/>
                <w:color w:val="auto"/>
                <w:sz w:val="21"/>
                <w:szCs w:val="21"/>
              </w:rPr>
              <w:t>管</w:t>
            </w:r>
            <w:r>
              <w:rPr>
                <w:color w:val="auto"/>
                <w:sz w:val="21"/>
                <w:szCs w:val="21"/>
              </w:rPr>
              <w:t>1200m</w:t>
            </w:r>
            <w:r>
              <w:rPr>
                <w:rFonts w:hint="eastAsia"/>
                <w:color w:val="auto"/>
                <w:sz w:val="21"/>
                <w:szCs w:val="21"/>
              </w:rPr>
              <w:t>；尾水回用管网15465</w:t>
            </w:r>
            <w:r>
              <w:rPr>
                <w:color w:val="auto"/>
                <w:sz w:val="21"/>
                <w:szCs w:val="21"/>
              </w:rPr>
              <w:t>m</w:t>
            </w:r>
            <w:r>
              <w:rPr>
                <w:rFonts w:hint="eastAsia"/>
                <w:color w:val="auto"/>
                <w:sz w:val="21"/>
                <w:szCs w:val="21"/>
              </w:rPr>
              <w:t>，包括</w:t>
            </w:r>
            <w:r>
              <w:rPr>
                <w:color w:val="auto"/>
                <w:sz w:val="21"/>
                <w:szCs w:val="21"/>
              </w:rPr>
              <w:t>DN</w:t>
            </w:r>
            <w:r>
              <w:rPr>
                <w:rFonts w:hint="eastAsia"/>
                <w:color w:val="auto"/>
                <w:sz w:val="21"/>
                <w:szCs w:val="21"/>
              </w:rPr>
              <w:t>1</w:t>
            </w:r>
            <w:r>
              <w:rPr>
                <w:color w:val="auto"/>
                <w:sz w:val="21"/>
                <w:szCs w:val="21"/>
              </w:rPr>
              <w:t>50</w:t>
            </w:r>
            <w:r>
              <w:rPr>
                <w:rFonts w:hint="eastAsia"/>
                <w:color w:val="auto"/>
                <w:sz w:val="21"/>
                <w:szCs w:val="21"/>
              </w:rPr>
              <w:t>管2392</w:t>
            </w:r>
            <w:r>
              <w:rPr>
                <w:color w:val="auto"/>
                <w:sz w:val="21"/>
                <w:szCs w:val="21"/>
              </w:rPr>
              <w:t>m</w:t>
            </w:r>
            <w:r>
              <w:rPr>
                <w:rFonts w:hint="eastAsia"/>
                <w:color w:val="auto"/>
                <w:sz w:val="21"/>
                <w:szCs w:val="21"/>
              </w:rPr>
              <w:t>，</w:t>
            </w:r>
            <w:r>
              <w:rPr>
                <w:color w:val="auto"/>
                <w:sz w:val="21"/>
                <w:szCs w:val="21"/>
              </w:rPr>
              <w:t>DN200</w:t>
            </w:r>
            <w:r>
              <w:rPr>
                <w:rFonts w:hint="eastAsia"/>
                <w:color w:val="auto"/>
                <w:sz w:val="21"/>
                <w:szCs w:val="21"/>
              </w:rPr>
              <w:t>管3872</w:t>
            </w:r>
            <w:r>
              <w:rPr>
                <w:color w:val="auto"/>
                <w:sz w:val="21"/>
                <w:szCs w:val="21"/>
              </w:rPr>
              <w:t>m</w:t>
            </w:r>
            <w:r>
              <w:rPr>
                <w:rFonts w:hint="eastAsia"/>
                <w:color w:val="auto"/>
                <w:sz w:val="21"/>
                <w:szCs w:val="21"/>
              </w:rPr>
              <w:t>，</w:t>
            </w:r>
            <w:r>
              <w:rPr>
                <w:color w:val="auto"/>
                <w:sz w:val="21"/>
                <w:szCs w:val="21"/>
              </w:rPr>
              <w:t>DN</w:t>
            </w:r>
            <w:r>
              <w:rPr>
                <w:rFonts w:hint="eastAsia"/>
                <w:color w:val="auto"/>
                <w:sz w:val="21"/>
                <w:szCs w:val="21"/>
              </w:rPr>
              <w:t>3</w:t>
            </w:r>
            <w:r>
              <w:rPr>
                <w:color w:val="auto"/>
                <w:sz w:val="21"/>
                <w:szCs w:val="21"/>
              </w:rPr>
              <w:t>00</w:t>
            </w:r>
            <w:r>
              <w:rPr>
                <w:rFonts w:hint="eastAsia"/>
                <w:color w:val="auto"/>
                <w:sz w:val="21"/>
                <w:szCs w:val="21"/>
              </w:rPr>
              <w:t>管7487</w:t>
            </w:r>
            <w:r>
              <w:rPr>
                <w:color w:val="auto"/>
                <w:sz w:val="21"/>
                <w:szCs w:val="21"/>
              </w:rPr>
              <w:t>m</w:t>
            </w:r>
            <w:r>
              <w:rPr>
                <w:rFonts w:hint="eastAsia"/>
                <w:color w:val="auto"/>
                <w:sz w:val="21"/>
                <w:szCs w:val="21"/>
              </w:rPr>
              <w:t>，</w:t>
            </w:r>
            <w:r>
              <w:rPr>
                <w:color w:val="auto"/>
                <w:sz w:val="21"/>
                <w:szCs w:val="21"/>
              </w:rPr>
              <w:t>DN</w:t>
            </w:r>
            <w:r>
              <w:rPr>
                <w:rFonts w:hint="eastAsia"/>
                <w:color w:val="auto"/>
                <w:sz w:val="21"/>
                <w:szCs w:val="21"/>
              </w:rPr>
              <w:t>4</w:t>
            </w:r>
            <w:r>
              <w:rPr>
                <w:color w:val="auto"/>
                <w:sz w:val="21"/>
                <w:szCs w:val="21"/>
              </w:rPr>
              <w:t>00</w:t>
            </w:r>
            <w:r>
              <w:rPr>
                <w:rFonts w:hint="eastAsia"/>
                <w:color w:val="auto"/>
                <w:sz w:val="21"/>
                <w:szCs w:val="21"/>
              </w:rPr>
              <w:t>管1419</w:t>
            </w:r>
            <w:r>
              <w:rPr>
                <w:color w:val="auto"/>
                <w:sz w:val="21"/>
                <w:szCs w:val="21"/>
              </w:rPr>
              <w:t>m</w:t>
            </w:r>
            <w:r>
              <w:rPr>
                <w:rFonts w:hint="eastAsia"/>
                <w:color w:val="auto"/>
                <w:sz w:val="21"/>
                <w:szCs w:val="21"/>
              </w:rPr>
              <w:t>，</w:t>
            </w:r>
            <w:r>
              <w:rPr>
                <w:color w:val="auto"/>
                <w:sz w:val="21"/>
                <w:szCs w:val="21"/>
              </w:rPr>
              <w:t>DN</w:t>
            </w:r>
            <w:r>
              <w:rPr>
                <w:rFonts w:hint="eastAsia"/>
                <w:color w:val="auto"/>
                <w:sz w:val="21"/>
                <w:szCs w:val="21"/>
              </w:rPr>
              <w:t>5</w:t>
            </w:r>
            <w:r>
              <w:rPr>
                <w:color w:val="auto"/>
                <w:sz w:val="21"/>
                <w:szCs w:val="21"/>
              </w:rPr>
              <w:t>00</w:t>
            </w:r>
            <w:r>
              <w:rPr>
                <w:rFonts w:hint="eastAsia"/>
                <w:color w:val="auto"/>
                <w:sz w:val="21"/>
                <w:szCs w:val="21"/>
              </w:rPr>
              <w:t>管295</w:t>
            </w:r>
            <w:r>
              <w:rPr>
                <w:color w:val="auto"/>
                <w:sz w:val="21"/>
                <w:szCs w:val="21"/>
              </w:rPr>
              <w:t>m</w:t>
            </w:r>
            <w:r>
              <w:rPr>
                <w:rFonts w:hint="eastAsia"/>
                <w:color w:val="auto"/>
                <w:sz w:val="21"/>
                <w:szCs w:val="21"/>
              </w:rPr>
              <w:t>；尾水排放管网</w:t>
            </w:r>
            <w:r>
              <w:rPr>
                <w:color w:val="auto"/>
                <w:sz w:val="21"/>
                <w:szCs w:val="21"/>
              </w:rPr>
              <w:t>900m</w:t>
            </w:r>
            <w:r>
              <w:rPr>
                <w:rFonts w:hint="eastAsia"/>
                <w:color w:val="auto"/>
                <w:sz w:val="21"/>
                <w:szCs w:val="21"/>
              </w:rPr>
              <w:t>，均为</w:t>
            </w:r>
            <w:r>
              <w:rPr>
                <w:color w:val="auto"/>
                <w:sz w:val="21"/>
                <w:szCs w:val="21"/>
              </w:rPr>
              <w:t>DN400</w:t>
            </w:r>
            <w:r>
              <w:rPr>
                <w:rFonts w:hint="eastAsia"/>
                <w:color w:val="auto"/>
                <w:sz w:val="21"/>
                <w:szCs w:val="21"/>
              </w:rPr>
              <w:t>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中水回用工程</w:t>
            </w:r>
          </w:p>
        </w:tc>
        <w:tc>
          <w:tcPr>
            <w:tcW w:w="5624" w:type="dxa"/>
            <w:vAlign w:val="center"/>
          </w:tcPr>
          <w:p>
            <w:pPr>
              <w:adjustRightInd w:val="0"/>
              <w:snapToGrid w:val="0"/>
              <w:jc w:val="center"/>
              <w:rPr>
                <w:color w:val="auto"/>
                <w:sz w:val="21"/>
                <w:szCs w:val="21"/>
              </w:rPr>
            </w:pPr>
            <w:r>
              <w:rPr>
                <w:rFonts w:hint="eastAsia"/>
                <w:color w:val="auto"/>
                <w:sz w:val="21"/>
                <w:szCs w:val="21"/>
              </w:rPr>
              <w:t>包括中水回用池和尾水回用管网。其中，中水回用池为2座池体，平面尺寸为16.0m×16.0m，池高1.6m，砖混，地下结构。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pPr>
              <w:adjustRightInd w:val="0"/>
              <w:snapToGrid w:val="0"/>
              <w:jc w:val="center"/>
              <w:rPr>
                <w:color w:val="auto"/>
                <w:sz w:val="21"/>
                <w:szCs w:val="21"/>
              </w:rPr>
            </w:pPr>
            <w:r>
              <w:rPr>
                <w:rFonts w:hint="eastAsia"/>
                <w:color w:val="auto"/>
                <w:sz w:val="21"/>
                <w:szCs w:val="21"/>
              </w:rPr>
              <w:t>辅助工程</w:t>
            </w:r>
          </w:p>
        </w:tc>
        <w:tc>
          <w:tcPr>
            <w:tcW w:w="1605" w:type="dxa"/>
            <w:vAlign w:val="center"/>
          </w:tcPr>
          <w:p>
            <w:pPr>
              <w:adjustRightInd w:val="0"/>
              <w:snapToGrid w:val="0"/>
              <w:jc w:val="center"/>
              <w:rPr>
                <w:color w:val="auto"/>
                <w:sz w:val="21"/>
                <w:szCs w:val="21"/>
              </w:rPr>
            </w:pPr>
            <w:r>
              <w:rPr>
                <w:rFonts w:hint="eastAsia"/>
                <w:color w:val="auto"/>
                <w:sz w:val="21"/>
                <w:szCs w:val="21"/>
              </w:rPr>
              <w:t>二沉池配水井及污泥泵房</w:t>
            </w:r>
          </w:p>
        </w:tc>
        <w:tc>
          <w:tcPr>
            <w:tcW w:w="5624" w:type="dxa"/>
            <w:vAlign w:val="center"/>
          </w:tcPr>
          <w:p>
            <w:pPr>
              <w:adjustRightInd w:val="0"/>
              <w:snapToGrid w:val="0"/>
              <w:jc w:val="center"/>
              <w:rPr>
                <w:color w:val="auto"/>
                <w:sz w:val="21"/>
                <w:szCs w:val="21"/>
              </w:rPr>
            </w:pPr>
            <w:r>
              <w:rPr>
                <w:color w:val="auto"/>
                <w:sz w:val="21"/>
                <w:szCs w:val="21"/>
              </w:rPr>
              <w:t xml:space="preserve">2 </w:t>
            </w:r>
            <w:r>
              <w:rPr>
                <w:rFonts w:hint="eastAsia"/>
                <w:color w:val="auto"/>
                <w:sz w:val="21"/>
                <w:szCs w:val="21"/>
              </w:rPr>
              <w:t>座。池高</w:t>
            </w:r>
            <w:r>
              <w:rPr>
                <w:color w:val="auto"/>
                <w:sz w:val="21"/>
                <w:szCs w:val="21"/>
              </w:rPr>
              <w:t>5.2m</w:t>
            </w:r>
            <w:r>
              <w:rPr>
                <w:rFonts w:hint="eastAsia"/>
                <w:color w:val="auto"/>
                <w:sz w:val="21"/>
                <w:szCs w:val="21"/>
              </w:rPr>
              <w:t>，埋深约</w:t>
            </w:r>
            <w:r>
              <w:rPr>
                <w:color w:val="auto"/>
                <w:sz w:val="21"/>
                <w:szCs w:val="21"/>
              </w:rPr>
              <w:t>3.5m</w:t>
            </w:r>
            <w:r>
              <w:rPr>
                <w:rFonts w:hint="eastAsia"/>
                <w:color w:val="auto"/>
                <w:sz w:val="21"/>
                <w:szCs w:val="21"/>
              </w:rPr>
              <w:t>，现浇钢筋混凝土结构。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中间提升泵房</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座。平面尺寸约为7.0m×10.1m，最大埋深约4.5m，现浇钢筋混凝土结构。设置3台潜水离心泵（Q=333m</w:t>
            </w:r>
            <w:r>
              <w:rPr>
                <w:rFonts w:hint="eastAsia"/>
                <w:color w:val="auto"/>
                <w:sz w:val="21"/>
                <w:szCs w:val="21"/>
                <w:vertAlign w:val="superscript"/>
              </w:rPr>
              <w:t>3</w:t>
            </w:r>
            <w:r>
              <w:rPr>
                <w:rFonts w:hint="eastAsia"/>
                <w:color w:val="auto"/>
                <w:sz w:val="21"/>
                <w:szCs w:val="21"/>
              </w:rPr>
              <w:t>/hr，Hmin=4.50m,Hmax=7.5m，P=11kW），2台变频。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辅助用房</w:t>
            </w:r>
          </w:p>
        </w:tc>
        <w:tc>
          <w:tcPr>
            <w:tcW w:w="5624" w:type="dxa"/>
            <w:vAlign w:val="center"/>
          </w:tcPr>
          <w:p>
            <w:pPr>
              <w:adjustRightInd w:val="0"/>
              <w:snapToGrid w:val="0"/>
              <w:jc w:val="center"/>
              <w:rPr>
                <w:color w:val="auto"/>
                <w:sz w:val="21"/>
                <w:szCs w:val="21"/>
              </w:rPr>
            </w:pPr>
            <w:r>
              <w:rPr>
                <w:rFonts w:hint="eastAsia"/>
                <w:color w:val="auto"/>
                <w:sz w:val="21"/>
                <w:szCs w:val="21"/>
              </w:rPr>
              <w:t>1 座。钢筋混凝土框架结构，位于中间提升泵房和反冲洗废液池上部。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配泥井</w:t>
            </w:r>
          </w:p>
        </w:tc>
        <w:tc>
          <w:tcPr>
            <w:tcW w:w="5624" w:type="dxa"/>
            <w:vAlign w:val="center"/>
          </w:tcPr>
          <w:p>
            <w:pPr>
              <w:adjustRightInd w:val="0"/>
              <w:snapToGrid w:val="0"/>
              <w:jc w:val="center"/>
              <w:rPr>
                <w:color w:val="auto"/>
                <w:sz w:val="21"/>
                <w:szCs w:val="21"/>
              </w:rPr>
            </w:pPr>
            <w:r>
              <w:rPr>
                <w:rFonts w:hint="eastAsia"/>
                <w:color w:val="auto"/>
                <w:sz w:val="21"/>
                <w:szCs w:val="21"/>
              </w:rPr>
              <w:t>1 座。现浇钢筋砼结构。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鼓风机房</w:t>
            </w:r>
          </w:p>
        </w:tc>
        <w:tc>
          <w:tcPr>
            <w:tcW w:w="5624" w:type="dxa"/>
            <w:vAlign w:val="center"/>
          </w:tcPr>
          <w:p>
            <w:pPr>
              <w:adjustRightInd w:val="0"/>
              <w:snapToGrid w:val="0"/>
              <w:jc w:val="center"/>
              <w:rPr>
                <w:color w:val="auto"/>
                <w:sz w:val="21"/>
                <w:szCs w:val="21"/>
              </w:rPr>
            </w:pPr>
            <w:r>
              <w:rPr>
                <w:rFonts w:hint="eastAsia"/>
                <w:color w:val="auto"/>
                <w:sz w:val="21"/>
                <w:szCs w:val="21"/>
              </w:rPr>
              <w:t>1 座。平面尺寸约为11.5m×15.2m。单层建筑，现浇钢筋混凝土框架结构。设置3台多级离心鼓风机，25m</w:t>
            </w:r>
            <w:r>
              <w:rPr>
                <w:rFonts w:hint="eastAsia"/>
                <w:color w:val="auto"/>
                <w:sz w:val="21"/>
                <w:szCs w:val="21"/>
                <w:vertAlign w:val="superscript"/>
              </w:rPr>
              <w:t>3</w:t>
            </w:r>
            <w:r>
              <w:rPr>
                <w:rFonts w:hint="eastAsia"/>
                <w:color w:val="auto"/>
                <w:sz w:val="21"/>
                <w:szCs w:val="21"/>
              </w:rPr>
              <w:t>/min，2用1备，全变频。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变配电间</w:t>
            </w:r>
          </w:p>
        </w:tc>
        <w:tc>
          <w:tcPr>
            <w:tcW w:w="5624" w:type="dxa"/>
            <w:vAlign w:val="center"/>
          </w:tcPr>
          <w:p>
            <w:pPr>
              <w:adjustRightInd w:val="0"/>
              <w:snapToGrid w:val="0"/>
              <w:jc w:val="center"/>
              <w:rPr>
                <w:color w:val="auto"/>
                <w:sz w:val="21"/>
                <w:szCs w:val="21"/>
              </w:rPr>
            </w:pPr>
            <w:r>
              <w:rPr>
                <w:rFonts w:hint="eastAsia"/>
                <w:color w:val="auto"/>
                <w:sz w:val="21"/>
                <w:szCs w:val="21"/>
              </w:rPr>
              <w:t>1 幢。建筑面积为30m×15m，现浇钢筋混凝土框架结构。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综合楼</w:t>
            </w:r>
          </w:p>
        </w:tc>
        <w:tc>
          <w:tcPr>
            <w:tcW w:w="5624" w:type="dxa"/>
            <w:vAlign w:val="center"/>
          </w:tcPr>
          <w:p>
            <w:pPr>
              <w:adjustRightInd w:val="0"/>
              <w:snapToGrid w:val="0"/>
              <w:jc w:val="center"/>
              <w:rPr>
                <w:color w:val="auto"/>
                <w:sz w:val="21"/>
                <w:szCs w:val="21"/>
              </w:rPr>
            </w:pPr>
            <w:r>
              <w:rPr>
                <w:rFonts w:hint="eastAsia"/>
                <w:color w:val="auto"/>
                <w:sz w:val="21"/>
                <w:szCs w:val="21"/>
              </w:rPr>
              <w:t>1 幢。建筑面积为12.5m×34.5m，现浇钢筋混凝土框架结构。二层建筑，一层设有卫生间、淋浴间、化验室、办公室、接待室、餐厅、厨房等；二层设有卫生间、档案室、办公室、会议室、财务室、中控室等。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机修车间</w:t>
            </w:r>
          </w:p>
        </w:tc>
        <w:tc>
          <w:tcPr>
            <w:tcW w:w="5624" w:type="dxa"/>
            <w:vAlign w:val="center"/>
          </w:tcPr>
          <w:p>
            <w:pPr>
              <w:adjustRightInd w:val="0"/>
              <w:snapToGrid w:val="0"/>
              <w:jc w:val="center"/>
              <w:rPr>
                <w:color w:val="auto"/>
                <w:sz w:val="21"/>
                <w:szCs w:val="21"/>
              </w:rPr>
            </w:pPr>
            <w:r>
              <w:rPr>
                <w:rFonts w:hint="eastAsia"/>
                <w:color w:val="auto"/>
                <w:sz w:val="21"/>
                <w:szCs w:val="21"/>
              </w:rPr>
              <w:t>1 幢。建筑面积为12m×15m，现浇钢筋混凝土框架结构。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门卫</w:t>
            </w:r>
          </w:p>
        </w:tc>
        <w:tc>
          <w:tcPr>
            <w:tcW w:w="5624" w:type="dxa"/>
            <w:vAlign w:val="center"/>
          </w:tcPr>
          <w:p>
            <w:pPr>
              <w:adjustRightInd w:val="0"/>
              <w:snapToGrid w:val="0"/>
              <w:jc w:val="center"/>
              <w:rPr>
                <w:color w:val="auto"/>
                <w:sz w:val="21"/>
                <w:szCs w:val="21"/>
              </w:rPr>
            </w:pPr>
            <w:r>
              <w:rPr>
                <w:rFonts w:hint="eastAsia"/>
                <w:color w:val="auto"/>
                <w:sz w:val="21"/>
                <w:szCs w:val="21"/>
              </w:rPr>
              <w:t>1 幢。建筑面积为4m×6m，现浇钢筋混凝土框架结构。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除臭装置</w:t>
            </w:r>
          </w:p>
        </w:tc>
        <w:tc>
          <w:tcPr>
            <w:tcW w:w="5624" w:type="dxa"/>
            <w:vAlign w:val="center"/>
          </w:tcPr>
          <w:p>
            <w:pPr>
              <w:adjustRightInd w:val="0"/>
              <w:snapToGrid w:val="0"/>
              <w:jc w:val="center"/>
              <w:rPr>
                <w:color w:val="auto"/>
                <w:sz w:val="21"/>
                <w:szCs w:val="21"/>
              </w:rPr>
            </w:pPr>
            <w:r>
              <w:rPr>
                <w:rFonts w:hint="eastAsia"/>
                <w:color w:val="auto"/>
                <w:sz w:val="21"/>
                <w:szCs w:val="21"/>
              </w:rPr>
              <w:t>1 幢。建筑面积为4m×7m，现浇钢筋混凝土筏板基础。分别在污水预处理单元及污泥脱水机房设置除臭装置，采用化学洗涤+生物滤池工艺，处理风量分别为6000m</w:t>
            </w:r>
            <w:r>
              <w:rPr>
                <w:rFonts w:hint="eastAsia"/>
                <w:color w:val="auto"/>
                <w:sz w:val="21"/>
                <w:szCs w:val="21"/>
                <w:vertAlign w:val="superscript"/>
              </w:rPr>
              <w:t>3</w:t>
            </w:r>
            <w:r>
              <w:rPr>
                <w:rFonts w:hint="eastAsia"/>
                <w:color w:val="auto"/>
                <w:sz w:val="21"/>
                <w:szCs w:val="21"/>
              </w:rPr>
              <w:t>/h和22000 m</w:t>
            </w:r>
            <w:r>
              <w:rPr>
                <w:rFonts w:hint="eastAsia"/>
                <w:color w:val="auto"/>
                <w:sz w:val="21"/>
                <w:szCs w:val="21"/>
                <w:vertAlign w:val="superscript"/>
              </w:rPr>
              <w:t>3</w:t>
            </w:r>
            <w:r>
              <w:rPr>
                <w:rFonts w:hint="eastAsia"/>
                <w:color w:val="auto"/>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pPr>
              <w:adjustRightInd w:val="0"/>
              <w:snapToGrid w:val="0"/>
              <w:jc w:val="center"/>
              <w:rPr>
                <w:color w:val="auto"/>
                <w:sz w:val="21"/>
                <w:szCs w:val="21"/>
              </w:rPr>
            </w:pPr>
            <w:r>
              <w:rPr>
                <w:rFonts w:hint="eastAsia"/>
                <w:color w:val="auto"/>
                <w:sz w:val="21"/>
                <w:szCs w:val="21"/>
              </w:rPr>
              <w:t>公用工程</w:t>
            </w:r>
          </w:p>
        </w:tc>
        <w:tc>
          <w:tcPr>
            <w:tcW w:w="1605" w:type="dxa"/>
            <w:vAlign w:val="center"/>
          </w:tcPr>
          <w:p>
            <w:pPr>
              <w:adjustRightInd w:val="0"/>
              <w:snapToGrid w:val="0"/>
              <w:jc w:val="center"/>
              <w:rPr>
                <w:color w:val="auto"/>
                <w:sz w:val="21"/>
                <w:szCs w:val="21"/>
              </w:rPr>
            </w:pPr>
            <w:r>
              <w:rPr>
                <w:rFonts w:hint="eastAsia"/>
                <w:color w:val="auto"/>
                <w:sz w:val="21"/>
                <w:szCs w:val="21"/>
              </w:rPr>
              <w:t>给水系统</w:t>
            </w:r>
          </w:p>
        </w:tc>
        <w:tc>
          <w:tcPr>
            <w:tcW w:w="5624" w:type="dxa"/>
            <w:vAlign w:val="center"/>
          </w:tcPr>
          <w:p>
            <w:pPr>
              <w:adjustRightInd w:val="0"/>
              <w:snapToGrid w:val="0"/>
              <w:jc w:val="center"/>
              <w:rPr>
                <w:color w:val="auto"/>
                <w:sz w:val="21"/>
                <w:szCs w:val="21"/>
              </w:rPr>
            </w:pPr>
            <w:r>
              <w:rPr>
                <w:rFonts w:hint="eastAsia"/>
                <w:color w:val="auto"/>
                <w:sz w:val="21"/>
                <w:szCs w:val="21"/>
              </w:rPr>
              <w:t>由市政给水管网提供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排水系统</w:t>
            </w:r>
          </w:p>
        </w:tc>
        <w:tc>
          <w:tcPr>
            <w:tcW w:w="5624" w:type="dxa"/>
            <w:vAlign w:val="center"/>
          </w:tcPr>
          <w:p>
            <w:pPr>
              <w:adjustRightInd w:val="0"/>
              <w:snapToGrid w:val="0"/>
              <w:jc w:val="center"/>
              <w:rPr>
                <w:color w:val="auto"/>
                <w:sz w:val="21"/>
                <w:szCs w:val="21"/>
              </w:rPr>
            </w:pPr>
            <w:r>
              <w:rPr>
                <w:rFonts w:hint="eastAsia"/>
                <w:color w:val="auto"/>
                <w:sz w:val="21"/>
                <w:szCs w:val="21"/>
              </w:rPr>
              <w:t>采用分流制，雨水通过雨水管直接排入水体，污水经收集后输送至水质净化厂集中处理。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供电系统</w:t>
            </w:r>
          </w:p>
        </w:tc>
        <w:tc>
          <w:tcPr>
            <w:tcW w:w="5624" w:type="dxa"/>
            <w:vAlign w:val="center"/>
          </w:tcPr>
          <w:p>
            <w:pPr>
              <w:adjustRightInd w:val="0"/>
              <w:snapToGrid w:val="0"/>
              <w:jc w:val="center"/>
              <w:rPr>
                <w:color w:val="auto"/>
                <w:sz w:val="21"/>
                <w:szCs w:val="21"/>
              </w:rPr>
            </w:pPr>
            <w:r>
              <w:rPr>
                <w:rFonts w:hint="eastAsia"/>
                <w:color w:val="auto"/>
                <w:sz w:val="21"/>
                <w:szCs w:val="21"/>
              </w:rPr>
              <w:t>由市政电网提供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消防系统</w:t>
            </w:r>
          </w:p>
        </w:tc>
        <w:tc>
          <w:tcPr>
            <w:tcW w:w="5624" w:type="dxa"/>
            <w:vAlign w:val="center"/>
          </w:tcPr>
          <w:p>
            <w:pPr>
              <w:adjustRightInd w:val="0"/>
              <w:snapToGrid w:val="0"/>
              <w:jc w:val="center"/>
              <w:rPr>
                <w:color w:val="auto"/>
                <w:sz w:val="21"/>
                <w:szCs w:val="21"/>
              </w:rPr>
            </w:pPr>
            <w:r>
              <w:rPr>
                <w:rFonts w:hint="eastAsia"/>
                <w:color w:val="auto"/>
                <w:sz w:val="21"/>
                <w:szCs w:val="21"/>
              </w:rPr>
              <w:t>厂内建筑、道路设计均符合《建筑设计防火规范》相关要求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通风系统</w:t>
            </w:r>
          </w:p>
        </w:tc>
        <w:tc>
          <w:tcPr>
            <w:tcW w:w="5624" w:type="dxa"/>
            <w:vAlign w:val="center"/>
          </w:tcPr>
          <w:p>
            <w:pPr>
              <w:adjustRightInd w:val="0"/>
              <w:snapToGrid w:val="0"/>
              <w:jc w:val="center"/>
              <w:rPr>
                <w:color w:val="auto"/>
                <w:sz w:val="21"/>
                <w:szCs w:val="21"/>
              </w:rPr>
            </w:pPr>
            <w:r>
              <w:rPr>
                <w:rFonts w:hint="eastAsia"/>
                <w:color w:val="auto"/>
                <w:sz w:val="21"/>
                <w:szCs w:val="21"/>
              </w:rPr>
              <w:t>变配电间，鼓风机房，粗格栅及进水泵房之控制室，中间泵房、高效沉淀池、滤池及消毒接触池，综合楼，机修车间，门卫均配置通风系统。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pPr>
              <w:adjustRightInd w:val="0"/>
              <w:snapToGrid w:val="0"/>
              <w:jc w:val="center"/>
              <w:rPr>
                <w:color w:val="auto"/>
                <w:sz w:val="21"/>
                <w:szCs w:val="21"/>
              </w:rPr>
            </w:pPr>
            <w:r>
              <w:rPr>
                <w:rFonts w:hint="eastAsia"/>
                <w:color w:val="auto"/>
                <w:sz w:val="21"/>
                <w:szCs w:val="21"/>
              </w:rPr>
              <w:t>环保工程</w:t>
            </w:r>
          </w:p>
        </w:tc>
        <w:tc>
          <w:tcPr>
            <w:tcW w:w="1605" w:type="dxa"/>
            <w:vAlign w:val="center"/>
          </w:tcPr>
          <w:p>
            <w:pPr>
              <w:adjustRightInd w:val="0"/>
              <w:snapToGrid w:val="0"/>
              <w:jc w:val="center"/>
              <w:rPr>
                <w:color w:val="auto"/>
                <w:sz w:val="21"/>
                <w:szCs w:val="21"/>
              </w:rPr>
            </w:pPr>
            <w:r>
              <w:rPr>
                <w:rFonts w:hint="eastAsia"/>
                <w:color w:val="auto"/>
                <w:sz w:val="21"/>
                <w:szCs w:val="21"/>
              </w:rPr>
              <w:t>废水工程</w:t>
            </w:r>
          </w:p>
        </w:tc>
        <w:tc>
          <w:tcPr>
            <w:tcW w:w="5624" w:type="dxa"/>
            <w:vAlign w:val="center"/>
          </w:tcPr>
          <w:p>
            <w:pPr>
              <w:adjustRightInd w:val="0"/>
              <w:snapToGrid w:val="0"/>
              <w:jc w:val="center"/>
              <w:rPr>
                <w:color w:val="auto"/>
                <w:sz w:val="21"/>
                <w:szCs w:val="21"/>
              </w:rPr>
            </w:pPr>
            <w:r>
              <w:rPr>
                <w:rFonts w:hint="eastAsia"/>
                <w:color w:val="auto"/>
                <w:sz w:val="21"/>
                <w:szCs w:val="21"/>
              </w:rPr>
              <w:t>本项目为水质净化厂建设项目，站外收集废水及站内污水经污水处理系统处理达标后部分回用于水质净化厂自用、园区内城市绿化、道路清扫和冲厕，其余尾水排入大嵩河。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废气工程</w:t>
            </w:r>
          </w:p>
        </w:tc>
        <w:tc>
          <w:tcPr>
            <w:tcW w:w="5624" w:type="dxa"/>
            <w:vAlign w:val="center"/>
          </w:tcPr>
          <w:p>
            <w:pPr>
              <w:adjustRightInd w:val="0"/>
              <w:snapToGrid w:val="0"/>
              <w:jc w:val="center"/>
              <w:rPr>
                <w:color w:val="auto"/>
                <w:sz w:val="21"/>
                <w:szCs w:val="21"/>
              </w:rPr>
            </w:pPr>
            <w:r>
              <w:rPr>
                <w:rFonts w:hint="eastAsia"/>
                <w:color w:val="auto"/>
                <w:sz w:val="21"/>
                <w:szCs w:val="21"/>
              </w:rPr>
              <w:t>本项目非生产类项目，不产生工业废气，废气主要为废水处理过程中产生的恶臭，由除臭装置处理达标后排放。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噪声工程</w:t>
            </w:r>
          </w:p>
        </w:tc>
        <w:tc>
          <w:tcPr>
            <w:tcW w:w="5624" w:type="dxa"/>
            <w:vAlign w:val="center"/>
          </w:tcPr>
          <w:p>
            <w:pPr>
              <w:adjustRightInd w:val="0"/>
              <w:snapToGrid w:val="0"/>
              <w:jc w:val="center"/>
              <w:rPr>
                <w:color w:val="auto"/>
                <w:sz w:val="21"/>
                <w:szCs w:val="21"/>
              </w:rPr>
            </w:pPr>
            <w:r>
              <w:rPr>
                <w:rFonts w:hint="eastAsia"/>
                <w:color w:val="auto"/>
                <w:sz w:val="21"/>
                <w:szCs w:val="21"/>
              </w:rPr>
              <w:t>采用低噪设备、基础减震、厂房隔声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固废工程</w:t>
            </w:r>
          </w:p>
        </w:tc>
        <w:tc>
          <w:tcPr>
            <w:tcW w:w="5624" w:type="dxa"/>
            <w:vAlign w:val="center"/>
          </w:tcPr>
          <w:p>
            <w:pPr>
              <w:adjustRightInd w:val="0"/>
              <w:snapToGrid w:val="0"/>
              <w:jc w:val="center"/>
              <w:rPr>
                <w:color w:val="auto"/>
                <w:sz w:val="21"/>
                <w:szCs w:val="21"/>
              </w:rPr>
            </w:pPr>
            <w:r>
              <w:rPr>
                <w:rFonts w:hint="eastAsia"/>
                <w:color w:val="auto"/>
                <w:sz w:val="21"/>
                <w:szCs w:val="21"/>
              </w:rPr>
              <w:t>厂内设置有垃圾箱、一般固废暂存间和危废暂存间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pPr>
              <w:adjustRightInd w:val="0"/>
              <w:snapToGrid w:val="0"/>
              <w:jc w:val="center"/>
              <w:rPr>
                <w:color w:val="auto"/>
                <w:sz w:val="21"/>
                <w:szCs w:val="21"/>
              </w:rPr>
            </w:pPr>
          </w:p>
        </w:tc>
        <w:tc>
          <w:tcPr>
            <w:tcW w:w="1605" w:type="dxa"/>
            <w:vAlign w:val="center"/>
          </w:tcPr>
          <w:p>
            <w:pPr>
              <w:adjustRightInd w:val="0"/>
              <w:snapToGrid w:val="0"/>
              <w:jc w:val="center"/>
              <w:rPr>
                <w:color w:val="auto"/>
                <w:sz w:val="21"/>
                <w:szCs w:val="21"/>
              </w:rPr>
            </w:pPr>
            <w:r>
              <w:rPr>
                <w:rFonts w:hint="eastAsia"/>
                <w:color w:val="auto"/>
                <w:sz w:val="21"/>
                <w:szCs w:val="21"/>
              </w:rPr>
              <w:t>防渗系统</w:t>
            </w:r>
          </w:p>
        </w:tc>
        <w:tc>
          <w:tcPr>
            <w:tcW w:w="5624" w:type="dxa"/>
            <w:vAlign w:val="center"/>
          </w:tcPr>
          <w:p>
            <w:pPr>
              <w:adjustRightInd w:val="0"/>
              <w:snapToGrid w:val="0"/>
              <w:jc w:val="center"/>
              <w:rPr>
                <w:color w:val="auto"/>
                <w:sz w:val="21"/>
                <w:szCs w:val="21"/>
              </w:rPr>
            </w:pPr>
            <w:r>
              <w:rPr>
                <w:rFonts w:hint="eastAsia"/>
                <w:color w:val="auto"/>
                <w:sz w:val="21"/>
                <w:szCs w:val="21"/>
              </w:rPr>
              <w:t>构筑物均采用抗渗混凝土，抗渗等级S8，水灰比不大于0.50，混凝土结构的表面裂缝宽度严格控制在0.20mm以内；厂内所有外露钢制构件，除锈后均涂刷环氧类或聚氨酯防腐油漆，除锈等级不低于Sa2级</w:t>
            </w:r>
          </w:p>
        </w:tc>
      </w:tr>
    </w:tbl>
    <w:p>
      <w:pPr>
        <w:pStyle w:val="4"/>
        <w:rPr>
          <w:color w:val="auto"/>
        </w:rPr>
      </w:pPr>
      <w:bookmarkStart w:id="84" w:name="_Toc26276816"/>
      <w:r>
        <w:rPr>
          <w:rFonts w:hint="eastAsia"/>
          <w:color w:val="auto"/>
        </w:rPr>
        <w:t>3.4.2公用工程</w:t>
      </w:r>
      <w:bookmarkEnd w:id="84"/>
    </w:p>
    <w:p>
      <w:pPr>
        <w:pStyle w:val="5"/>
        <w:rPr>
          <w:color w:val="auto"/>
        </w:rPr>
      </w:pPr>
      <w:r>
        <w:rPr>
          <w:rFonts w:hint="eastAsia"/>
          <w:color w:val="auto"/>
        </w:rPr>
        <w:t>3.4.2.1给排水系统</w:t>
      </w:r>
    </w:p>
    <w:p>
      <w:pPr>
        <w:spacing w:line="360" w:lineRule="auto"/>
        <w:ind w:firstLine="480" w:firstLineChars="200"/>
        <w:rPr>
          <w:color w:val="auto"/>
          <w:sz w:val="24"/>
          <w:szCs w:val="24"/>
        </w:rPr>
      </w:pPr>
      <w:r>
        <w:rPr>
          <w:rFonts w:hint="eastAsia"/>
          <w:color w:val="auto"/>
          <w:sz w:val="24"/>
          <w:szCs w:val="24"/>
        </w:rPr>
        <w:t>本项目给水干管由园区给水管网接入，厂区供水管网呈环状布置，同时兼做厂区消防给水。</w:t>
      </w:r>
    </w:p>
    <w:p>
      <w:pPr>
        <w:spacing w:line="360" w:lineRule="auto"/>
        <w:ind w:firstLine="480" w:firstLineChars="200"/>
        <w:rPr>
          <w:color w:val="auto"/>
          <w:sz w:val="24"/>
          <w:szCs w:val="24"/>
        </w:rPr>
      </w:pPr>
      <w:r>
        <w:rPr>
          <w:rFonts w:hint="eastAsia"/>
          <w:color w:val="auto"/>
          <w:sz w:val="24"/>
          <w:szCs w:val="24"/>
        </w:rPr>
        <w:t>项目排水采用分流制，雨水通过雨水管直接排入水体，污水经收集后输送至污水处理区集中处理。</w:t>
      </w:r>
    </w:p>
    <w:p>
      <w:pPr>
        <w:pStyle w:val="5"/>
        <w:rPr>
          <w:color w:val="auto"/>
        </w:rPr>
      </w:pPr>
      <w:r>
        <w:rPr>
          <w:rFonts w:hint="eastAsia"/>
          <w:color w:val="auto"/>
        </w:rPr>
        <w:t>3.4.2.2供电系统</w:t>
      </w:r>
    </w:p>
    <w:p>
      <w:pPr>
        <w:spacing w:line="360" w:lineRule="auto"/>
        <w:ind w:firstLine="480" w:firstLineChars="200"/>
        <w:rPr>
          <w:color w:val="auto"/>
          <w:sz w:val="24"/>
          <w:szCs w:val="24"/>
        </w:rPr>
      </w:pPr>
      <w:r>
        <w:rPr>
          <w:rFonts w:hint="eastAsia"/>
          <w:color w:val="auto"/>
          <w:sz w:val="24"/>
          <w:szCs w:val="24"/>
        </w:rPr>
        <w:t>用电由市政电网提供，年用电量约为57.8万kw</w:t>
      </w:r>
      <w:r>
        <w:rPr>
          <w:color w:val="auto"/>
        </w:rPr>
        <w:t xml:space="preserve"> </w:t>
      </w:r>
      <w:r>
        <w:rPr>
          <w:color w:val="auto"/>
          <w:sz w:val="24"/>
          <w:szCs w:val="24"/>
        </w:rPr>
        <w:t>▪</w:t>
      </w:r>
      <w:r>
        <w:rPr>
          <w:rFonts w:hint="eastAsia"/>
          <w:color w:val="auto"/>
          <w:sz w:val="24"/>
          <w:szCs w:val="24"/>
        </w:rPr>
        <w:t>h。本项目拟向当地电业部门申请对现状两路10kV电源扩容，扩容400kVA/路，共2路。扩容后两路电源为一用一备，外线容量2000kVA/路。每路电源均应承担本工程100%用电负荷，电源用电缆引入变电所。</w:t>
      </w:r>
    </w:p>
    <w:p>
      <w:pPr>
        <w:pStyle w:val="5"/>
        <w:rPr>
          <w:color w:val="auto"/>
        </w:rPr>
      </w:pPr>
      <w:r>
        <w:rPr>
          <w:rFonts w:hint="eastAsia"/>
          <w:color w:val="auto"/>
        </w:rPr>
        <w:t>3.4.2.3消防系统</w:t>
      </w:r>
    </w:p>
    <w:p>
      <w:pPr>
        <w:spacing w:line="360" w:lineRule="auto"/>
        <w:ind w:firstLine="480" w:firstLineChars="200"/>
        <w:rPr>
          <w:color w:val="auto"/>
          <w:sz w:val="24"/>
          <w:szCs w:val="24"/>
        </w:rPr>
      </w:pPr>
      <w:r>
        <w:rPr>
          <w:rFonts w:hint="eastAsia"/>
          <w:color w:val="auto"/>
          <w:sz w:val="24"/>
          <w:szCs w:val="24"/>
        </w:rPr>
        <w:t>本项目厂内道路基本采用环状布置，符合《建筑设计防火规范》的有关要求；室外消防水量按需水量最大的一座建筑物计算，不小于15L/s；室外消防系统给水压力满足最不利点的消火栓水枪压力要求，厂区室外消火栓布置间距不大于120m；消防用水由城市自来水管网供水，外网供水水压大于0.25Mpa。</w:t>
      </w:r>
    </w:p>
    <w:p>
      <w:pPr>
        <w:pStyle w:val="5"/>
        <w:rPr>
          <w:color w:val="auto"/>
        </w:rPr>
      </w:pPr>
      <w:r>
        <w:rPr>
          <w:rFonts w:hint="eastAsia"/>
          <w:color w:val="auto"/>
        </w:rPr>
        <w:t>3.4.2.4通风系统</w:t>
      </w:r>
    </w:p>
    <w:p>
      <w:pPr>
        <w:spacing w:line="360" w:lineRule="auto"/>
        <w:ind w:firstLine="480" w:firstLineChars="200"/>
        <w:rPr>
          <w:color w:val="auto"/>
          <w:sz w:val="24"/>
          <w:szCs w:val="24"/>
        </w:rPr>
      </w:pPr>
      <w:r>
        <w:rPr>
          <w:rFonts w:hint="eastAsia"/>
          <w:color w:val="auto"/>
          <w:sz w:val="24"/>
          <w:szCs w:val="24"/>
        </w:rPr>
        <w:t>变配电间：变配电间平时采用机械通风，换气量按排除设备工作时产生的余热量设计。</w:t>
      </w:r>
    </w:p>
    <w:p>
      <w:pPr>
        <w:spacing w:line="360" w:lineRule="auto"/>
        <w:ind w:firstLine="480" w:firstLineChars="200"/>
        <w:rPr>
          <w:color w:val="auto"/>
          <w:sz w:val="24"/>
          <w:szCs w:val="24"/>
        </w:rPr>
      </w:pPr>
      <w:r>
        <w:rPr>
          <w:rFonts w:hint="eastAsia"/>
          <w:color w:val="auto"/>
          <w:sz w:val="24"/>
          <w:szCs w:val="24"/>
        </w:rPr>
        <w:t>鼓风机房：鼓风机房设上部机械排风，下部自然进风，换气量按排除设备工作时产生的余热量设计。</w:t>
      </w:r>
    </w:p>
    <w:p>
      <w:pPr>
        <w:spacing w:line="360" w:lineRule="auto"/>
        <w:ind w:firstLine="480" w:firstLineChars="200"/>
        <w:rPr>
          <w:color w:val="auto"/>
          <w:sz w:val="24"/>
          <w:szCs w:val="24"/>
        </w:rPr>
      </w:pPr>
      <w:r>
        <w:rPr>
          <w:rFonts w:hint="eastAsia"/>
          <w:color w:val="auto"/>
          <w:sz w:val="24"/>
          <w:szCs w:val="24"/>
        </w:rPr>
        <w:t>中间泵房、高效沉淀池、滤池及消毒接触池：泵房及管廊设下部机械排风，上部机械或自然进风，换气次数按不小于12 次/小时设计。</w:t>
      </w:r>
    </w:p>
    <w:p>
      <w:pPr>
        <w:spacing w:line="360" w:lineRule="auto"/>
        <w:ind w:firstLine="480" w:firstLineChars="200"/>
        <w:rPr>
          <w:color w:val="auto"/>
          <w:sz w:val="24"/>
          <w:szCs w:val="24"/>
        </w:rPr>
      </w:pPr>
      <w:r>
        <w:rPr>
          <w:rFonts w:hint="eastAsia"/>
          <w:color w:val="auto"/>
          <w:sz w:val="24"/>
          <w:szCs w:val="24"/>
        </w:rPr>
        <w:t>综合楼：卫生间设机械排风，换气次数按不小于10 次/小时设计。</w:t>
      </w:r>
    </w:p>
    <w:p>
      <w:pPr>
        <w:spacing w:line="360" w:lineRule="auto"/>
        <w:ind w:firstLine="480" w:firstLineChars="200"/>
        <w:rPr>
          <w:color w:val="auto"/>
          <w:sz w:val="24"/>
          <w:szCs w:val="24"/>
        </w:rPr>
      </w:pPr>
      <w:r>
        <w:rPr>
          <w:rFonts w:hint="eastAsia"/>
          <w:color w:val="auto"/>
          <w:sz w:val="24"/>
          <w:szCs w:val="24"/>
        </w:rPr>
        <w:t>机修车间：卫生间设机械排风，换气次数按不小于10 次/小时设计；机修车间及仓库设置机械通风，换气次数按不小于6 次/小时设计。</w:t>
      </w:r>
    </w:p>
    <w:p>
      <w:pPr>
        <w:spacing w:line="360" w:lineRule="auto"/>
        <w:ind w:firstLine="480" w:firstLineChars="200"/>
        <w:rPr>
          <w:color w:val="auto"/>
          <w:sz w:val="24"/>
          <w:szCs w:val="24"/>
        </w:rPr>
      </w:pPr>
      <w:r>
        <w:rPr>
          <w:rFonts w:hint="eastAsia"/>
          <w:color w:val="auto"/>
          <w:sz w:val="24"/>
          <w:szCs w:val="24"/>
        </w:rPr>
        <w:t>辅助用房：设上部机械排风，下部自然进风，换气量按排除设备工作时产生的余热量设计。</w:t>
      </w:r>
    </w:p>
    <w:p>
      <w:pPr>
        <w:spacing w:line="360" w:lineRule="auto"/>
        <w:ind w:firstLine="480" w:firstLineChars="200"/>
        <w:rPr>
          <w:color w:val="auto"/>
          <w:sz w:val="24"/>
          <w:szCs w:val="24"/>
        </w:rPr>
      </w:pPr>
      <w:r>
        <w:rPr>
          <w:rFonts w:hint="eastAsia"/>
          <w:color w:val="auto"/>
          <w:sz w:val="24"/>
          <w:szCs w:val="24"/>
        </w:rPr>
        <w:t>管廊及设备层：管廊及设备层设下部机械排风，上部机械或自然进风，换气次数按不小于12次/小时设计。</w:t>
      </w:r>
    </w:p>
    <w:p>
      <w:pPr>
        <w:spacing w:line="360" w:lineRule="auto"/>
        <w:ind w:firstLine="480" w:firstLineChars="200"/>
        <w:rPr>
          <w:color w:val="auto"/>
          <w:sz w:val="24"/>
          <w:szCs w:val="24"/>
        </w:rPr>
      </w:pPr>
      <w:r>
        <w:rPr>
          <w:rFonts w:hint="eastAsia"/>
          <w:color w:val="auto"/>
          <w:sz w:val="24"/>
          <w:szCs w:val="24"/>
        </w:rPr>
        <w:t>所有单体采用自然排烟方式，建筑专业按照规范要求，考虑自然排烟条件。</w:t>
      </w:r>
    </w:p>
    <w:p>
      <w:pPr>
        <w:pStyle w:val="4"/>
        <w:rPr>
          <w:color w:val="auto"/>
        </w:rPr>
      </w:pPr>
      <w:bookmarkStart w:id="85" w:name="_Toc26276817"/>
      <w:r>
        <w:rPr>
          <w:rFonts w:hint="eastAsia"/>
          <w:color w:val="auto"/>
        </w:rPr>
        <w:t>3.4.3主要生产设备</w:t>
      </w:r>
      <w:bookmarkEnd w:id="85"/>
    </w:p>
    <w:p>
      <w:pPr>
        <w:spacing w:line="360" w:lineRule="auto"/>
        <w:ind w:firstLine="480" w:firstLineChars="200"/>
        <w:rPr>
          <w:rFonts w:hint="eastAsia"/>
          <w:color w:val="auto"/>
          <w:sz w:val="24"/>
          <w:szCs w:val="24"/>
        </w:rPr>
      </w:pPr>
      <w:r>
        <w:rPr>
          <w:rFonts w:hint="eastAsia"/>
          <w:color w:val="auto"/>
          <w:sz w:val="24"/>
          <w:szCs w:val="24"/>
        </w:rPr>
        <w:t>本项目主要生产设备详见下表。</w:t>
      </w:r>
    </w:p>
    <w:p>
      <w:pPr>
        <w:spacing w:line="360" w:lineRule="auto"/>
        <w:ind w:firstLine="480" w:firstLineChars="200"/>
        <w:rPr>
          <w:rFonts w:hint="eastAsia"/>
          <w:color w:val="auto"/>
          <w:sz w:val="24"/>
          <w:szCs w:val="24"/>
        </w:rPr>
      </w:pPr>
    </w:p>
    <w:p>
      <w:pPr>
        <w:spacing w:line="360" w:lineRule="auto"/>
        <w:ind w:firstLine="480" w:firstLineChars="200"/>
        <w:rPr>
          <w:rFonts w:hint="eastAsia"/>
          <w:color w:val="auto"/>
          <w:sz w:val="24"/>
          <w:szCs w:val="24"/>
        </w:rPr>
      </w:pPr>
    </w:p>
    <w:p>
      <w:pPr>
        <w:spacing w:line="360" w:lineRule="auto"/>
        <w:jc w:val="center"/>
        <w:rPr>
          <w:b/>
          <w:color w:val="auto"/>
          <w:sz w:val="24"/>
          <w:szCs w:val="24"/>
        </w:rPr>
      </w:pPr>
      <w:r>
        <w:rPr>
          <w:rFonts w:hint="eastAsia"/>
          <w:b/>
          <w:color w:val="auto"/>
          <w:sz w:val="24"/>
          <w:szCs w:val="24"/>
        </w:rPr>
        <w:t>表3-4-2   主要设备一览表</w:t>
      </w:r>
    </w:p>
    <w:tbl>
      <w:tblPr>
        <w:tblStyle w:val="29"/>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167"/>
        <w:gridCol w:w="2409"/>
        <w:gridCol w:w="709"/>
        <w:gridCol w:w="709"/>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Align w:val="center"/>
          </w:tcPr>
          <w:p>
            <w:pPr>
              <w:jc w:val="center"/>
              <w:rPr>
                <w:b/>
                <w:color w:val="auto"/>
                <w:sz w:val="21"/>
                <w:szCs w:val="21"/>
              </w:rPr>
            </w:pPr>
            <w:r>
              <w:rPr>
                <w:rFonts w:hAnsi="宋体"/>
                <w:b/>
                <w:color w:val="auto"/>
                <w:sz w:val="21"/>
                <w:szCs w:val="21"/>
              </w:rPr>
              <w:t>单体</w:t>
            </w:r>
          </w:p>
        </w:tc>
        <w:tc>
          <w:tcPr>
            <w:tcW w:w="2167" w:type="dxa"/>
            <w:vAlign w:val="center"/>
          </w:tcPr>
          <w:p>
            <w:pPr>
              <w:jc w:val="center"/>
              <w:rPr>
                <w:b/>
                <w:color w:val="auto"/>
                <w:sz w:val="21"/>
                <w:szCs w:val="21"/>
              </w:rPr>
            </w:pPr>
            <w:r>
              <w:rPr>
                <w:rFonts w:hAnsi="宋体"/>
                <w:b/>
                <w:color w:val="auto"/>
                <w:sz w:val="21"/>
                <w:szCs w:val="21"/>
              </w:rPr>
              <w:t>设备名称</w:t>
            </w:r>
          </w:p>
        </w:tc>
        <w:tc>
          <w:tcPr>
            <w:tcW w:w="2409" w:type="dxa"/>
            <w:vAlign w:val="center"/>
          </w:tcPr>
          <w:p>
            <w:pPr>
              <w:jc w:val="center"/>
              <w:rPr>
                <w:b/>
                <w:color w:val="auto"/>
                <w:sz w:val="21"/>
                <w:szCs w:val="21"/>
              </w:rPr>
            </w:pPr>
            <w:r>
              <w:rPr>
                <w:rFonts w:hAnsi="宋体"/>
                <w:b/>
                <w:color w:val="auto"/>
                <w:sz w:val="21"/>
                <w:szCs w:val="21"/>
              </w:rPr>
              <w:t>主要规格参数</w:t>
            </w:r>
          </w:p>
        </w:tc>
        <w:tc>
          <w:tcPr>
            <w:tcW w:w="709" w:type="dxa"/>
            <w:vAlign w:val="center"/>
          </w:tcPr>
          <w:p>
            <w:pPr>
              <w:jc w:val="center"/>
              <w:rPr>
                <w:b/>
                <w:color w:val="auto"/>
                <w:sz w:val="21"/>
                <w:szCs w:val="21"/>
              </w:rPr>
            </w:pPr>
            <w:r>
              <w:rPr>
                <w:rFonts w:hAnsi="宋体"/>
                <w:b/>
                <w:color w:val="auto"/>
                <w:sz w:val="21"/>
                <w:szCs w:val="21"/>
              </w:rPr>
              <w:t>数量</w:t>
            </w:r>
          </w:p>
        </w:tc>
        <w:tc>
          <w:tcPr>
            <w:tcW w:w="709" w:type="dxa"/>
            <w:vAlign w:val="center"/>
          </w:tcPr>
          <w:p>
            <w:pPr>
              <w:jc w:val="center"/>
              <w:rPr>
                <w:b/>
                <w:color w:val="auto"/>
                <w:sz w:val="21"/>
                <w:szCs w:val="21"/>
              </w:rPr>
            </w:pPr>
            <w:r>
              <w:rPr>
                <w:rFonts w:hAnsi="宋体"/>
                <w:b/>
                <w:color w:val="auto"/>
                <w:sz w:val="21"/>
                <w:szCs w:val="21"/>
              </w:rPr>
              <w:t>单位</w:t>
            </w:r>
          </w:p>
        </w:tc>
        <w:tc>
          <w:tcPr>
            <w:tcW w:w="1938" w:type="dxa"/>
            <w:vAlign w:val="center"/>
          </w:tcPr>
          <w:p>
            <w:pPr>
              <w:jc w:val="center"/>
              <w:rPr>
                <w:b/>
                <w:color w:val="auto"/>
                <w:sz w:val="21"/>
                <w:szCs w:val="21"/>
              </w:rPr>
            </w:pPr>
            <w:r>
              <w:rPr>
                <w:rFonts w:hAnsi="宋体"/>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粗格栅及进水泵房</w:t>
            </w:r>
          </w:p>
        </w:tc>
        <w:tc>
          <w:tcPr>
            <w:tcW w:w="2167" w:type="dxa"/>
            <w:vAlign w:val="center"/>
          </w:tcPr>
          <w:p>
            <w:pPr>
              <w:jc w:val="center"/>
              <w:rPr>
                <w:color w:val="auto"/>
                <w:sz w:val="21"/>
                <w:szCs w:val="21"/>
              </w:rPr>
            </w:pPr>
            <w:r>
              <w:rPr>
                <w:rFonts w:hAnsi="宋体"/>
                <w:color w:val="auto"/>
                <w:sz w:val="21"/>
                <w:szCs w:val="21"/>
              </w:rPr>
              <w:t>手动铸铁镶铜方闸门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1000×1000</w:t>
            </w:r>
            <w:r>
              <w:rPr>
                <w:rFonts w:hAnsi="宋体"/>
                <w:color w:val="auto"/>
                <w:sz w:val="21"/>
                <w:szCs w:val="21"/>
              </w:rPr>
              <w:t>，双向受压，</w:t>
            </w:r>
            <w:r>
              <w:rPr>
                <w:color w:val="auto"/>
                <w:sz w:val="21"/>
                <w:szCs w:val="21"/>
              </w:rPr>
              <w:t>N=1.1kW</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回转式格栅除污机</w:t>
            </w:r>
          </w:p>
        </w:tc>
        <w:tc>
          <w:tcPr>
            <w:tcW w:w="2409" w:type="dxa"/>
            <w:vAlign w:val="center"/>
          </w:tcPr>
          <w:p>
            <w:pPr>
              <w:jc w:val="center"/>
              <w:rPr>
                <w:color w:val="auto"/>
                <w:sz w:val="21"/>
                <w:szCs w:val="21"/>
              </w:rPr>
            </w:pPr>
            <w:r>
              <w:rPr>
                <w:rFonts w:hAnsi="宋体"/>
                <w:color w:val="auto"/>
                <w:sz w:val="21"/>
                <w:szCs w:val="21"/>
              </w:rPr>
              <w:t>设备宽</w:t>
            </w:r>
            <w:r>
              <w:rPr>
                <w:color w:val="auto"/>
                <w:sz w:val="21"/>
                <w:szCs w:val="21"/>
              </w:rPr>
              <w:t>B=800mm</w:t>
            </w:r>
            <w:r>
              <w:rPr>
                <w:rFonts w:hint="eastAsia"/>
                <w:color w:val="auto"/>
                <w:sz w:val="21"/>
                <w:szCs w:val="21"/>
              </w:rPr>
              <w:t>，</w:t>
            </w:r>
            <w:r>
              <w:rPr>
                <w:color w:val="auto"/>
                <w:sz w:val="21"/>
                <w:szCs w:val="21"/>
              </w:rPr>
              <w:t>b=20mm</w:t>
            </w:r>
            <w:r>
              <w:rPr>
                <w:rFonts w:hint="eastAsia"/>
                <w:color w:val="auto"/>
                <w:sz w:val="21"/>
                <w:szCs w:val="21"/>
              </w:rPr>
              <w:t>，</w:t>
            </w:r>
            <w:r>
              <w:rPr>
                <w:color w:val="auto"/>
                <w:sz w:val="21"/>
                <w:szCs w:val="21"/>
              </w:rPr>
              <w:t>α=75°</w:t>
            </w:r>
            <w:r>
              <w:rPr>
                <w:rFonts w:hint="eastAsia"/>
                <w:color w:val="auto"/>
                <w:sz w:val="21"/>
                <w:szCs w:val="21"/>
              </w:rPr>
              <w:t>，</w:t>
            </w:r>
            <w:r>
              <w:rPr>
                <w:color w:val="auto"/>
                <w:sz w:val="21"/>
                <w:szCs w:val="21"/>
              </w:rPr>
              <w:t>N=1.5kW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螺旋输送压榨机</w:t>
            </w:r>
          </w:p>
        </w:tc>
        <w:tc>
          <w:tcPr>
            <w:tcW w:w="2409" w:type="dxa"/>
            <w:vAlign w:val="center"/>
          </w:tcPr>
          <w:p>
            <w:pPr>
              <w:jc w:val="center"/>
              <w:rPr>
                <w:color w:val="auto"/>
                <w:sz w:val="21"/>
                <w:szCs w:val="21"/>
              </w:rPr>
            </w:pPr>
            <w:r>
              <w:rPr>
                <w:color w:val="auto"/>
                <w:sz w:val="21"/>
                <w:szCs w:val="21"/>
              </w:rPr>
              <w:t>Q=3m</w:t>
            </w:r>
            <w:r>
              <w:rPr>
                <w:color w:val="auto"/>
                <w:sz w:val="21"/>
                <w:szCs w:val="21"/>
                <w:vertAlign w:val="superscript"/>
              </w:rPr>
              <w:t>3</w:t>
            </w:r>
            <w:r>
              <w:rPr>
                <w:color w:val="auto"/>
                <w:sz w:val="21"/>
                <w:szCs w:val="21"/>
              </w:rPr>
              <w:t>/hr</w:t>
            </w:r>
            <w:r>
              <w:rPr>
                <w:rFonts w:hAnsi="宋体"/>
                <w:color w:val="auto"/>
                <w:sz w:val="21"/>
                <w:szCs w:val="21"/>
              </w:rPr>
              <w:t>，</w:t>
            </w:r>
            <w:r>
              <w:rPr>
                <w:color w:val="auto"/>
                <w:sz w:val="21"/>
                <w:szCs w:val="21"/>
              </w:rPr>
              <w:t>N=3kW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潜水离心泵</w:t>
            </w:r>
          </w:p>
        </w:tc>
        <w:tc>
          <w:tcPr>
            <w:tcW w:w="2409" w:type="dxa"/>
            <w:vAlign w:val="center"/>
          </w:tcPr>
          <w:p>
            <w:pPr>
              <w:jc w:val="center"/>
              <w:rPr>
                <w:color w:val="auto"/>
                <w:sz w:val="21"/>
                <w:szCs w:val="21"/>
              </w:rPr>
            </w:pPr>
            <w:r>
              <w:rPr>
                <w:color w:val="auto"/>
                <w:sz w:val="21"/>
                <w:szCs w:val="21"/>
              </w:rPr>
              <w:t>Q=330m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H=12.34m</w:t>
            </w:r>
            <w:r>
              <w:rPr>
                <w:rFonts w:hAnsi="宋体"/>
                <w:color w:val="auto"/>
                <w:sz w:val="21"/>
                <w:szCs w:val="21"/>
              </w:rPr>
              <w:t>（</w:t>
            </w:r>
            <w:r>
              <w:rPr>
                <w:color w:val="auto"/>
                <w:sz w:val="21"/>
                <w:szCs w:val="21"/>
              </w:rPr>
              <w:t>11.74~12.94m</w:t>
            </w:r>
            <w:r>
              <w:rPr>
                <w:rFonts w:hAnsi="宋体"/>
                <w:color w:val="auto"/>
                <w:sz w:val="21"/>
                <w:szCs w:val="21"/>
              </w:rPr>
              <w:t>），</w:t>
            </w:r>
            <w:r>
              <w:rPr>
                <w:color w:val="auto"/>
                <w:sz w:val="21"/>
                <w:szCs w:val="21"/>
              </w:rPr>
              <w:t>N=15kW</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color w:val="auto"/>
                <w:sz w:val="21"/>
                <w:szCs w:val="21"/>
              </w:rPr>
              <w:t>2</w:t>
            </w:r>
            <w:r>
              <w:rPr>
                <w:rFonts w:hAnsi="宋体"/>
                <w:color w:val="auto"/>
                <w:sz w:val="21"/>
                <w:szCs w:val="21"/>
              </w:rPr>
              <w:t>用</w:t>
            </w:r>
            <w:r>
              <w:rPr>
                <w:color w:val="auto"/>
                <w:sz w:val="21"/>
                <w:szCs w:val="21"/>
              </w:rPr>
              <w:t>1</w:t>
            </w:r>
            <w:r>
              <w:rPr>
                <w:rFonts w:hAnsi="宋体"/>
                <w:color w:val="auto"/>
                <w:sz w:val="21"/>
                <w:szCs w:val="21"/>
              </w:rPr>
              <w:t>备，全部变频，远期增加</w:t>
            </w:r>
            <w:r>
              <w:rPr>
                <w:color w:val="auto"/>
                <w:sz w:val="21"/>
                <w:szCs w:val="21"/>
              </w:rPr>
              <w:t>3</w:t>
            </w:r>
            <w:r>
              <w:rPr>
                <w:rFonts w:hAnsi="宋体"/>
                <w:color w:val="auto"/>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电动葫芦</w:t>
            </w:r>
          </w:p>
        </w:tc>
        <w:tc>
          <w:tcPr>
            <w:tcW w:w="2409" w:type="dxa"/>
            <w:vAlign w:val="center"/>
          </w:tcPr>
          <w:p>
            <w:pPr>
              <w:jc w:val="center"/>
              <w:rPr>
                <w:color w:val="auto"/>
                <w:sz w:val="21"/>
                <w:szCs w:val="21"/>
              </w:rPr>
            </w:pPr>
            <w:r>
              <w:rPr>
                <w:rFonts w:hAnsi="宋体"/>
                <w:color w:val="auto"/>
                <w:sz w:val="21"/>
                <w:szCs w:val="21"/>
              </w:rPr>
              <w:t>起重量</w:t>
            </w:r>
            <w:r>
              <w:rPr>
                <w:color w:val="auto"/>
                <w:sz w:val="21"/>
                <w:szCs w:val="21"/>
              </w:rPr>
              <w:t>3T</w:t>
            </w:r>
            <w:r>
              <w:rPr>
                <w:rFonts w:hAnsi="宋体"/>
                <w:color w:val="auto"/>
                <w:sz w:val="21"/>
                <w:szCs w:val="21"/>
              </w:rPr>
              <w:t>，起升高度</w:t>
            </w:r>
            <w:r>
              <w:rPr>
                <w:color w:val="auto"/>
                <w:sz w:val="21"/>
                <w:szCs w:val="21"/>
              </w:rPr>
              <w:t>18m</w:t>
            </w:r>
            <w:r>
              <w:rPr>
                <w:rFonts w:hAnsi="宋体"/>
                <w:color w:val="auto"/>
                <w:sz w:val="21"/>
                <w:szCs w:val="21"/>
              </w:rPr>
              <w:t>，</w:t>
            </w:r>
            <w:r>
              <w:rPr>
                <w:color w:val="auto"/>
                <w:sz w:val="21"/>
                <w:szCs w:val="21"/>
              </w:rPr>
              <w:t>N=4.5+0.4kW</w:t>
            </w:r>
            <w:r>
              <w:rPr>
                <w:rFonts w:hAnsi="宋体"/>
                <w:color w:val="auto"/>
                <w:sz w:val="21"/>
                <w:szCs w:val="21"/>
              </w:rPr>
              <w:t>，含工字钢</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垃圾小车</w:t>
            </w:r>
          </w:p>
        </w:tc>
        <w:tc>
          <w:tcPr>
            <w:tcW w:w="2409" w:type="dxa"/>
            <w:vAlign w:val="center"/>
          </w:tcPr>
          <w:p>
            <w:pPr>
              <w:jc w:val="center"/>
              <w:rPr>
                <w:color w:val="auto"/>
                <w:sz w:val="21"/>
                <w:szCs w:val="21"/>
              </w:rPr>
            </w:pPr>
            <w:r>
              <w:rPr>
                <w:color w:val="auto"/>
                <w:sz w:val="21"/>
                <w:szCs w:val="21"/>
              </w:rPr>
              <w:t>V=0.3m</w:t>
            </w:r>
            <w:r>
              <w:rPr>
                <w:color w:val="auto"/>
                <w:sz w:val="21"/>
                <w:szCs w:val="21"/>
                <w:vertAlign w:val="superscript"/>
              </w:rPr>
              <w:t>3</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辆</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存水泵</w:t>
            </w:r>
          </w:p>
        </w:tc>
        <w:tc>
          <w:tcPr>
            <w:tcW w:w="2409" w:type="dxa"/>
            <w:vAlign w:val="center"/>
          </w:tcPr>
          <w:p>
            <w:pPr>
              <w:jc w:val="center"/>
              <w:rPr>
                <w:color w:val="auto"/>
                <w:sz w:val="21"/>
                <w:szCs w:val="21"/>
              </w:rPr>
            </w:pPr>
            <w:r>
              <w:rPr>
                <w:color w:val="auto"/>
                <w:sz w:val="21"/>
                <w:szCs w:val="21"/>
              </w:rPr>
              <w:t>Q=10.0m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H=15m</w:t>
            </w:r>
            <w:r>
              <w:rPr>
                <w:rFonts w:hAnsi="宋体"/>
                <w:color w:val="auto"/>
                <w:sz w:val="21"/>
                <w:szCs w:val="21"/>
              </w:rPr>
              <w:t>，</w:t>
            </w:r>
            <w:r>
              <w:rPr>
                <w:color w:val="auto"/>
                <w:sz w:val="21"/>
                <w:szCs w:val="21"/>
              </w:rPr>
              <w:t>N=1.5kW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便携式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细格栅及曝气沉砂池</w:t>
            </w:r>
          </w:p>
        </w:tc>
        <w:tc>
          <w:tcPr>
            <w:tcW w:w="2167" w:type="dxa"/>
            <w:vAlign w:val="center"/>
          </w:tcPr>
          <w:p>
            <w:pPr>
              <w:jc w:val="center"/>
              <w:rPr>
                <w:color w:val="auto"/>
                <w:sz w:val="21"/>
                <w:szCs w:val="21"/>
              </w:rPr>
            </w:pPr>
            <w:r>
              <w:rPr>
                <w:rFonts w:hAnsi="宋体"/>
                <w:color w:val="auto"/>
                <w:sz w:val="21"/>
                <w:szCs w:val="21"/>
              </w:rPr>
              <w:t>手动不锈钢渠道闸门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1300×1750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细格栅前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细格栅除污机</w:t>
            </w:r>
          </w:p>
        </w:tc>
        <w:tc>
          <w:tcPr>
            <w:tcW w:w="2409" w:type="dxa"/>
            <w:vAlign w:val="center"/>
          </w:tcPr>
          <w:p>
            <w:pPr>
              <w:jc w:val="center"/>
              <w:rPr>
                <w:color w:val="auto"/>
                <w:sz w:val="21"/>
                <w:szCs w:val="21"/>
              </w:rPr>
            </w:pPr>
            <w:r>
              <w:rPr>
                <w:color w:val="auto"/>
                <w:sz w:val="21"/>
                <w:szCs w:val="21"/>
              </w:rPr>
              <w:t>B=800mm</w:t>
            </w:r>
            <w:r>
              <w:rPr>
                <w:rFonts w:hAnsi="宋体"/>
                <w:color w:val="auto"/>
                <w:sz w:val="21"/>
                <w:szCs w:val="21"/>
              </w:rPr>
              <w:t>，</w:t>
            </w:r>
            <w:r>
              <w:rPr>
                <w:color w:val="auto"/>
                <w:sz w:val="21"/>
                <w:szCs w:val="21"/>
              </w:rPr>
              <w:t>b=6mm</w:t>
            </w:r>
            <w:r>
              <w:rPr>
                <w:rFonts w:hAnsi="宋体"/>
                <w:color w:val="auto"/>
                <w:sz w:val="21"/>
                <w:szCs w:val="21"/>
              </w:rPr>
              <w:t>，</w:t>
            </w:r>
            <w:r>
              <w:rPr>
                <w:color w:val="auto"/>
                <w:sz w:val="21"/>
                <w:szCs w:val="21"/>
              </w:rPr>
              <w:t>N=1.5kW</w:t>
            </w:r>
            <w:r>
              <w:rPr>
                <w:rFonts w:hAnsi="宋体"/>
                <w:color w:val="auto"/>
                <w:sz w:val="21"/>
                <w:szCs w:val="21"/>
              </w:rPr>
              <w:t>，水头损失</w:t>
            </w:r>
            <w:r>
              <w:rPr>
                <w:color w:val="auto"/>
                <w:sz w:val="21"/>
                <w:szCs w:val="21"/>
              </w:rPr>
              <w:t>≤0.2m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无轴螺旋输送压榨机</w:t>
            </w:r>
          </w:p>
        </w:tc>
        <w:tc>
          <w:tcPr>
            <w:tcW w:w="2409" w:type="dxa"/>
            <w:vAlign w:val="center"/>
          </w:tcPr>
          <w:p>
            <w:pPr>
              <w:jc w:val="center"/>
              <w:rPr>
                <w:color w:val="auto"/>
                <w:sz w:val="21"/>
                <w:szCs w:val="21"/>
              </w:rPr>
            </w:pPr>
            <w:r>
              <w:rPr>
                <w:color w:val="auto"/>
                <w:sz w:val="21"/>
                <w:szCs w:val="21"/>
              </w:rPr>
              <w:t>Q</w:t>
            </w:r>
            <w:r>
              <w:rPr>
                <w:rFonts w:hAnsi="宋体"/>
                <w:color w:val="auto"/>
                <w:sz w:val="21"/>
                <w:szCs w:val="21"/>
              </w:rPr>
              <w:t>＝</w:t>
            </w:r>
            <w:r>
              <w:rPr>
                <w:color w:val="auto"/>
                <w:sz w:val="21"/>
                <w:szCs w:val="21"/>
              </w:rPr>
              <w:t>2m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L=5m</w:t>
            </w:r>
            <w:r>
              <w:rPr>
                <w:rFonts w:hAnsi="宋体"/>
                <w:color w:val="auto"/>
                <w:sz w:val="21"/>
                <w:szCs w:val="21"/>
              </w:rPr>
              <w:t>，</w:t>
            </w:r>
            <w:r>
              <w:rPr>
                <w:color w:val="auto"/>
                <w:sz w:val="21"/>
                <w:szCs w:val="21"/>
              </w:rPr>
              <w:t>N=1.5kW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附落渣管，长约</w:t>
            </w:r>
            <w:r>
              <w:rPr>
                <w:color w:val="auto"/>
                <w:sz w:val="21"/>
                <w:szCs w:val="21"/>
              </w:rPr>
              <w:t>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手动铸铁镶铜方闸门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1000×1000</w:t>
            </w:r>
            <w:r>
              <w:rPr>
                <w:rFonts w:hAnsi="宋体"/>
                <w:color w:val="auto"/>
                <w:sz w:val="21"/>
                <w:szCs w:val="21"/>
              </w:rPr>
              <w:t>（下开式），双向受压，闸门孔中心距池顶</w:t>
            </w:r>
            <w:r>
              <w:rPr>
                <w:color w:val="auto"/>
                <w:sz w:val="21"/>
                <w:szCs w:val="21"/>
              </w:rPr>
              <w:t>1.30m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格栅后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手动铸铁镶铜方闸门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1000×800</w:t>
            </w:r>
            <w:r>
              <w:rPr>
                <w:rFonts w:hAnsi="宋体"/>
                <w:color w:val="auto"/>
                <w:sz w:val="21"/>
                <w:szCs w:val="21"/>
              </w:rPr>
              <w:t>，双向受压，闸门孔中心距池顶</w:t>
            </w:r>
            <w:r>
              <w:rPr>
                <w:color w:val="auto"/>
                <w:sz w:val="21"/>
                <w:szCs w:val="21"/>
              </w:rPr>
              <w:t>3.40m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曝气沉砂池进水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桁车泵吸式吸砂机</w:t>
            </w:r>
          </w:p>
        </w:tc>
        <w:tc>
          <w:tcPr>
            <w:tcW w:w="2409" w:type="dxa"/>
            <w:vAlign w:val="center"/>
          </w:tcPr>
          <w:p>
            <w:pPr>
              <w:jc w:val="center"/>
              <w:rPr>
                <w:color w:val="auto"/>
                <w:sz w:val="21"/>
                <w:szCs w:val="21"/>
              </w:rPr>
            </w:pPr>
            <w:r>
              <w:rPr>
                <w:rFonts w:hAnsi="宋体"/>
                <w:color w:val="auto"/>
                <w:sz w:val="21"/>
                <w:szCs w:val="21"/>
              </w:rPr>
              <w:t>单池池宽</w:t>
            </w:r>
            <w:r>
              <w:rPr>
                <w:color w:val="auto"/>
                <w:sz w:val="21"/>
                <w:szCs w:val="21"/>
              </w:rPr>
              <w:t>4.8m</w:t>
            </w:r>
            <w:r>
              <w:rPr>
                <w:rFonts w:hAnsi="宋体"/>
                <w:color w:val="auto"/>
                <w:sz w:val="21"/>
                <w:szCs w:val="21"/>
              </w:rPr>
              <w:t>，共有两个池，</w:t>
            </w:r>
            <w:r>
              <w:rPr>
                <w:color w:val="auto"/>
                <w:sz w:val="21"/>
                <w:szCs w:val="21"/>
              </w:rPr>
              <w:t>Lk=10.3m</w:t>
            </w:r>
            <w:r>
              <w:rPr>
                <w:rFonts w:hAnsi="宋体"/>
                <w:color w:val="auto"/>
                <w:sz w:val="21"/>
                <w:szCs w:val="21"/>
              </w:rPr>
              <w:t>，</w:t>
            </w:r>
            <w:r>
              <w:rPr>
                <w:color w:val="auto"/>
                <w:sz w:val="21"/>
                <w:szCs w:val="21"/>
              </w:rPr>
              <w:t>N</w:t>
            </w:r>
            <w:r>
              <w:rPr>
                <w:rFonts w:hAnsi="宋体"/>
                <w:color w:val="auto"/>
                <w:sz w:val="21"/>
                <w:szCs w:val="21"/>
              </w:rPr>
              <w:t>＝</w:t>
            </w:r>
            <w:r>
              <w:rPr>
                <w:color w:val="auto"/>
                <w:sz w:val="21"/>
                <w:szCs w:val="21"/>
              </w:rPr>
              <w:t>1.1kW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配套提供沉砂池软密封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转子吸砂泵</w:t>
            </w:r>
          </w:p>
        </w:tc>
        <w:tc>
          <w:tcPr>
            <w:tcW w:w="2409" w:type="dxa"/>
            <w:vAlign w:val="center"/>
          </w:tcPr>
          <w:p>
            <w:pPr>
              <w:jc w:val="center"/>
              <w:rPr>
                <w:color w:val="auto"/>
                <w:sz w:val="21"/>
                <w:szCs w:val="21"/>
              </w:rPr>
            </w:pPr>
            <w:r>
              <w:rPr>
                <w:color w:val="auto"/>
                <w:sz w:val="21"/>
                <w:szCs w:val="21"/>
              </w:rPr>
              <w:t>Q</w:t>
            </w:r>
            <w:r>
              <w:rPr>
                <w:rFonts w:hAnsi="宋体"/>
                <w:color w:val="auto"/>
                <w:sz w:val="21"/>
                <w:szCs w:val="21"/>
              </w:rPr>
              <w:t>＝</w:t>
            </w:r>
            <w:r>
              <w:rPr>
                <w:color w:val="auto"/>
                <w:sz w:val="21"/>
                <w:szCs w:val="21"/>
              </w:rPr>
              <w:t>8m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H=5.6m</w:t>
            </w:r>
            <w:r>
              <w:rPr>
                <w:rFonts w:hAnsi="宋体"/>
                <w:color w:val="auto"/>
                <w:sz w:val="21"/>
                <w:szCs w:val="21"/>
              </w:rPr>
              <w:t>，</w:t>
            </w:r>
            <w:r>
              <w:rPr>
                <w:color w:val="auto"/>
                <w:sz w:val="21"/>
                <w:szCs w:val="21"/>
              </w:rPr>
              <w:t>N=2.9kW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配套提供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玻璃钢静止格栅</w:t>
            </w:r>
          </w:p>
        </w:tc>
        <w:tc>
          <w:tcPr>
            <w:tcW w:w="2409" w:type="dxa"/>
            <w:vAlign w:val="center"/>
          </w:tcPr>
          <w:p>
            <w:pPr>
              <w:jc w:val="center"/>
              <w:rPr>
                <w:color w:val="auto"/>
                <w:sz w:val="21"/>
                <w:szCs w:val="21"/>
              </w:rPr>
            </w:pPr>
            <w:r>
              <w:rPr>
                <w:color w:val="auto"/>
                <w:sz w:val="21"/>
                <w:szCs w:val="21"/>
              </w:rPr>
              <w:t>L×H=18m×1.6m</w:t>
            </w:r>
            <w:r>
              <w:rPr>
                <w:rFonts w:hint="eastAsia"/>
                <w:color w:val="auto"/>
                <w:sz w:val="21"/>
                <w:szCs w:val="21"/>
              </w:rPr>
              <w:t>，</w:t>
            </w:r>
            <w:r>
              <w:rPr>
                <w:rFonts w:hAnsi="宋体"/>
                <w:color w:val="auto"/>
                <w:sz w:val="21"/>
                <w:szCs w:val="21"/>
              </w:rPr>
              <w:t>栅条间隙</w:t>
            </w:r>
            <w:r>
              <w:rPr>
                <w:color w:val="auto"/>
                <w:sz w:val="21"/>
                <w:szCs w:val="21"/>
              </w:rPr>
              <w:t>5cm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不锈钢堰板</w:t>
            </w:r>
          </w:p>
        </w:tc>
        <w:tc>
          <w:tcPr>
            <w:tcW w:w="2409" w:type="dxa"/>
            <w:vAlign w:val="center"/>
          </w:tcPr>
          <w:p>
            <w:pPr>
              <w:jc w:val="center"/>
              <w:rPr>
                <w:color w:val="auto"/>
                <w:sz w:val="21"/>
                <w:szCs w:val="21"/>
              </w:rPr>
            </w:pPr>
            <w:r>
              <w:rPr>
                <w:color w:val="auto"/>
                <w:sz w:val="21"/>
                <w:szCs w:val="21"/>
              </w:rPr>
              <w:t>3500×300</w:t>
            </w:r>
            <w:r>
              <w:rPr>
                <w:rFonts w:hAnsi="宋体"/>
                <w:color w:val="auto"/>
                <w:sz w:val="21"/>
                <w:szCs w:val="21"/>
              </w:rPr>
              <w:t>，</w:t>
            </w:r>
            <w:r>
              <w:rPr>
                <w:color w:val="auto"/>
                <w:sz w:val="21"/>
                <w:szCs w:val="21"/>
              </w:rPr>
              <w:t>δ</w:t>
            </w:r>
            <w:r>
              <w:rPr>
                <w:rFonts w:hAnsi="宋体"/>
                <w:color w:val="auto"/>
                <w:sz w:val="21"/>
                <w:szCs w:val="21"/>
              </w:rPr>
              <w:t>＝</w:t>
            </w:r>
            <w:r>
              <w:rPr>
                <w:color w:val="auto"/>
                <w:sz w:val="21"/>
                <w:szCs w:val="21"/>
              </w:rPr>
              <w:t>3</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附橡胶垫片、螺栓等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不锈钢垃圾小车</w:t>
            </w:r>
          </w:p>
        </w:tc>
        <w:tc>
          <w:tcPr>
            <w:tcW w:w="2409" w:type="dxa"/>
            <w:vAlign w:val="center"/>
          </w:tcPr>
          <w:p>
            <w:pPr>
              <w:jc w:val="center"/>
              <w:rPr>
                <w:color w:val="auto"/>
                <w:sz w:val="21"/>
                <w:szCs w:val="21"/>
              </w:rPr>
            </w:pPr>
            <w:r>
              <w:rPr>
                <w:color w:val="auto"/>
                <w:sz w:val="21"/>
                <w:szCs w:val="21"/>
              </w:rPr>
              <w:t>V</w:t>
            </w:r>
            <w:r>
              <w:rPr>
                <w:rFonts w:hAnsi="宋体"/>
                <w:color w:val="auto"/>
                <w:sz w:val="21"/>
                <w:szCs w:val="21"/>
              </w:rPr>
              <w:t>＝</w:t>
            </w:r>
            <w:r>
              <w:rPr>
                <w:color w:val="auto"/>
                <w:sz w:val="21"/>
                <w:szCs w:val="21"/>
              </w:rPr>
              <w:t>0.3m</w:t>
            </w:r>
            <w:r>
              <w:rPr>
                <w:color w:val="auto"/>
                <w:sz w:val="21"/>
                <w:szCs w:val="21"/>
                <w:vertAlign w:val="superscript"/>
              </w:rPr>
              <w:t>3</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辆</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罗茨鼓风机</w:t>
            </w:r>
          </w:p>
        </w:tc>
        <w:tc>
          <w:tcPr>
            <w:tcW w:w="2409" w:type="dxa"/>
            <w:vAlign w:val="center"/>
          </w:tcPr>
          <w:p>
            <w:pPr>
              <w:jc w:val="center"/>
              <w:rPr>
                <w:color w:val="auto"/>
                <w:sz w:val="21"/>
                <w:szCs w:val="21"/>
              </w:rPr>
            </w:pPr>
            <w:r>
              <w:rPr>
                <w:color w:val="auto"/>
                <w:sz w:val="21"/>
                <w:szCs w:val="21"/>
              </w:rPr>
              <w:t>Q=3m</w:t>
            </w:r>
            <w:r>
              <w:rPr>
                <w:color w:val="auto"/>
                <w:sz w:val="21"/>
                <w:szCs w:val="21"/>
                <w:vertAlign w:val="superscript"/>
              </w:rPr>
              <w:t>3</w:t>
            </w:r>
            <w:r>
              <w:rPr>
                <w:color w:val="auto"/>
                <w:sz w:val="21"/>
                <w:szCs w:val="21"/>
              </w:rPr>
              <w:t>/min</w:t>
            </w:r>
            <w:r>
              <w:rPr>
                <w:rFonts w:hint="eastAsia"/>
                <w:color w:val="auto"/>
                <w:sz w:val="21"/>
                <w:szCs w:val="21"/>
              </w:rPr>
              <w:t>，</w:t>
            </w:r>
            <w:r>
              <w:rPr>
                <w:color w:val="auto"/>
                <w:sz w:val="21"/>
                <w:szCs w:val="21"/>
              </w:rPr>
              <w:t>H=4.0m</w:t>
            </w:r>
            <w:r>
              <w:rPr>
                <w:rFonts w:hint="eastAsia"/>
                <w:color w:val="auto"/>
                <w:sz w:val="21"/>
                <w:szCs w:val="21"/>
              </w:rPr>
              <w:t>，</w:t>
            </w:r>
            <w:r>
              <w:rPr>
                <w:color w:val="auto"/>
                <w:sz w:val="21"/>
                <w:szCs w:val="21"/>
              </w:rPr>
              <w:t>N=4.0kW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备，远期增加</w:t>
            </w:r>
            <w:r>
              <w:rPr>
                <w:color w:val="auto"/>
                <w:sz w:val="21"/>
                <w:szCs w:val="21"/>
              </w:rPr>
              <w:t>1</w:t>
            </w:r>
            <w:r>
              <w:rPr>
                <w:rFonts w:hAnsi="宋体"/>
                <w:color w:val="auto"/>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砂水分离器</w:t>
            </w:r>
          </w:p>
        </w:tc>
        <w:tc>
          <w:tcPr>
            <w:tcW w:w="2409" w:type="dxa"/>
            <w:vAlign w:val="center"/>
          </w:tcPr>
          <w:p>
            <w:pPr>
              <w:jc w:val="center"/>
              <w:rPr>
                <w:color w:val="auto"/>
                <w:sz w:val="21"/>
                <w:szCs w:val="21"/>
              </w:rPr>
            </w:pPr>
            <w:r>
              <w:rPr>
                <w:rFonts w:hAnsi="宋体"/>
                <w:color w:val="auto"/>
                <w:sz w:val="21"/>
                <w:szCs w:val="21"/>
              </w:rPr>
              <w:t>处理量</w:t>
            </w:r>
            <w:r>
              <w:rPr>
                <w:color w:val="auto"/>
                <w:sz w:val="21"/>
                <w:szCs w:val="21"/>
              </w:rPr>
              <w:t>Q</w:t>
            </w:r>
            <w:r>
              <w:rPr>
                <w:rFonts w:hAnsi="宋体"/>
                <w:color w:val="auto"/>
                <w:sz w:val="21"/>
                <w:szCs w:val="21"/>
              </w:rPr>
              <w:t>＝</w:t>
            </w:r>
            <w:r>
              <w:rPr>
                <w:color w:val="auto"/>
                <w:sz w:val="21"/>
                <w:szCs w:val="21"/>
              </w:rPr>
              <w:t>60m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N=0.55kW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电动蝶阀</w:t>
            </w:r>
          </w:p>
        </w:tc>
        <w:tc>
          <w:tcPr>
            <w:tcW w:w="2409" w:type="dxa"/>
            <w:vAlign w:val="center"/>
          </w:tcPr>
          <w:p>
            <w:pPr>
              <w:jc w:val="center"/>
              <w:rPr>
                <w:color w:val="auto"/>
                <w:sz w:val="21"/>
                <w:szCs w:val="21"/>
              </w:rPr>
            </w:pPr>
            <w:r>
              <w:rPr>
                <w:color w:val="auto"/>
                <w:sz w:val="21"/>
                <w:szCs w:val="21"/>
              </w:rPr>
              <w:t>DN150</w:t>
            </w:r>
            <w:r>
              <w:rPr>
                <w:rFonts w:hAnsi="宋体"/>
                <w:color w:val="auto"/>
                <w:sz w:val="21"/>
                <w:szCs w:val="21"/>
              </w:rPr>
              <w:t>，硬密封，</w:t>
            </w:r>
            <w:r>
              <w:rPr>
                <w:color w:val="auto"/>
                <w:sz w:val="21"/>
                <w:szCs w:val="21"/>
              </w:rPr>
              <w:t>N=0.25kW</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r>
              <w:rPr>
                <w:rFonts w:hAnsi="宋体"/>
                <w:color w:val="auto"/>
                <w:sz w:val="21"/>
                <w:szCs w:val="21"/>
              </w:rPr>
              <w:t>安装于空气管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不锈钢浮渣框</w:t>
            </w:r>
          </w:p>
        </w:tc>
        <w:tc>
          <w:tcPr>
            <w:tcW w:w="2409" w:type="dxa"/>
            <w:vAlign w:val="center"/>
          </w:tcPr>
          <w:p>
            <w:pPr>
              <w:jc w:val="center"/>
              <w:rPr>
                <w:color w:val="auto"/>
                <w:sz w:val="21"/>
                <w:szCs w:val="21"/>
              </w:rPr>
            </w:pPr>
            <w:r>
              <w:rPr>
                <w:color w:val="auto"/>
                <w:sz w:val="21"/>
                <w:szCs w:val="21"/>
              </w:rPr>
              <w:t>600X600</w:t>
            </w:r>
            <w:r>
              <w:rPr>
                <w:rFonts w:hAnsi="宋体"/>
                <w:color w:val="auto"/>
                <w:sz w:val="21"/>
                <w:szCs w:val="21"/>
              </w:rPr>
              <w:t>，</w:t>
            </w:r>
            <w:r>
              <w:rPr>
                <w:color w:val="auto"/>
                <w:sz w:val="21"/>
                <w:szCs w:val="21"/>
              </w:rPr>
              <w:t>h=500</w:t>
            </w:r>
            <w:r>
              <w:rPr>
                <w:rFonts w:hint="eastAsia"/>
                <w:color w:val="auto"/>
                <w:sz w:val="21"/>
                <w:szCs w:val="21"/>
              </w:rPr>
              <w:t>，</w:t>
            </w:r>
            <w:r>
              <w:rPr>
                <w:rFonts w:hAnsi="宋体"/>
                <w:color w:val="auto"/>
                <w:sz w:val="21"/>
                <w:szCs w:val="21"/>
              </w:rPr>
              <w:t>网眼大小</w:t>
            </w:r>
            <w:r>
              <w:rPr>
                <w:color w:val="auto"/>
                <w:sz w:val="21"/>
                <w:szCs w:val="21"/>
              </w:rPr>
              <w:t>φ10</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应急沉淀池</w:t>
            </w:r>
          </w:p>
        </w:tc>
        <w:tc>
          <w:tcPr>
            <w:tcW w:w="2167" w:type="dxa"/>
            <w:vAlign w:val="center"/>
          </w:tcPr>
          <w:p>
            <w:pPr>
              <w:jc w:val="center"/>
              <w:rPr>
                <w:color w:val="auto"/>
                <w:sz w:val="21"/>
                <w:szCs w:val="21"/>
              </w:rPr>
            </w:pPr>
            <w:r>
              <w:rPr>
                <w:rFonts w:hAnsi="宋体"/>
                <w:color w:val="auto"/>
                <w:sz w:val="21"/>
                <w:szCs w:val="21"/>
              </w:rPr>
              <w:t>手电两用铸铁镶铜方闸门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800×800</w:t>
            </w:r>
            <w:r>
              <w:rPr>
                <w:rFonts w:hAnsi="宋体"/>
                <w:color w:val="auto"/>
                <w:sz w:val="21"/>
                <w:szCs w:val="21"/>
              </w:rPr>
              <w:t>，</w:t>
            </w:r>
            <w:r>
              <w:rPr>
                <w:color w:val="auto"/>
                <w:sz w:val="21"/>
                <w:szCs w:val="21"/>
              </w:rPr>
              <w:t>N</w:t>
            </w:r>
            <w:r>
              <w:rPr>
                <w:rFonts w:hAnsi="宋体"/>
                <w:color w:val="auto"/>
                <w:sz w:val="21"/>
                <w:szCs w:val="21"/>
              </w:rPr>
              <w:t>＝</w:t>
            </w:r>
            <w:r>
              <w:rPr>
                <w:color w:val="auto"/>
                <w:sz w:val="21"/>
                <w:szCs w:val="21"/>
              </w:rPr>
              <w:t>1.1kW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链板式刮泥机</w:t>
            </w:r>
          </w:p>
        </w:tc>
        <w:tc>
          <w:tcPr>
            <w:tcW w:w="2409" w:type="dxa"/>
            <w:vAlign w:val="center"/>
          </w:tcPr>
          <w:p>
            <w:pPr>
              <w:jc w:val="center"/>
              <w:rPr>
                <w:color w:val="auto"/>
                <w:sz w:val="21"/>
                <w:szCs w:val="21"/>
              </w:rPr>
            </w:pPr>
            <w:r>
              <w:rPr>
                <w:rFonts w:hAnsi="宋体"/>
                <w:color w:val="auto"/>
                <w:sz w:val="21"/>
                <w:szCs w:val="21"/>
              </w:rPr>
              <w:t>池宽</w:t>
            </w:r>
            <w:r>
              <w:rPr>
                <w:color w:val="auto"/>
                <w:sz w:val="21"/>
                <w:szCs w:val="21"/>
              </w:rPr>
              <w:t>B</w:t>
            </w:r>
            <w:r>
              <w:rPr>
                <w:rFonts w:hAnsi="宋体"/>
                <w:color w:val="auto"/>
                <w:sz w:val="21"/>
                <w:szCs w:val="21"/>
              </w:rPr>
              <w:t>＝</w:t>
            </w:r>
            <w:r>
              <w:rPr>
                <w:color w:val="auto"/>
                <w:sz w:val="21"/>
                <w:szCs w:val="21"/>
              </w:rPr>
              <w:t>3.5m</w:t>
            </w:r>
            <w:r>
              <w:rPr>
                <w:rFonts w:hAnsi="宋体"/>
                <w:color w:val="auto"/>
                <w:sz w:val="21"/>
                <w:szCs w:val="21"/>
              </w:rPr>
              <w:t>，链板宽</w:t>
            </w:r>
            <w:r>
              <w:rPr>
                <w:color w:val="auto"/>
                <w:sz w:val="21"/>
                <w:szCs w:val="21"/>
              </w:rPr>
              <w:t>42m</w:t>
            </w:r>
            <w:r>
              <w:rPr>
                <w:rFonts w:hAnsi="宋体"/>
                <w:color w:val="auto"/>
                <w:sz w:val="21"/>
                <w:szCs w:val="21"/>
              </w:rPr>
              <w:t>，设备长度</w:t>
            </w:r>
            <w:r>
              <w:rPr>
                <w:color w:val="auto"/>
                <w:sz w:val="21"/>
                <w:szCs w:val="21"/>
              </w:rPr>
              <w:t>36m</w:t>
            </w:r>
            <w:r>
              <w:rPr>
                <w:rFonts w:hAnsi="宋体"/>
                <w:color w:val="auto"/>
                <w:sz w:val="21"/>
                <w:szCs w:val="21"/>
              </w:rPr>
              <w:t>，</w:t>
            </w:r>
            <w:r>
              <w:rPr>
                <w:color w:val="auto"/>
                <w:sz w:val="21"/>
                <w:szCs w:val="21"/>
              </w:rPr>
              <w:t>2×0.55+2×0.55kW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叠梁门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1350×2000</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不锈钢出水槽</w:t>
            </w:r>
          </w:p>
        </w:tc>
        <w:tc>
          <w:tcPr>
            <w:tcW w:w="2409" w:type="dxa"/>
            <w:vAlign w:val="center"/>
          </w:tcPr>
          <w:p>
            <w:pPr>
              <w:jc w:val="center"/>
              <w:rPr>
                <w:color w:val="auto"/>
                <w:sz w:val="21"/>
                <w:szCs w:val="21"/>
              </w:rPr>
            </w:pPr>
            <w:r>
              <w:rPr>
                <w:color w:val="auto"/>
                <w:sz w:val="21"/>
                <w:szCs w:val="21"/>
              </w:rPr>
              <w:t>B=500</w:t>
            </w:r>
            <w:r>
              <w:rPr>
                <w:rFonts w:hAnsi="宋体"/>
                <w:color w:val="auto"/>
                <w:sz w:val="21"/>
                <w:szCs w:val="21"/>
              </w:rPr>
              <w:t>，</w:t>
            </w:r>
            <w:r>
              <w:rPr>
                <w:color w:val="auto"/>
                <w:sz w:val="21"/>
                <w:szCs w:val="21"/>
              </w:rPr>
              <w:t>H</w:t>
            </w:r>
            <w:r>
              <w:rPr>
                <w:rFonts w:hAnsi="宋体"/>
                <w:color w:val="auto"/>
                <w:sz w:val="21"/>
                <w:szCs w:val="21"/>
              </w:rPr>
              <w:t>＝</w:t>
            </w:r>
            <w:r>
              <w:rPr>
                <w:color w:val="auto"/>
                <w:sz w:val="21"/>
                <w:szCs w:val="21"/>
              </w:rPr>
              <w:t>500mm</w:t>
            </w:r>
            <w:r>
              <w:rPr>
                <w:rFonts w:hAnsi="宋体"/>
                <w:color w:val="auto"/>
                <w:sz w:val="21"/>
                <w:szCs w:val="21"/>
              </w:rPr>
              <w:t>，</w:t>
            </w:r>
            <w:r>
              <w:rPr>
                <w:color w:val="auto"/>
                <w:sz w:val="21"/>
                <w:szCs w:val="21"/>
              </w:rPr>
              <w:t>L</w:t>
            </w:r>
            <w:r>
              <w:rPr>
                <w:rFonts w:hAnsi="宋体"/>
                <w:color w:val="auto"/>
                <w:sz w:val="21"/>
                <w:szCs w:val="21"/>
              </w:rPr>
              <w:t>＝</w:t>
            </w:r>
            <w:r>
              <w:rPr>
                <w:color w:val="auto"/>
                <w:sz w:val="21"/>
                <w:szCs w:val="21"/>
              </w:rPr>
              <w:t>10000</w:t>
            </w:r>
            <w:r>
              <w:rPr>
                <w:rFonts w:hAnsi="宋体"/>
                <w:color w:val="auto"/>
                <w:sz w:val="21"/>
                <w:szCs w:val="21"/>
              </w:rPr>
              <w:t>，</w:t>
            </w:r>
            <w:r>
              <w:rPr>
                <w:color w:val="auto"/>
                <w:sz w:val="21"/>
                <w:szCs w:val="21"/>
              </w:rPr>
              <w:t>δ=4</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Merge w:val="restart"/>
            <w:vAlign w:val="center"/>
          </w:tcPr>
          <w:p>
            <w:pPr>
              <w:jc w:val="center"/>
              <w:rPr>
                <w:color w:val="auto"/>
                <w:sz w:val="21"/>
                <w:szCs w:val="21"/>
              </w:rPr>
            </w:pPr>
            <w:r>
              <w:rPr>
                <w:rFonts w:hAnsi="宋体"/>
                <w:color w:val="auto"/>
                <w:sz w:val="21"/>
                <w:szCs w:val="21"/>
              </w:rPr>
              <w:t>不锈钢出水堰板（三角堰）</w:t>
            </w:r>
          </w:p>
        </w:tc>
        <w:tc>
          <w:tcPr>
            <w:tcW w:w="2409" w:type="dxa"/>
            <w:vAlign w:val="center"/>
          </w:tcPr>
          <w:p>
            <w:pPr>
              <w:jc w:val="center"/>
              <w:rPr>
                <w:color w:val="auto"/>
                <w:sz w:val="21"/>
                <w:szCs w:val="21"/>
              </w:rPr>
            </w:pPr>
            <w:r>
              <w:rPr>
                <w:color w:val="auto"/>
                <w:sz w:val="21"/>
                <w:szCs w:val="21"/>
              </w:rPr>
              <w:t>H</w:t>
            </w:r>
            <w:r>
              <w:rPr>
                <w:rFonts w:hAnsi="宋体"/>
                <w:color w:val="auto"/>
                <w:sz w:val="21"/>
                <w:szCs w:val="21"/>
              </w:rPr>
              <w:t>＝</w:t>
            </w:r>
            <w:r>
              <w:rPr>
                <w:color w:val="auto"/>
                <w:sz w:val="21"/>
                <w:szCs w:val="21"/>
              </w:rPr>
              <w:t>300mm</w:t>
            </w:r>
            <w:r>
              <w:rPr>
                <w:rFonts w:hAnsi="宋体"/>
                <w:color w:val="auto"/>
                <w:sz w:val="21"/>
                <w:szCs w:val="21"/>
              </w:rPr>
              <w:t>，</w:t>
            </w:r>
            <w:r>
              <w:rPr>
                <w:color w:val="auto"/>
                <w:sz w:val="21"/>
                <w:szCs w:val="21"/>
              </w:rPr>
              <w:t>L</w:t>
            </w:r>
            <w:r>
              <w:rPr>
                <w:rFonts w:hAnsi="宋体"/>
                <w:color w:val="auto"/>
                <w:sz w:val="21"/>
                <w:szCs w:val="21"/>
              </w:rPr>
              <w:t>＝</w:t>
            </w:r>
            <w:r>
              <w:rPr>
                <w:color w:val="auto"/>
                <w:sz w:val="21"/>
                <w:szCs w:val="21"/>
              </w:rPr>
              <w:t>2000</w:t>
            </w:r>
            <w:r>
              <w:rPr>
                <w:rFonts w:hAnsi="宋体"/>
                <w:color w:val="auto"/>
                <w:sz w:val="21"/>
                <w:szCs w:val="21"/>
              </w:rPr>
              <w:t>，</w:t>
            </w:r>
            <w:r>
              <w:rPr>
                <w:color w:val="auto"/>
                <w:sz w:val="21"/>
                <w:szCs w:val="21"/>
              </w:rPr>
              <w:t>δ=3</w:t>
            </w:r>
          </w:p>
        </w:tc>
        <w:tc>
          <w:tcPr>
            <w:tcW w:w="709" w:type="dxa"/>
            <w:vAlign w:val="center"/>
          </w:tcPr>
          <w:p>
            <w:pPr>
              <w:jc w:val="center"/>
              <w:rPr>
                <w:color w:val="auto"/>
                <w:sz w:val="21"/>
                <w:szCs w:val="21"/>
              </w:rPr>
            </w:pPr>
            <w:r>
              <w:rPr>
                <w:color w:val="auto"/>
                <w:sz w:val="21"/>
                <w:szCs w:val="21"/>
              </w:rPr>
              <w:t>40</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Merge w:val="continue"/>
            <w:vAlign w:val="center"/>
          </w:tcPr>
          <w:p>
            <w:pPr>
              <w:jc w:val="center"/>
              <w:rPr>
                <w:color w:val="auto"/>
                <w:sz w:val="21"/>
                <w:szCs w:val="21"/>
              </w:rPr>
            </w:pPr>
          </w:p>
        </w:tc>
        <w:tc>
          <w:tcPr>
            <w:tcW w:w="2409" w:type="dxa"/>
            <w:vAlign w:val="center"/>
          </w:tcPr>
          <w:p>
            <w:pPr>
              <w:jc w:val="center"/>
              <w:rPr>
                <w:color w:val="auto"/>
                <w:sz w:val="21"/>
                <w:szCs w:val="21"/>
              </w:rPr>
            </w:pPr>
            <w:r>
              <w:rPr>
                <w:color w:val="auto"/>
                <w:sz w:val="21"/>
                <w:szCs w:val="21"/>
              </w:rPr>
              <w:t>H</w:t>
            </w:r>
            <w:r>
              <w:rPr>
                <w:rFonts w:hAnsi="宋体"/>
                <w:color w:val="auto"/>
                <w:sz w:val="21"/>
                <w:szCs w:val="21"/>
              </w:rPr>
              <w:t>＝</w:t>
            </w:r>
            <w:r>
              <w:rPr>
                <w:color w:val="auto"/>
                <w:sz w:val="21"/>
                <w:szCs w:val="21"/>
              </w:rPr>
              <w:t>300mm</w:t>
            </w:r>
            <w:r>
              <w:rPr>
                <w:rFonts w:hAnsi="宋体"/>
                <w:color w:val="auto"/>
                <w:sz w:val="21"/>
                <w:szCs w:val="21"/>
              </w:rPr>
              <w:t>，</w:t>
            </w:r>
            <w:r>
              <w:rPr>
                <w:color w:val="auto"/>
                <w:sz w:val="21"/>
                <w:szCs w:val="21"/>
              </w:rPr>
              <w:t>L</w:t>
            </w:r>
            <w:r>
              <w:rPr>
                <w:rFonts w:hAnsi="宋体"/>
                <w:color w:val="auto"/>
                <w:sz w:val="21"/>
                <w:szCs w:val="21"/>
              </w:rPr>
              <w:t>＝</w:t>
            </w:r>
            <w:r>
              <w:rPr>
                <w:color w:val="auto"/>
                <w:sz w:val="21"/>
                <w:szCs w:val="21"/>
              </w:rPr>
              <w:t>400</w:t>
            </w:r>
            <w:r>
              <w:rPr>
                <w:rFonts w:hAnsi="宋体"/>
                <w:color w:val="auto"/>
                <w:sz w:val="21"/>
                <w:szCs w:val="21"/>
              </w:rPr>
              <w:t>，</w:t>
            </w:r>
            <w:r>
              <w:rPr>
                <w:color w:val="auto"/>
                <w:sz w:val="21"/>
                <w:szCs w:val="21"/>
              </w:rPr>
              <w:t>δ=3</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初沉污泥转子泵</w:t>
            </w:r>
          </w:p>
        </w:tc>
        <w:tc>
          <w:tcPr>
            <w:tcW w:w="2409" w:type="dxa"/>
            <w:vAlign w:val="center"/>
          </w:tcPr>
          <w:p>
            <w:pPr>
              <w:jc w:val="center"/>
              <w:rPr>
                <w:color w:val="auto"/>
                <w:sz w:val="21"/>
                <w:szCs w:val="21"/>
              </w:rPr>
            </w:pPr>
            <w:r>
              <w:rPr>
                <w:color w:val="auto"/>
                <w:sz w:val="21"/>
                <w:szCs w:val="21"/>
              </w:rPr>
              <w:t>Q=20m</w:t>
            </w:r>
            <w:r>
              <w:rPr>
                <w:color w:val="auto"/>
                <w:sz w:val="21"/>
                <w:szCs w:val="21"/>
                <w:vertAlign w:val="superscript"/>
              </w:rPr>
              <w:t>3</w:t>
            </w:r>
            <w:r>
              <w:rPr>
                <w:color w:val="auto"/>
                <w:sz w:val="21"/>
                <w:szCs w:val="21"/>
              </w:rPr>
              <w:t>/hr</w:t>
            </w:r>
            <w:r>
              <w:rPr>
                <w:rFonts w:hAnsi="宋体"/>
                <w:color w:val="auto"/>
                <w:sz w:val="21"/>
                <w:szCs w:val="21"/>
              </w:rPr>
              <w:t>，</w:t>
            </w:r>
            <w:r>
              <w:rPr>
                <w:color w:val="auto"/>
                <w:sz w:val="21"/>
                <w:szCs w:val="21"/>
              </w:rPr>
              <w:t>H=20m</w:t>
            </w:r>
            <w:r>
              <w:rPr>
                <w:rFonts w:hAnsi="宋体"/>
                <w:color w:val="auto"/>
                <w:sz w:val="21"/>
                <w:szCs w:val="21"/>
              </w:rPr>
              <w:t>，</w:t>
            </w:r>
            <w:r>
              <w:rPr>
                <w:color w:val="auto"/>
                <w:sz w:val="21"/>
                <w:szCs w:val="21"/>
              </w:rPr>
              <w:t>N=3kW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手动套筒式排泥阀</w:t>
            </w:r>
          </w:p>
        </w:tc>
        <w:tc>
          <w:tcPr>
            <w:tcW w:w="2409" w:type="dxa"/>
            <w:vAlign w:val="center"/>
          </w:tcPr>
          <w:p>
            <w:pPr>
              <w:jc w:val="center"/>
              <w:rPr>
                <w:color w:val="auto"/>
                <w:sz w:val="21"/>
                <w:szCs w:val="21"/>
              </w:rPr>
            </w:pPr>
            <w:r>
              <w:rPr>
                <w:color w:val="auto"/>
                <w:sz w:val="21"/>
                <w:szCs w:val="21"/>
              </w:rPr>
              <w:t>DN300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手动旋转撇渣管</w:t>
            </w:r>
          </w:p>
        </w:tc>
        <w:tc>
          <w:tcPr>
            <w:tcW w:w="2409" w:type="dxa"/>
            <w:vAlign w:val="center"/>
          </w:tcPr>
          <w:p>
            <w:pPr>
              <w:jc w:val="center"/>
              <w:rPr>
                <w:color w:val="auto"/>
                <w:sz w:val="21"/>
                <w:szCs w:val="21"/>
              </w:rPr>
            </w:pPr>
            <w:r>
              <w:rPr>
                <w:color w:val="auto"/>
                <w:sz w:val="21"/>
                <w:szCs w:val="21"/>
              </w:rPr>
              <w:t>DN300</w:t>
            </w:r>
            <w:r>
              <w:rPr>
                <w:rFonts w:hAnsi="宋体"/>
                <w:color w:val="auto"/>
                <w:sz w:val="21"/>
                <w:szCs w:val="21"/>
              </w:rPr>
              <w:t>，</w:t>
            </w:r>
            <w:r>
              <w:rPr>
                <w:color w:val="auto"/>
                <w:sz w:val="21"/>
                <w:szCs w:val="21"/>
              </w:rPr>
              <w:t>L=5m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渣水分离器</w:t>
            </w:r>
          </w:p>
        </w:tc>
        <w:tc>
          <w:tcPr>
            <w:tcW w:w="2409" w:type="dxa"/>
            <w:vAlign w:val="center"/>
          </w:tcPr>
          <w:p>
            <w:pPr>
              <w:jc w:val="center"/>
              <w:rPr>
                <w:color w:val="auto"/>
                <w:sz w:val="21"/>
                <w:szCs w:val="21"/>
              </w:rPr>
            </w:pPr>
            <w:r>
              <w:rPr>
                <w:rFonts w:hAnsi="宋体"/>
                <w:color w:val="auto"/>
                <w:sz w:val="21"/>
                <w:szCs w:val="21"/>
              </w:rPr>
              <w:t>处理量：</w:t>
            </w:r>
            <w:r>
              <w:rPr>
                <w:color w:val="auto"/>
                <w:sz w:val="21"/>
                <w:szCs w:val="21"/>
              </w:rPr>
              <w:t>Q=1.5m</w:t>
            </w:r>
            <w:r>
              <w:rPr>
                <w:color w:val="auto"/>
                <w:sz w:val="21"/>
                <w:szCs w:val="21"/>
                <w:vertAlign w:val="superscript"/>
              </w:rPr>
              <w:t>3</w:t>
            </w:r>
            <w:r>
              <w:rPr>
                <w:color w:val="auto"/>
                <w:sz w:val="21"/>
                <w:szCs w:val="21"/>
              </w:rPr>
              <w:t>/h</w:t>
            </w:r>
            <w:r>
              <w:rPr>
                <w:rFonts w:hAnsi="宋体"/>
                <w:color w:val="auto"/>
                <w:sz w:val="21"/>
                <w:szCs w:val="21"/>
              </w:rPr>
              <w:t>（干固体）</w:t>
            </w:r>
            <w:r>
              <w:rPr>
                <w:rFonts w:hint="eastAsia"/>
                <w:color w:val="auto"/>
                <w:sz w:val="21"/>
                <w:szCs w:val="21"/>
              </w:rPr>
              <w:t>，</w:t>
            </w:r>
            <w:r>
              <w:rPr>
                <w:rFonts w:hAnsi="宋体"/>
                <w:color w:val="auto"/>
                <w:sz w:val="21"/>
                <w:szCs w:val="21"/>
              </w:rPr>
              <w:t>栅隙：</w:t>
            </w:r>
            <w:r>
              <w:rPr>
                <w:color w:val="auto"/>
                <w:sz w:val="21"/>
                <w:szCs w:val="21"/>
              </w:rPr>
              <w:t>b≤2mm,</w:t>
            </w:r>
            <w:r>
              <w:rPr>
                <w:rFonts w:hAnsi="宋体"/>
                <w:color w:val="auto"/>
                <w:sz w:val="21"/>
                <w:szCs w:val="21"/>
              </w:rPr>
              <w:t>电机功率：</w:t>
            </w:r>
            <w:r>
              <w:rPr>
                <w:color w:val="auto"/>
                <w:sz w:val="21"/>
                <w:szCs w:val="21"/>
              </w:rPr>
              <w:t>N≈1.1kW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污泥切割机</w:t>
            </w:r>
          </w:p>
        </w:tc>
        <w:tc>
          <w:tcPr>
            <w:tcW w:w="2409" w:type="dxa"/>
            <w:vAlign w:val="center"/>
          </w:tcPr>
          <w:p>
            <w:pPr>
              <w:jc w:val="center"/>
              <w:rPr>
                <w:color w:val="auto"/>
                <w:sz w:val="21"/>
                <w:szCs w:val="21"/>
              </w:rPr>
            </w:pPr>
            <w:r>
              <w:rPr>
                <w:color w:val="auto"/>
                <w:sz w:val="21"/>
                <w:szCs w:val="21"/>
              </w:rPr>
              <w:t>Q</w:t>
            </w:r>
            <w:r>
              <w:rPr>
                <w:rFonts w:hAnsi="宋体"/>
                <w:color w:val="auto"/>
                <w:sz w:val="21"/>
                <w:szCs w:val="21"/>
              </w:rPr>
              <w:t>＝</w:t>
            </w:r>
            <w:r>
              <w:rPr>
                <w:color w:val="auto"/>
                <w:sz w:val="21"/>
                <w:szCs w:val="21"/>
              </w:rPr>
              <w:t>20m</w:t>
            </w:r>
            <w:r>
              <w:rPr>
                <w:color w:val="auto"/>
                <w:sz w:val="21"/>
                <w:szCs w:val="21"/>
                <w:vertAlign w:val="superscript"/>
              </w:rPr>
              <w:t>3</w:t>
            </w:r>
            <w:r>
              <w:rPr>
                <w:color w:val="auto"/>
                <w:sz w:val="21"/>
                <w:szCs w:val="21"/>
              </w:rPr>
              <w:t>/hr</w:t>
            </w:r>
            <w:r>
              <w:rPr>
                <w:rFonts w:hAnsi="宋体"/>
                <w:color w:val="auto"/>
                <w:sz w:val="21"/>
                <w:szCs w:val="21"/>
              </w:rPr>
              <w:t>，</w:t>
            </w:r>
            <w:r>
              <w:rPr>
                <w:color w:val="auto"/>
                <w:sz w:val="21"/>
                <w:szCs w:val="21"/>
              </w:rPr>
              <w:t>N≈2.2kW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生物反应池</w:t>
            </w:r>
          </w:p>
        </w:tc>
        <w:tc>
          <w:tcPr>
            <w:tcW w:w="2167" w:type="dxa"/>
            <w:vAlign w:val="center"/>
          </w:tcPr>
          <w:p>
            <w:pPr>
              <w:jc w:val="center"/>
              <w:rPr>
                <w:color w:val="auto"/>
                <w:sz w:val="21"/>
                <w:szCs w:val="21"/>
              </w:rPr>
            </w:pPr>
            <w:r>
              <w:rPr>
                <w:rFonts w:hAnsi="宋体"/>
                <w:color w:val="auto"/>
                <w:sz w:val="21"/>
                <w:szCs w:val="21"/>
              </w:rPr>
              <w:t>手电两用进水调节堰门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700×500</w:t>
            </w:r>
            <w:r>
              <w:rPr>
                <w:rFonts w:hint="eastAsia"/>
                <w:color w:val="auto"/>
                <w:sz w:val="21"/>
                <w:szCs w:val="21"/>
              </w:rPr>
              <w:t>，</w:t>
            </w:r>
            <w:r>
              <w:rPr>
                <w:color w:val="auto"/>
                <w:sz w:val="21"/>
                <w:szCs w:val="21"/>
              </w:rPr>
              <w:t>N=0.75kw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用于进水渠，四面止水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手电两用进水调节堰门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500×500</w:t>
            </w:r>
            <w:r>
              <w:rPr>
                <w:rFonts w:hint="eastAsia"/>
                <w:color w:val="auto"/>
                <w:sz w:val="21"/>
                <w:szCs w:val="21"/>
              </w:rPr>
              <w:t>，</w:t>
            </w:r>
            <w:r>
              <w:rPr>
                <w:color w:val="auto"/>
                <w:sz w:val="21"/>
                <w:szCs w:val="21"/>
              </w:rPr>
              <w:t>N=0.75kw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用于进水渠，四面止水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手电两用内回流调节堰门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1500×500,N=0.75kw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用于内回流渠，四面止水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手电两用外回流调节堰门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700×500,N=0.75kw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用于外回流渠</w:t>
            </w:r>
            <w:r>
              <w:rPr>
                <w:color w:val="auto"/>
                <w:sz w:val="21"/>
                <w:szCs w:val="21"/>
              </w:rPr>
              <w:t>,</w:t>
            </w:r>
            <w:r>
              <w:rPr>
                <w:rFonts w:hAnsi="宋体"/>
                <w:color w:val="auto"/>
                <w:sz w:val="21"/>
                <w:szCs w:val="21"/>
              </w:rPr>
              <w:t>四面止水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垂直水翼搅拌机</w:t>
            </w:r>
          </w:p>
        </w:tc>
        <w:tc>
          <w:tcPr>
            <w:tcW w:w="2409" w:type="dxa"/>
            <w:vAlign w:val="center"/>
          </w:tcPr>
          <w:p>
            <w:pPr>
              <w:jc w:val="center"/>
              <w:rPr>
                <w:color w:val="auto"/>
                <w:sz w:val="21"/>
                <w:szCs w:val="21"/>
              </w:rPr>
            </w:pPr>
            <w:r>
              <w:rPr>
                <w:color w:val="auto"/>
                <w:sz w:val="21"/>
                <w:szCs w:val="21"/>
              </w:rPr>
              <w:t>D=1500mm</w:t>
            </w:r>
            <w:r>
              <w:rPr>
                <w:rFonts w:hAnsi="宋体"/>
                <w:color w:val="auto"/>
                <w:sz w:val="21"/>
                <w:szCs w:val="21"/>
              </w:rPr>
              <w:t>（假定）</w:t>
            </w:r>
            <w:r>
              <w:rPr>
                <w:color w:val="auto"/>
                <w:sz w:val="21"/>
                <w:szCs w:val="21"/>
              </w:rPr>
              <w:t>,N=1.5kW</w:t>
            </w:r>
          </w:p>
        </w:tc>
        <w:tc>
          <w:tcPr>
            <w:tcW w:w="709" w:type="dxa"/>
            <w:vAlign w:val="center"/>
          </w:tcPr>
          <w:p>
            <w:pPr>
              <w:jc w:val="center"/>
              <w:rPr>
                <w:color w:val="auto"/>
                <w:sz w:val="21"/>
                <w:szCs w:val="21"/>
              </w:rPr>
            </w:pPr>
            <w:r>
              <w:rPr>
                <w:color w:val="auto"/>
                <w:sz w:val="21"/>
                <w:szCs w:val="21"/>
              </w:rPr>
              <w:t>6</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缺氧区、厌氧区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内回流泵</w:t>
            </w:r>
            <w:r>
              <w:rPr>
                <w:color w:val="auto"/>
                <w:sz w:val="21"/>
                <w:szCs w:val="21"/>
              </w:rPr>
              <w:t>(</w:t>
            </w:r>
            <w:r>
              <w:rPr>
                <w:rFonts w:hAnsi="宋体"/>
                <w:color w:val="auto"/>
                <w:sz w:val="21"/>
                <w:szCs w:val="21"/>
              </w:rPr>
              <w:t>潜水立式轴流泵</w:t>
            </w:r>
            <w:r>
              <w:rPr>
                <w:color w:val="auto"/>
                <w:sz w:val="21"/>
                <w:szCs w:val="21"/>
              </w:rPr>
              <w:t>)</w:t>
            </w:r>
          </w:p>
        </w:tc>
        <w:tc>
          <w:tcPr>
            <w:tcW w:w="2409" w:type="dxa"/>
            <w:vAlign w:val="center"/>
          </w:tcPr>
          <w:p>
            <w:pPr>
              <w:jc w:val="center"/>
              <w:rPr>
                <w:color w:val="auto"/>
                <w:sz w:val="21"/>
                <w:szCs w:val="21"/>
              </w:rPr>
            </w:pPr>
            <w:r>
              <w:rPr>
                <w:color w:val="auto"/>
                <w:sz w:val="21"/>
                <w:szCs w:val="21"/>
              </w:rPr>
              <w:t>Q=420m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N=7.5kW</w:t>
            </w:r>
            <w:r>
              <w:rPr>
                <w:rFonts w:hAnsi="宋体"/>
                <w:color w:val="auto"/>
                <w:sz w:val="21"/>
                <w:szCs w:val="21"/>
              </w:rPr>
              <w:t>，</w:t>
            </w:r>
            <w:r>
              <w:rPr>
                <w:color w:val="auto"/>
                <w:sz w:val="21"/>
                <w:szCs w:val="21"/>
              </w:rPr>
              <w:t>H=2.0m</w:t>
            </w:r>
          </w:p>
        </w:tc>
        <w:tc>
          <w:tcPr>
            <w:tcW w:w="709" w:type="dxa"/>
            <w:vAlign w:val="center"/>
          </w:tcPr>
          <w:p>
            <w:pPr>
              <w:jc w:val="center"/>
              <w:rPr>
                <w:color w:val="auto"/>
                <w:sz w:val="21"/>
                <w:szCs w:val="21"/>
              </w:rPr>
            </w:pPr>
            <w:r>
              <w:rPr>
                <w:color w:val="auto"/>
                <w:sz w:val="21"/>
                <w:szCs w:val="21"/>
              </w:rPr>
              <w:t>5</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4</w:t>
            </w:r>
            <w:r>
              <w:rPr>
                <w:rFonts w:hAnsi="宋体"/>
                <w:color w:val="auto"/>
                <w:sz w:val="21"/>
                <w:szCs w:val="21"/>
              </w:rPr>
              <w:t>用</w:t>
            </w:r>
            <w:r>
              <w:rPr>
                <w:color w:val="auto"/>
                <w:sz w:val="21"/>
                <w:szCs w:val="21"/>
              </w:rPr>
              <w:t>1</w:t>
            </w:r>
            <w:r>
              <w:rPr>
                <w:rFonts w:hAnsi="宋体"/>
                <w:color w:val="auto"/>
                <w:sz w:val="21"/>
                <w:szCs w:val="21"/>
              </w:rPr>
              <w:t>库备，其中</w:t>
            </w:r>
            <w:r>
              <w:rPr>
                <w:color w:val="auto"/>
                <w:sz w:val="21"/>
                <w:szCs w:val="21"/>
              </w:rPr>
              <w:t>4</w:t>
            </w:r>
            <w:r>
              <w:rPr>
                <w:rFonts w:hAnsi="宋体"/>
                <w:color w:val="auto"/>
                <w:sz w:val="21"/>
                <w:szCs w:val="21"/>
              </w:rPr>
              <w:t>台变频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出水不锈钢堰板</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1500×500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微孔曝气器</w:t>
            </w:r>
          </w:p>
        </w:tc>
        <w:tc>
          <w:tcPr>
            <w:tcW w:w="2409" w:type="dxa"/>
            <w:vAlign w:val="center"/>
          </w:tcPr>
          <w:p>
            <w:pPr>
              <w:jc w:val="center"/>
              <w:rPr>
                <w:color w:val="auto"/>
                <w:sz w:val="21"/>
                <w:szCs w:val="21"/>
              </w:rPr>
            </w:pPr>
            <w:r>
              <w:rPr>
                <w:color w:val="auto"/>
                <w:sz w:val="21"/>
                <w:szCs w:val="21"/>
              </w:rPr>
              <w:t>Q≈2.2m</w:t>
            </w:r>
            <w:r>
              <w:rPr>
                <w:color w:val="auto"/>
                <w:sz w:val="21"/>
                <w:szCs w:val="21"/>
                <w:vertAlign w:val="superscript"/>
              </w:rPr>
              <w:t>3</w:t>
            </w:r>
            <w:r>
              <w:rPr>
                <w:color w:val="auto"/>
                <w:sz w:val="21"/>
                <w:szCs w:val="21"/>
              </w:rPr>
              <w:t>/h·</w:t>
            </w:r>
            <w:r>
              <w:rPr>
                <w:rFonts w:hAnsi="宋体"/>
                <w:color w:val="auto"/>
                <w:sz w:val="21"/>
                <w:szCs w:val="21"/>
              </w:rPr>
              <w:t>个</w:t>
            </w:r>
          </w:p>
        </w:tc>
        <w:tc>
          <w:tcPr>
            <w:tcW w:w="709" w:type="dxa"/>
            <w:vAlign w:val="center"/>
          </w:tcPr>
          <w:p>
            <w:pPr>
              <w:jc w:val="center"/>
              <w:rPr>
                <w:color w:val="auto"/>
                <w:sz w:val="21"/>
                <w:szCs w:val="21"/>
              </w:rPr>
            </w:pPr>
            <w:r>
              <w:rPr>
                <w:color w:val="auto"/>
                <w:sz w:val="21"/>
                <w:szCs w:val="21"/>
              </w:rPr>
              <w:t>1500</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r>
              <w:rPr>
                <w:rFonts w:hAnsi="宋体"/>
                <w:color w:val="auto"/>
                <w:sz w:val="21"/>
                <w:szCs w:val="21"/>
              </w:rPr>
              <w:t>设备商供货范围</w:t>
            </w:r>
            <w:r>
              <w:rPr>
                <w:color w:val="auto"/>
                <w:sz w:val="21"/>
                <w:szCs w:val="21"/>
              </w:rPr>
              <w:t>;</w:t>
            </w:r>
            <w:r>
              <w:rPr>
                <w:rFonts w:hAnsi="宋体"/>
                <w:color w:val="auto"/>
                <w:sz w:val="21"/>
                <w:szCs w:val="21"/>
              </w:rPr>
              <w:t>包括微孔橡胶膜套管、曝气管本体、管套箍、管接头、空气管调节支架、螺栓、螺母和垫圈等紧固件、池内空气竖管、水下支管和管配件冷凝水排放装置等。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手动球阀</w:t>
            </w:r>
          </w:p>
        </w:tc>
        <w:tc>
          <w:tcPr>
            <w:tcW w:w="2409" w:type="dxa"/>
            <w:vAlign w:val="center"/>
          </w:tcPr>
          <w:p>
            <w:pPr>
              <w:jc w:val="center"/>
              <w:rPr>
                <w:color w:val="auto"/>
                <w:sz w:val="21"/>
                <w:szCs w:val="21"/>
              </w:rPr>
            </w:pPr>
            <w:r>
              <w:rPr>
                <w:color w:val="auto"/>
                <w:sz w:val="21"/>
                <w:szCs w:val="21"/>
              </w:rPr>
              <w:t>DN300</w:t>
            </w:r>
            <w:r>
              <w:rPr>
                <w:rFonts w:hAnsi="宋体"/>
                <w:color w:val="auto"/>
                <w:sz w:val="21"/>
                <w:szCs w:val="21"/>
              </w:rPr>
              <w:t>，硬密封</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r>
              <w:rPr>
                <w:rFonts w:hAnsi="宋体"/>
                <w:color w:val="auto"/>
                <w:sz w:val="21"/>
                <w:szCs w:val="21"/>
              </w:rPr>
              <w:t>用于空气管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电动葫芦（带单轨小车）</w:t>
            </w:r>
          </w:p>
        </w:tc>
        <w:tc>
          <w:tcPr>
            <w:tcW w:w="2409" w:type="dxa"/>
            <w:vAlign w:val="center"/>
          </w:tcPr>
          <w:p>
            <w:pPr>
              <w:jc w:val="center"/>
              <w:rPr>
                <w:color w:val="auto"/>
                <w:sz w:val="21"/>
                <w:szCs w:val="21"/>
              </w:rPr>
            </w:pPr>
            <w:r>
              <w:rPr>
                <w:color w:val="auto"/>
                <w:sz w:val="21"/>
                <w:szCs w:val="21"/>
              </w:rPr>
              <w:t>Q=2t</w:t>
            </w:r>
            <w:r>
              <w:rPr>
                <w:rFonts w:hAnsi="宋体"/>
                <w:color w:val="auto"/>
                <w:sz w:val="21"/>
                <w:szCs w:val="21"/>
              </w:rPr>
              <w:t>，</w:t>
            </w:r>
            <w:r>
              <w:rPr>
                <w:color w:val="auto"/>
                <w:sz w:val="21"/>
                <w:szCs w:val="21"/>
              </w:rPr>
              <w:t>H=12mN</w:t>
            </w:r>
            <w:r>
              <w:rPr>
                <w:rFonts w:hAnsi="宋体"/>
                <w:color w:val="auto"/>
                <w:sz w:val="21"/>
                <w:szCs w:val="21"/>
              </w:rPr>
              <w:t>＝</w:t>
            </w:r>
            <w:r>
              <w:rPr>
                <w:color w:val="auto"/>
                <w:sz w:val="21"/>
                <w:szCs w:val="21"/>
              </w:rPr>
              <w:t>3+0.4kw</w:t>
            </w:r>
            <w:r>
              <w:rPr>
                <w:rFonts w:hAnsi="宋体"/>
                <w:color w:val="auto"/>
                <w:sz w:val="21"/>
                <w:szCs w:val="21"/>
              </w:rPr>
              <w:t>，含工字钢</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用于起吊内回流泵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手动碟阀</w:t>
            </w:r>
          </w:p>
        </w:tc>
        <w:tc>
          <w:tcPr>
            <w:tcW w:w="2409" w:type="dxa"/>
            <w:vAlign w:val="center"/>
          </w:tcPr>
          <w:p>
            <w:pPr>
              <w:jc w:val="center"/>
              <w:rPr>
                <w:color w:val="auto"/>
                <w:sz w:val="21"/>
                <w:szCs w:val="21"/>
              </w:rPr>
            </w:pPr>
            <w:r>
              <w:rPr>
                <w:color w:val="auto"/>
                <w:sz w:val="21"/>
                <w:szCs w:val="21"/>
              </w:rPr>
              <w:t>DN150</w:t>
            </w:r>
            <w:r>
              <w:rPr>
                <w:rFonts w:hAnsi="宋体"/>
                <w:color w:val="auto"/>
                <w:sz w:val="21"/>
                <w:szCs w:val="21"/>
              </w:rPr>
              <w:t>，硬密封</w:t>
            </w:r>
          </w:p>
        </w:tc>
        <w:tc>
          <w:tcPr>
            <w:tcW w:w="709" w:type="dxa"/>
            <w:vAlign w:val="center"/>
          </w:tcPr>
          <w:p>
            <w:pPr>
              <w:jc w:val="center"/>
              <w:rPr>
                <w:color w:val="auto"/>
                <w:sz w:val="21"/>
                <w:szCs w:val="21"/>
              </w:rPr>
            </w:pPr>
            <w:r>
              <w:rPr>
                <w:color w:val="auto"/>
                <w:sz w:val="21"/>
                <w:szCs w:val="21"/>
              </w:rPr>
              <w:t>12</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r>
              <w:rPr>
                <w:rFonts w:hAnsi="宋体"/>
                <w:color w:val="auto"/>
                <w:sz w:val="21"/>
                <w:szCs w:val="21"/>
              </w:rPr>
              <w:t>用于空气管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二沉池配水井及污泥泵房</w:t>
            </w:r>
          </w:p>
        </w:tc>
        <w:tc>
          <w:tcPr>
            <w:tcW w:w="2167" w:type="dxa"/>
            <w:vAlign w:val="center"/>
          </w:tcPr>
          <w:p>
            <w:pPr>
              <w:jc w:val="center"/>
              <w:rPr>
                <w:color w:val="auto"/>
                <w:sz w:val="21"/>
                <w:szCs w:val="21"/>
              </w:rPr>
            </w:pPr>
            <w:r>
              <w:rPr>
                <w:rFonts w:hAnsi="宋体"/>
                <w:color w:val="auto"/>
                <w:sz w:val="21"/>
                <w:szCs w:val="21"/>
              </w:rPr>
              <w:t>手摇式不锈钢调节堰门</w:t>
            </w:r>
          </w:p>
        </w:tc>
        <w:tc>
          <w:tcPr>
            <w:tcW w:w="2409" w:type="dxa"/>
            <w:vAlign w:val="center"/>
          </w:tcPr>
          <w:p>
            <w:pPr>
              <w:jc w:val="center"/>
              <w:rPr>
                <w:color w:val="auto"/>
                <w:sz w:val="21"/>
                <w:szCs w:val="21"/>
              </w:rPr>
            </w:pPr>
            <w:r>
              <w:rPr>
                <w:color w:val="auto"/>
                <w:sz w:val="21"/>
                <w:szCs w:val="21"/>
              </w:rPr>
              <w:t>B×H</w:t>
            </w:r>
            <w:r>
              <w:rPr>
                <w:rFonts w:hAnsi="宋体"/>
                <w:color w:val="auto"/>
                <w:sz w:val="21"/>
                <w:szCs w:val="21"/>
              </w:rPr>
              <w:t>＝</w:t>
            </w:r>
            <w:r>
              <w:rPr>
                <w:color w:val="auto"/>
                <w:sz w:val="21"/>
                <w:szCs w:val="21"/>
              </w:rPr>
              <w:t>1500×500,</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回流污泥潜水轴流泵</w:t>
            </w:r>
          </w:p>
        </w:tc>
        <w:tc>
          <w:tcPr>
            <w:tcW w:w="2409" w:type="dxa"/>
            <w:vAlign w:val="center"/>
          </w:tcPr>
          <w:p>
            <w:pPr>
              <w:jc w:val="center"/>
              <w:rPr>
                <w:color w:val="auto"/>
                <w:sz w:val="21"/>
                <w:szCs w:val="21"/>
              </w:rPr>
            </w:pPr>
            <w:r>
              <w:rPr>
                <w:color w:val="auto"/>
                <w:sz w:val="21"/>
                <w:szCs w:val="21"/>
              </w:rPr>
              <w:t>Q</w:t>
            </w:r>
            <w:r>
              <w:rPr>
                <w:rFonts w:hAnsi="宋体"/>
                <w:color w:val="auto"/>
                <w:sz w:val="21"/>
                <w:szCs w:val="21"/>
              </w:rPr>
              <w:t>＝</w:t>
            </w:r>
            <w:r>
              <w:rPr>
                <w:color w:val="auto"/>
                <w:sz w:val="21"/>
                <w:szCs w:val="21"/>
              </w:rPr>
              <w:t>625m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H=4.5m~5.95m</w:t>
            </w:r>
            <w:r>
              <w:rPr>
                <w:rFonts w:hAnsi="宋体"/>
                <w:color w:val="auto"/>
                <w:sz w:val="21"/>
                <w:szCs w:val="21"/>
              </w:rPr>
              <w:t>，</w:t>
            </w:r>
            <w:r>
              <w:rPr>
                <w:color w:val="auto"/>
                <w:sz w:val="21"/>
                <w:szCs w:val="21"/>
              </w:rPr>
              <w:t>N=15kW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r>
              <w:rPr>
                <w:color w:val="auto"/>
                <w:sz w:val="21"/>
                <w:szCs w:val="21"/>
              </w:rPr>
              <w:t>2</w:t>
            </w:r>
            <w:r>
              <w:rPr>
                <w:rFonts w:hAnsi="宋体"/>
                <w:color w:val="auto"/>
                <w:sz w:val="21"/>
                <w:szCs w:val="21"/>
              </w:rPr>
              <w:t>台变频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剩余污泥潜水离心泵</w:t>
            </w:r>
          </w:p>
        </w:tc>
        <w:tc>
          <w:tcPr>
            <w:tcW w:w="2409" w:type="dxa"/>
            <w:vAlign w:val="center"/>
          </w:tcPr>
          <w:p>
            <w:pPr>
              <w:jc w:val="center"/>
              <w:rPr>
                <w:color w:val="auto"/>
                <w:sz w:val="21"/>
                <w:szCs w:val="21"/>
              </w:rPr>
            </w:pPr>
            <w:r>
              <w:rPr>
                <w:color w:val="auto"/>
                <w:sz w:val="21"/>
                <w:szCs w:val="21"/>
              </w:rPr>
              <w:t>Q=85m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H=10.0m</w:t>
            </w:r>
            <w:r>
              <w:rPr>
                <w:rFonts w:hAnsi="宋体"/>
                <w:color w:val="auto"/>
                <w:sz w:val="21"/>
                <w:szCs w:val="21"/>
              </w:rPr>
              <w:t>，</w:t>
            </w:r>
            <w:r>
              <w:rPr>
                <w:color w:val="auto"/>
                <w:sz w:val="21"/>
                <w:szCs w:val="21"/>
              </w:rPr>
              <w:t>N=7.5kW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电动葫芦</w:t>
            </w:r>
          </w:p>
        </w:tc>
        <w:tc>
          <w:tcPr>
            <w:tcW w:w="2409" w:type="dxa"/>
            <w:vAlign w:val="center"/>
          </w:tcPr>
          <w:p>
            <w:pPr>
              <w:jc w:val="center"/>
              <w:rPr>
                <w:color w:val="auto"/>
                <w:sz w:val="21"/>
                <w:szCs w:val="21"/>
              </w:rPr>
            </w:pPr>
            <w:r>
              <w:rPr>
                <w:color w:val="auto"/>
                <w:sz w:val="21"/>
                <w:szCs w:val="21"/>
              </w:rPr>
              <w:t>W=2T,</w:t>
            </w:r>
            <w:r>
              <w:rPr>
                <w:rFonts w:hAnsi="宋体"/>
                <w:color w:val="auto"/>
                <w:sz w:val="21"/>
                <w:szCs w:val="21"/>
              </w:rPr>
              <w:t>起吊高度</w:t>
            </w:r>
            <w:r>
              <w:rPr>
                <w:color w:val="auto"/>
                <w:sz w:val="21"/>
                <w:szCs w:val="21"/>
              </w:rPr>
              <w:t>9m,N=3+0.4=3.4kW</w:t>
            </w:r>
            <w:r>
              <w:rPr>
                <w:rFonts w:hAnsi="宋体"/>
                <w:color w:val="auto"/>
                <w:sz w:val="21"/>
                <w:szCs w:val="21"/>
              </w:rPr>
              <w:t>，含工字钢</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二沉池</w:t>
            </w:r>
          </w:p>
        </w:tc>
        <w:tc>
          <w:tcPr>
            <w:tcW w:w="2167" w:type="dxa"/>
            <w:vAlign w:val="center"/>
          </w:tcPr>
          <w:p>
            <w:pPr>
              <w:jc w:val="center"/>
              <w:rPr>
                <w:color w:val="auto"/>
                <w:sz w:val="21"/>
                <w:szCs w:val="21"/>
              </w:rPr>
            </w:pPr>
            <w:r>
              <w:rPr>
                <w:rFonts w:hAnsi="宋体"/>
                <w:color w:val="auto"/>
                <w:sz w:val="21"/>
                <w:szCs w:val="21"/>
              </w:rPr>
              <w:t>中心传动单管吸泥机</w:t>
            </w:r>
          </w:p>
        </w:tc>
        <w:tc>
          <w:tcPr>
            <w:tcW w:w="2409" w:type="dxa"/>
            <w:vAlign w:val="center"/>
          </w:tcPr>
          <w:p>
            <w:pPr>
              <w:jc w:val="center"/>
              <w:rPr>
                <w:color w:val="auto"/>
                <w:sz w:val="21"/>
                <w:szCs w:val="21"/>
              </w:rPr>
            </w:pPr>
            <w:r>
              <w:rPr>
                <w:rFonts w:hAnsi="MS Mincho" w:eastAsia="MS Mincho"/>
                <w:color w:val="auto"/>
                <w:sz w:val="21"/>
                <w:szCs w:val="21"/>
              </w:rPr>
              <w:t>∅</w:t>
            </w:r>
            <w:r>
              <w:rPr>
                <w:color w:val="auto"/>
                <w:sz w:val="21"/>
                <w:szCs w:val="21"/>
              </w:rPr>
              <w:t>=22m,</w:t>
            </w:r>
            <w:r>
              <w:rPr>
                <w:rFonts w:hAnsi="宋体"/>
                <w:color w:val="auto"/>
                <w:sz w:val="21"/>
                <w:szCs w:val="21"/>
              </w:rPr>
              <w:t>池深</w:t>
            </w:r>
            <w:r>
              <w:rPr>
                <w:color w:val="auto"/>
                <w:sz w:val="21"/>
                <w:szCs w:val="21"/>
              </w:rPr>
              <w:t>4.10m</w:t>
            </w:r>
            <w:r>
              <w:rPr>
                <w:rFonts w:hAnsi="宋体"/>
                <w:color w:val="auto"/>
                <w:sz w:val="21"/>
                <w:szCs w:val="21"/>
              </w:rPr>
              <w:t>，</w:t>
            </w:r>
            <w:r>
              <w:rPr>
                <w:color w:val="auto"/>
                <w:sz w:val="21"/>
                <w:szCs w:val="21"/>
              </w:rPr>
              <w:t>N=0.37kW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配套提供固定工作桥及操作平台、配水挡板、浮渣斗、落渣管、撇渣撇沫装置等附件，吸泥机进口与中心筒出口水位差小于</w:t>
            </w:r>
            <w:r>
              <w:rPr>
                <w:color w:val="auto"/>
                <w:sz w:val="21"/>
                <w:szCs w:val="21"/>
              </w:rPr>
              <w:t>200mm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不锈钢出水堰板</w:t>
            </w:r>
          </w:p>
        </w:tc>
        <w:tc>
          <w:tcPr>
            <w:tcW w:w="2409" w:type="dxa"/>
            <w:vAlign w:val="center"/>
          </w:tcPr>
          <w:p>
            <w:pPr>
              <w:jc w:val="center"/>
              <w:rPr>
                <w:color w:val="auto"/>
                <w:sz w:val="21"/>
                <w:szCs w:val="21"/>
              </w:rPr>
            </w:pPr>
            <w:r>
              <w:rPr>
                <w:color w:val="auto"/>
                <w:sz w:val="21"/>
                <w:szCs w:val="21"/>
              </w:rPr>
              <w:t>H=250mmδ=4mm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厂家配套提供，共</w:t>
            </w:r>
            <w:r>
              <w:rPr>
                <w:color w:val="auto"/>
                <w:sz w:val="21"/>
                <w:szCs w:val="21"/>
              </w:rPr>
              <w:t>54.04m</w:t>
            </w:r>
            <w:r>
              <w:rPr>
                <w:rFonts w:hAnsi="宋体"/>
                <w:color w:val="auto"/>
                <w:sz w:val="21"/>
                <w:szCs w:val="21"/>
              </w:rPr>
              <w:t>，包括</w:t>
            </w:r>
            <w:r>
              <w:rPr>
                <w:color w:val="auto"/>
                <w:sz w:val="21"/>
                <w:szCs w:val="21"/>
              </w:rPr>
              <w:t>26</w:t>
            </w:r>
            <w:r>
              <w:rPr>
                <w:rFonts w:hAnsi="宋体"/>
                <w:color w:val="auto"/>
                <w:sz w:val="21"/>
                <w:szCs w:val="21"/>
              </w:rPr>
              <w:t>块</w:t>
            </w:r>
            <w:r>
              <w:rPr>
                <w:color w:val="auto"/>
                <w:sz w:val="21"/>
                <w:szCs w:val="21"/>
              </w:rPr>
              <w:t>2m</w:t>
            </w:r>
            <w:r>
              <w:rPr>
                <w:rFonts w:hAnsi="宋体"/>
                <w:color w:val="auto"/>
                <w:sz w:val="21"/>
                <w:szCs w:val="21"/>
              </w:rPr>
              <w:t>和</w:t>
            </w:r>
            <w:r>
              <w:rPr>
                <w:color w:val="auto"/>
                <w:sz w:val="21"/>
                <w:szCs w:val="21"/>
              </w:rPr>
              <w:t>1</w:t>
            </w:r>
            <w:r>
              <w:rPr>
                <w:rFonts w:hAnsi="宋体"/>
                <w:color w:val="auto"/>
                <w:sz w:val="21"/>
                <w:szCs w:val="21"/>
              </w:rPr>
              <w:t>块</w:t>
            </w:r>
            <w:r>
              <w:rPr>
                <w:color w:val="auto"/>
                <w:sz w:val="21"/>
                <w:szCs w:val="21"/>
              </w:rPr>
              <w:t>2.04m</w:t>
            </w:r>
            <w:r>
              <w:rPr>
                <w:rFonts w:hAnsi="宋体"/>
                <w:color w:val="auto"/>
                <w:sz w:val="21"/>
                <w:szCs w:val="21"/>
              </w:rPr>
              <w:t>的堰板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浮渣挡板</w:t>
            </w:r>
          </w:p>
        </w:tc>
        <w:tc>
          <w:tcPr>
            <w:tcW w:w="2409" w:type="dxa"/>
            <w:vAlign w:val="center"/>
          </w:tcPr>
          <w:p>
            <w:pPr>
              <w:jc w:val="center"/>
              <w:rPr>
                <w:color w:val="auto"/>
                <w:sz w:val="21"/>
                <w:szCs w:val="21"/>
              </w:rPr>
            </w:pPr>
            <w:r>
              <w:rPr>
                <w:color w:val="auto"/>
                <w:sz w:val="21"/>
                <w:szCs w:val="21"/>
              </w:rPr>
              <w:t>B=300mmδ=4mm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厂家配套提供，共</w:t>
            </w:r>
            <w:r>
              <w:rPr>
                <w:color w:val="auto"/>
                <w:sz w:val="21"/>
                <w:szCs w:val="21"/>
              </w:rPr>
              <w:t>52.74m</w:t>
            </w:r>
            <w:r>
              <w:rPr>
                <w:rFonts w:hAnsi="宋体"/>
                <w:color w:val="auto"/>
                <w:sz w:val="21"/>
                <w:szCs w:val="21"/>
              </w:rPr>
              <w:t>，包括</w:t>
            </w:r>
            <w:r>
              <w:rPr>
                <w:color w:val="auto"/>
                <w:sz w:val="21"/>
                <w:szCs w:val="21"/>
              </w:rPr>
              <w:t>26</w:t>
            </w:r>
            <w:r>
              <w:rPr>
                <w:rFonts w:hAnsi="宋体"/>
                <w:color w:val="auto"/>
                <w:sz w:val="21"/>
                <w:szCs w:val="21"/>
              </w:rPr>
              <w:t>块</w:t>
            </w:r>
            <w:r>
              <w:rPr>
                <w:color w:val="auto"/>
                <w:sz w:val="21"/>
                <w:szCs w:val="21"/>
              </w:rPr>
              <w:t>2m</w:t>
            </w:r>
            <w:r>
              <w:rPr>
                <w:rFonts w:hAnsi="宋体"/>
                <w:color w:val="auto"/>
                <w:sz w:val="21"/>
                <w:szCs w:val="21"/>
              </w:rPr>
              <w:t>和</w:t>
            </w:r>
            <w:r>
              <w:rPr>
                <w:color w:val="auto"/>
                <w:sz w:val="21"/>
                <w:szCs w:val="21"/>
              </w:rPr>
              <w:t>1</w:t>
            </w:r>
            <w:r>
              <w:rPr>
                <w:rFonts w:hAnsi="宋体"/>
                <w:color w:val="auto"/>
                <w:sz w:val="21"/>
                <w:szCs w:val="21"/>
              </w:rPr>
              <w:t>块</w:t>
            </w:r>
            <w:r>
              <w:rPr>
                <w:color w:val="auto"/>
                <w:sz w:val="21"/>
                <w:szCs w:val="21"/>
              </w:rPr>
              <w:t>0.74m</w:t>
            </w:r>
            <w:r>
              <w:rPr>
                <w:rFonts w:hAnsi="宋体"/>
                <w:color w:val="auto"/>
                <w:sz w:val="21"/>
                <w:szCs w:val="21"/>
              </w:rPr>
              <w:t>的堰板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折流裙板</w:t>
            </w:r>
          </w:p>
        </w:tc>
        <w:tc>
          <w:tcPr>
            <w:tcW w:w="2409" w:type="dxa"/>
            <w:vAlign w:val="center"/>
          </w:tcPr>
          <w:p>
            <w:pPr>
              <w:jc w:val="center"/>
              <w:rPr>
                <w:color w:val="auto"/>
                <w:sz w:val="21"/>
                <w:szCs w:val="21"/>
              </w:rPr>
            </w:pPr>
            <w:r>
              <w:rPr>
                <w:color w:val="auto"/>
                <w:sz w:val="21"/>
                <w:szCs w:val="21"/>
              </w:rPr>
              <w:t>B=600mmδ=4mm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厂家配套提供，共</w:t>
            </w:r>
            <w:r>
              <w:rPr>
                <w:color w:val="auto"/>
                <w:sz w:val="21"/>
                <w:szCs w:val="21"/>
              </w:rPr>
              <w:t>58.12m</w:t>
            </w:r>
            <w:r>
              <w:rPr>
                <w:rFonts w:hAnsi="宋体"/>
                <w:color w:val="auto"/>
                <w:sz w:val="21"/>
                <w:szCs w:val="21"/>
              </w:rPr>
              <w:t>，包括</w:t>
            </w:r>
            <w:r>
              <w:rPr>
                <w:color w:val="auto"/>
                <w:sz w:val="21"/>
                <w:szCs w:val="21"/>
              </w:rPr>
              <w:t>19</w:t>
            </w:r>
            <w:r>
              <w:rPr>
                <w:rFonts w:hAnsi="宋体"/>
                <w:color w:val="auto"/>
                <w:sz w:val="21"/>
                <w:szCs w:val="21"/>
              </w:rPr>
              <w:t>块</w:t>
            </w:r>
            <w:r>
              <w:rPr>
                <w:color w:val="auto"/>
                <w:sz w:val="21"/>
                <w:szCs w:val="21"/>
              </w:rPr>
              <w:t>3m</w:t>
            </w:r>
            <w:r>
              <w:rPr>
                <w:rFonts w:hAnsi="宋体"/>
                <w:color w:val="auto"/>
                <w:sz w:val="21"/>
                <w:szCs w:val="21"/>
              </w:rPr>
              <w:t>和</w:t>
            </w:r>
            <w:r>
              <w:rPr>
                <w:color w:val="auto"/>
                <w:sz w:val="21"/>
                <w:szCs w:val="21"/>
              </w:rPr>
              <w:t>1</w:t>
            </w:r>
            <w:r>
              <w:rPr>
                <w:rFonts w:hAnsi="宋体"/>
                <w:color w:val="auto"/>
                <w:sz w:val="21"/>
                <w:szCs w:val="21"/>
              </w:rPr>
              <w:t>块</w:t>
            </w:r>
            <w:r>
              <w:rPr>
                <w:color w:val="auto"/>
                <w:sz w:val="21"/>
                <w:szCs w:val="21"/>
              </w:rPr>
              <w:t>1.12m</w:t>
            </w:r>
            <w:r>
              <w:rPr>
                <w:rFonts w:hAnsi="宋体"/>
                <w:color w:val="auto"/>
                <w:sz w:val="21"/>
                <w:szCs w:val="21"/>
              </w:rPr>
              <w:t>的堰板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配水孔管</w:t>
            </w:r>
          </w:p>
        </w:tc>
        <w:tc>
          <w:tcPr>
            <w:tcW w:w="2409" w:type="dxa"/>
            <w:vAlign w:val="center"/>
          </w:tcPr>
          <w:p>
            <w:pPr>
              <w:jc w:val="center"/>
              <w:rPr>
                <w:color w:val="auto"/>
                <w:sz w:val="21"/>
                <w:szCs w:val="21"/>
              </w:rPr>
            </w:pPr>
            <w:r>
              <w:rPr>
                <w:rFonts w:hAnsi="MS Mincho" w:eastAsia="MS Mincho"/>
                <w:color w:val="auto"/>
                <w:sz w:val="21"/>
                <w:szCs w:val="21"/>
              </w:rPr>
              <w:t>∅</w:t>
            </w:r>
            <w:r>
              <w:rPr>
                <w:color w:val="auto"/>
                <w:sz w:val="21"/>
                <w:szCs w:val="21"/>
              </w:rPr>
              <w:t>80</w:t>
            </w:r>
          </w:p>
        </w:tc>
        <w:tc>
          <w:tcPr>
            <w:tcW w:w="709" w:type="dxa"/>
            <w:vAlign w:val="center"/>
          </w:tcPr>
          <w:p>
            <w:pPr>
              <w:jc w:val="center"/>
              <w:rPr>
                <w:color w:val="auto"/>
                <w:sz w:val="21"/>
                <w:szCs w:val="21"/>
              </w:rPr>
            </w:pPr>
            <w:r>
              <w:rPr>
                <w:color w:val="auto"/>
                <w:sz w:val="21"/>
                <w:szCs w:val="21"/>
              </w:rPr>
              <w:t>120</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厂家配套提供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挡水板</w:t>
            </w:r>
          </w:p>
        </w:tc>
        <w:tc>
          <w:tcPr>
            <w:tcW w:w="2409" w:type="dxa"/>
            <w:vAlign w:val="center"/>
          </w:tcPr>
          <w:p>
            <w:pPr>
              <w:jc w:val="center"/>
              <w:rPr>
                <w:color w:val="auto"/>
                <w:sz w:val="21"/>
                <w:szCs w:val="21"/>
              </w:rPr>
            </w:pPr>
            <w:r>
              <w:rPr>
                <w:color w:val="auto"/>
                <w:sz w:val="21"/>
                <w:szCs w:val="21"/>
              </w:rPr>
              <w:t>L=200mm</w:t>
            </w:r>
            <w:r>
              <w:rPr>
                <w:rFonts w:hAnsi="宋体"/>
                <w:color w:val="auto"/>
                <w:sz w:val="21"/>
                <w:szCs w:val="21"/>
              </w:rPr>
              <w:t>，</w:t>
            </w:r>
            <w:r>
              <w:rPr>
                <w:color w:val="auto"/>
                <w:sz w:val="21"/>
                <w:szCs w:val="21"/>
              </w:rPr>
              <w:t>H</w:t>
            </w:r>
            <w:r>
              <w:rPr>
                <w:rFonts w:hAnsi="宋体"/>
                <w:color w:val="auto"/>
                <w:sz w:val="21"/>
                <w:szCs w:val="21"/>
              </w:rPr>
              <w:t>＝</w:t>
            </w:r>
            <w:r>
              <w:rPr>
                <w:color w:val="auto"/>
                <w:sz w:val="21"/>
                <w:szCs w:val="21"/>
              </w:rPr>
              <w:t>250mm</w:t>
            </w:r>
            <w:r>
              <w:rPr>
                <w:rFonts w:hAnsi="宋体"/>
                <w:color w:val="auto"/>
                <w:sz w:val="21"/>
                <w:szCs w:val="21"/>
              </w:rPr>
              <w:t>，</w:t>
            </w:r>
            <w:r>
              <w:rPr>
                <w:color w:val="auto"/>
                <w:sz w:val="21"/>
                <w:szCs w:val="21"/>
              </w:rPr>
              <w:t>δ</w:t>
            </w:r>
            <w:r>
              <w:rPr>
                <w:rFonts w:hAnsi="宋体"/>
                <w:color w:val="auto"/>
                <w:sz w:val="21"/>
                <w:szCs w:val="21"/>
              </w:rPr>
              <w:t>＝</w:t>
            </w:r>
            <w:r>
              <w:rPr>
                <w:color w:val="auto"/>
                <w:sz w:val="21"/>
                <w:szCs w:val="21"/>
              </w:rPr>
              <w:t>4mm</w:t>
            </w:r>
          </w:p>
        </w:tc>
        <w:tc>
          <w:tcPr>
            <w:tcW w:w="709" w:type="dxa"/>
            <w:vAlign w:val="center"/>
          </w:tcPr>
          <w:p>
            <w:pPr>
              <w:jc w:val="center"/>
              <w:rPr>
                <w:color w:val="auto"/>
                <w:sz w:val="21"/>
                <w:szCs w:val="21"/>
              </w:rPr>
            </w:pPr>
            <w:r>
              <w:rPr>
                <w:color w:val="auto"/>
                <w:sz w:val="21"/>
                <w:szCs w:val="21"/>
              </w:rPr>
              <w:t>120</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r>
              <w:rPr>
                <w:rFonts w:hAnsi="宋体"/>
                <w:color w:val="auto"/>
                <w:sz w:val="21"/>
                <w:szCs w:val="21"/>
              </w:rPr>
              <w:t>厂家配套提供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手动调节不锈钢堰门</w:t>
            </w:r>
          </w:p>
        </w:tc>
        <w:tc>
          <w:tcPr>
            <w:tcW w:w="2409" w:type="dxa"/>
            <w:vAlign w:val="center"/>
          </w:tcPr>
          <w:p>
            <w:pPr>
              <w:jc w:val="center"/>
              <w:rPr>
                <w:color w:val="auto"/>
                <w:sz w:val="21"/>
                <w:szCs w:val="21"/>
              </w:rPr>
            </w:pPr>
            <w:r>
              <w:rPr>
                <w:color w:val="auto"/>
                <w:sz w:val="21"/>
                <w:szCs w:val="21"/>
              </w:rPr>
              <w:t>B×H=1000×1000</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四面止水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手动调节不锈钢堰门</w:t>
            </w:r>
          </w:p>
        </w:tc>
        <w:tc>
          <w:tcPr>
            <w:tcW w:w="2409" w:type="dxa"/>
            <w:vAlign w:val="center"/>
          </w:tcPr>
          <w:p>
            <w:pPr>
              <w:jc w:val="center"/>
              <w:rPr>
                <w:color w:val="auto"/>
                <w:sz w:val="21"/>
                <w:szCs w:val="21"/>
              </w:rPr>
            </w:pPr>
            <w:r>
              <w:rPr>
                <w:color w:val="auto"/>
                <w:sz w:val="21"/>
                <w:szCs w:val="21"/>
              </w:rPr>
              <w:t>B×H=500×500</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四面止水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手动起吊支架</w:t>
            </w:r>
          </w:p>
        </w:tc>
        <w:tc>
          <w:tcPr>
            <w:tcW w:w="2409" w:type="dxa"/>
            <w:vAlign w:val="center"/>
          </w:tcPr>
          <w:p>
            <w:pPr>
              <w:jc w:val="center"/>
              <w:rPr>
                <w:color w:val="auto"/>
                <w:sz w:val="21"/>
                <w:szCs w:val="21"/>
              </w:rPr>
            </w:pPr>
            <w:r>
              <w:rPr>
                <w:rFonts w:hAnsi="宋体"/>
                <w:color w:val="auto"/>
                <w:sz w:val="21"/>
                <w:szCs w:val="21"/>
              </w:rPr>
              <w:t>起吊重量</w:t>
            </w:r>
            <w:r>
              <w:rPr>
                <w:color w:val="auto"/>
                <w:sz w:val="21"/>
                <w:szCs w:val="21"/>
              </w:rPr>
              <w:t>0.5t</w:t>
            </w:r>
            <w:r>
              <w:rPr>
                <w:rFonts w:hAnsi="宋体"/>
                <w:color w:val="auto"/>
                <w:sz w:val="21"/>
                <w:szCs w:val="21"/>
              </w:rPr>
              <w:t>，起吊高度</w:t>
            </w:r>
            <w:r>
              <w:rPr>
                <w:color w:val="auto"/>
                <w:sz w:val="21"/>
                <w:szCs w:val="21"/>
              </w:rPr>
              <w:t>5m</w:t>
            </w:r>
            <w:r>
              <w:rPr>
                <w:rFonts w:hAnsi="宋体"/>
                <w:color w:val="auto"/>
                <w:sz w:val="21"/>
                <w:szCs w:val="21"/>
              </w:rPr>
              <w:t>，含吊钩</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int="eastAsia"/>
                <w:color w:val="auto"/>
                <w:sz w:val="21"/>
                <w:szCs w:val="21"/>
              </w:rPr>
              <w:t>中间提升泵房</w:t>
            </w:r>
          </w:p>
        </w:tc>
        <w:tc>
          <w:tcPr>
            <w:tcW w:w="2167" w:type="dxa"/>
            <w:vAlign w:val="center"/>
          </w:tcPr>
          <w:p>
            <w:pPr>
              <w:adjustRightInd w:val="0"/>
              <w:snapToGrid w:val="0"/>
              <w:jc w:val="center"/>
              <w:rPr>
                <w:color w:val="auto"/>
                <w:sz w:val="21"/>
                <w:szCs w:val="21"/>
              </w:rPr>
            </w:pPr>
            <w:r>
              <w:rPr>
                <w:rFonts w:hint="eastAsia"/>
                <w:color w:val="auto"/>
                <w:sz w:val="21"/>
                <w:szCs w:val="21"/>
              </w:rPr>
              <w:t>潜水离心泵</w:t>
            </w:r>
          </w:p>
        </w:tc>
        <w:tc>
          <w:tcPr>
            <w:tcW w:w="2409" w:type="dxa"/>
            <w:vAlign w:val="center"/>
          </w:tcPr>
          <w:p>
            <w:pPr>
              <w:adjustRightInd w:val="0"/>
              <w:snapToGrid w:val="0"/>
              <w:jc w:val="center"/>
              <w:rPr>
                <w:color w:val="auto"/>
                <w:sz w:val="21"/>
                <w:szCs w:val="21"/>
              </w:rPr>
            </w:pPr>
            <w:r>
              <w:rPr>
                <w:rFonts w:hint="eastAsia"/>
                <w:color w:val="auto"/>
                <w:sz w:val="21"/>
                <w:szCs w:val="21"/>
              </w:rPr>
              <w:t>Q=333m</w:t>
            </w:r>
            <w:r>
              <w:rPr>
                <w:rFonts w:hint="eastAsia"/>
                <w:color w:val="auto"/>
                <w:sz w:val="21"/>
                <w:szCs w:val="21"/>
                <w:vertAlign w:val="superscript"/>
              </w:rPr>
              <w:t>3</w:t>
            </w:r>
            <w:r>
              <w:rPr>
                <w:rFonts w:hint="eastAsia"/>
                <w:color w:val="auto"/>
                <w:sz w:val="21"/>
                <w:szCs w:val="21"/>
              </w:rPr>
              <w:t>/hr，Hmin=4.50m,Hmax=7.5m，P=11kW，变频</w:t>
            </w:r>
          </w:p>
        </w:tc>
        <w:tc>
          <w:tcPr>
            <w:tcW w:w="709" w:type="dxa"/>
            <w:vAlign w:val="center"/>
          </w:tcPr>
          <w:p>
            <w:pPr>
              <w:adjustRightInd w:val="0"/>
              <w:snapToGrid w:val="0"/>
              <w:jc w:val="center"/>
              <w:rPr>
                <w:color w:val="auto"/>
                <w:sz w:val="21"/>
                <w:szCs w:val="21"/>
              </w:rPr>
            </w:pPr>
            <w:r>
              <w:rPr>
                <w:rFonts w:hint="eastAsia"/>
                <w:color w:val="auto"/>
                <w:sz w:val="21"/>
                <w:szCs w:val="21"/>
              </w:rPr>
              <w:t>3</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电动葫芦</w:t>
            </w:r>
          </w:p>
        </w:tc>
        <w:tc>
          <w:tcPr>
            <w:tcW w:w="2409" w:type="dxa"/>
            <w:vAlign w:val="center"/>
          </w:tcPr>
          <w:p>
            <w:pPr>
              <w:adjustRightInd w:val="0"/>
              <w:snapToGrid w:val="0"/>
              <w:jc w:val="center"/>
              <w:rPr>
                <w:color w:val="auto"/>
                <w:sz w:val="21"/>
                <w:szCs w:val="21"/>
              </w:rPr>
            </w:pPr>
            <w:r>
              <w:rPr>
                <w:rFonts w:hint="eastAsia"/>
                <w:color w:val="auto"/>
                <w:sz w:val="21"/>
                <w:szCs w:val="21"/>
              </w:rPr>
              <w:t>起吊重量1t，起升高度H＝12m，N＝3.7kW</w:t>
            </w:r>
          </w:p>
        </w:tc>
        <w:tc>
          <w:tcPr>
            <w:tcW w:w="709" w:type="dxa"/>
            <w:vAlign w:val="center"/>
          </w:tcPr>
          <w:p>
            <w:pPr>
              <w:adjustRightInd w:val="0"/>
              <w:snapToGrid w:val="0"/>
              <w:jc w:val="center"/>
              <w:rPr>
                <w:color w:val="auto"/>
                <w:sz w:val="21"/>
                <w:szCs w:val="21"/>
              </w:rPr>
            </w:pPr>
            <w:r>
              <w:rPr>
                <w:rFonts w:hint="eastAsia"/>
                <w:color w:val="auto"/>
                <w:sz w:val="21"/>
                <w:szCs w:val="21"/>
              </w:rPr>
              <w:t>1</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手电两用铸铁镶铜方闸门</w:t>
            </w:r>
          </w:p>
        </w:tc>
        <w:tc>
          <w:tcPr>
            <w:tcW w:w="2409" w:type="dxa"/>
            <w:vAlign w:val="center"/>
          </w:tcPr>
          <w:p>
            <w:pPr>
              <w:adjustRightInd w:val="0"/>
              <w:snapToGrid w:val="0"/>
              <w:jc w:val="center"/>
              <w:rPr>
                <w:color w:val="auto"/>
                <w:sz w:val="21"/>
                <w:szCs w:val="21"/>
              </w:rPr>
            </w:pPr>
            <w:r>
              <w:rPr>
                <w:rFonts w:hint="eastAsia"/>
                <w:color w:val="auto"/>
                <w:sz w:val="21"/>
                <w:szCs w:val="21"/>
              </w:rPr>
              <w:t>B×H=800×800mm，N=0.75kW</w:t>
            </w:r>
          </w:p>
        </w:tc>
        <w:tc>
          <w:tcPr>
            <w:tcW w:w="709" w:type="dxa"/>
            <w:vAlign w:val="center"/>
          </w:tcPr>
          <w:p>
            <w:pPr>
              <w:adjustRightInd w:val="0"/>
              <w:snapToGrid w:val="0"/>
              <w:jc w:val="center"/>
              <w:rPr>
                <w:color w:val="auto"/>
                <w:sz w:val="21"/>
                <w:szCs w:val="21"/>
              </w:rPr>
            </w:pPr>
            <w:r>
              <w:rPr>
                <w:rFonts w:hint="eastAsia"/>
                <w:color w:val="auto"/>
                <w:sz w:val="21"/>
                <w:szCs w:val="21"/>
              </w:rPr>
              <w:t>1</w:t>
            </w:r>
          </w:p>
        </w:tc>
        <w:tc>
          <w:tcPr>
            <w:tcW w:w="709" w:type="dxa"/>
            <w:vAlign w:val="center"/>
          </w:tcPr>
          <w:p>
            <w:pPr>
              <w:adjustRightInd w:val="0"/>
              <w:snapToGrid w:val="0"/>
              <w:jc w:val="center"/>
              <w:rPr>
                <w:color w:val="auto"/>
                <w:sz w:val="21"/>
                <w:szCs w:val="21"/>
              </w:rPr>
            </w:pPr>
            <w:r>
              <w:rPr>
                <w:rFonts w:hint="eastAsia"/>
                <w:color w:val="auto"/>
                <w:sz w:val="21"/>
                <w:szCs w:val="21"/>
              </w:rPr>
              <w:t>只</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int="eastAsia"/>
                <w:color w:val="auto"/>
                <w:sz w:val="21"/>
                <w:szCs w:val="21"/>
              </w:rPr>
              <w:t>反冲洗废水池</w:t>
            </w:r>
          </w:p>
        </w:tc>
        <w:tc>
          <w:tcPr>
            <w:tcW w:w="2167" w:type="dxa"/>
            <w:vAlign w:val="center"/>
          </w:tcPr>
          <w:p>
            <w:pPr>
              <w:adjustRightInd w:val="0"/>
              <w:snapToGrid w:val="0"/>
              <w:jc w:val="center"/>
              <w:rPr>
                <w:color w:val="auto"/>
                <w:sz w:val="21"/>
                <w:szCs w:val="21"/>
              </w:rPr>
            </w:pPr>
            <w:r>
              <w:rPr>
                <w:rFonts w:hint="eastAsia"/>
                <w:color w:val="auto"/>
                <w:sz w:val="21"/>
                <w:szCs w:val="21"/>
              </w:rPr>
              <w:t>潜水搅拌器</w:t>
            </w:r>
          </w:p>
        </w:tc>
        <w:tc>
          <w:tcPr>
            <w:tcW w:w="2409" w:type="dxa"/>
            <w:vAlign w:val="center"/>
          </w:tcPr>
          <w:p>
            <w:pPr>
              <w:adjustRightInd w:val="0"/>
              <w:snapToGrid w:val="0"/>
              <w:jc w:val="center"/>
              <w:rPr>
                <w:color w:val="auto"/>
                <w:sz w:val="21"/>
                <w:szCs w:val="21"/>
              </w:rPr>
            </w:pPr>
            <w:r>
              <w:rPr>
                <w:rFonts w:hint="eastAsia"/>
                <w:color w:val="auto"/>
                <w:sz w:val="21"/>
                <w:szCs w:val="21"/>
              </w:rPr>
              <w:t>1.0kW</w:t>
            </w:r>
          </w:p>
        </w:tc>
        <w:tc>
          <w:tcPr>
            <w:tcW w:w="709" w:type="dxa"/>
            <w:vAlign w:val="center"/>
          </w:tcPr>
          <w:p>
            <w:pPr>
              <w:adjustRightInd w:val="0"/>
              <w:snapToGrid w:val="0"/>
              <w:jc w:val="center"/>
              <w:rPr>
                <w:color w:val="auto"/>
                <w:sz w:val="21"/>
                <w:szCs w:val="21"/>
              </w:rPr>
            </w:pPr>
            <w:r>
              <w:rPr>
                <w:rFonts w:hint="eastAsia"/>
                <w:color w:val="auto"/>
                <w:sz w:val="21"/>
                <w:szCs w:val="21"/>
              </w:rPr>
              <w:t>2</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潜水轴流泵</w:t>
            </w:r>
          </w:p>
        </w:tc>
        <w:tc>
          <w:tcPr>
            <w:tcW w:w="2409" w:type="dxa"/>
            <w:vAlign w:val="center"/>
          </w:tcPr>
          <w:p>
            <w:pPr>
              <w:adjustRightInd w:val="0"/>
              <w:snapToGrid w:val="0"/>
              <w:jc w:val="center"/>
              <w:rPr>
                <w:color w:val="auto"/>
                <w:sz w:val="21"/>
                <w:szCs w:val="21"/>
              </w:rPr>
            </w:pPr>
            <w:r>
              <w:rPr>
                <w:rFonts w:hint="eastAsia"/>
                <w:color w:val="auto"/>
                <w:sz w:val="21"/>
                <w:szCs w:val="21"/>
              </w:rPr>
              <w:t>Q=160m</w:t>
            </w:r>
            <w:r>
              <w:rPr>
                <w:rFonts w:hint="eastAsia"/>
                <w:color w:val="auto"/>
                <w:sz w:val="21"/>
                <w:szCs w:val="21"/>
                <w:vertAlign w:val="superscript"/>
              </w:rPr>
              <w:t>3</w:t>
            </w:r>
            <w:r>
              <w:rPr>
                <w:rFonts w:hint="eastAsia"/>
                <w:color w:val="auto"/>
                <w:sz w:val="21"/>
                <w:szCs w:val="21"/>
              </w:rPr>
              <w:t>/hr，Hmin=3.5m,Hmax=6.5m，P=11kW</w:t>
            </w:r>
          </w:p>
        </w:tc>
        <w:tc>
          <w:tcPr>
            <w:tcW w:w="709" w:type="dxa"/>
            <w:vAlign w:val="center"/>
          </w:tcPr>
          <w:p>
            <w:pPr>
              <w:adjustRightInd w:val="0"/>
              <w:snapToGrid w:val="0"/>
              <w:jc w:val="center"/>
              <w:rPr>
                <w:color w:val="auto"/>
                <w:sz w:val="21"/>
                <w:szCs w:val="21"/>
              </w:rPr>
            </w:pPr>
            <w:r>
              <w:rPr>
                <w:rFonts w:hint="eastAsia"/>
                <w:color w:val="auto"/>
                <w:sz w:val="21"/>
                <w:szCs w:val="21"/>
              </w:rPr>
              <w:t>3</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int="eastAsia"/>
                <w:color w:val="auto"/>
                <w:sz w:val="21"/>
                <w:szCs w:val="21"/>
              </w:rPr>
              <w:t>曝气生物滤池</w:t>
            </w:r>
          </w:p>
        </w:tc>
        <w:tc>
          <w:tcPr>
            <w:tcW w:w="2167" w:type="dxa"/>
            <w:vAlign w:val="center"/>
          </w:tcPr>
          <w:p>
            <w:pPr>
              <w:adjustRightInd w:val="0"/>
              <w:snapToGrid w:val="0"/>
              <w:jc w:val="center"/>
              <w:rPr>
                <w:color w:val="auto"/>
                <w:sz w:val="21"/>
                <w:szCs w:val="21"/>
              </w:rPr>
            </w:pPr>
            <w:r>
              <w:rPr>
                <w:rFonts w:hint="eastAsia"/>
                <w:color w:val="auto"/>
                <w:sz w:val="21"/>
                <w:szCs w:val="21"/>
              </w:rPr>
              <w:t>进水叠梁闸</w:t>
            </w:r>
          </w:p>
        </w:tc>
        <w:tc>
          <w:tcPr>
            <w:tcW w:w="2409" w:type="dxa"/>
            <w:vAlign w:val="center"/>
          </w:tcPr>
          <w:p>
            <w:pPr>
              <w:adjustRightInd w:val="0"/>
              <w:snapToGrid w:val="0"/>
              <w:jc w:val="center"/>
              <w:rPr>
                <w:color w:val="auto"/>
                <w:sz w:val="21"/>
                <w:szCs w:val="21"/>
              </w:rPr>
            </w:pPr>
            <w:r>
              <w:rPr>
                <w:rFonts w:hint="eastAsia"/>
                <w:color w:val="auto"/>
                <w:sz w:val="21"/>
                <w:szCs w:val="21"/>
              </w:rPr>
              <w:t>包括6个闸框，2个闸板</w:t>
            </w:r>
          </w:p>
        </w:tc>
        <w:tc>
          <w:tcPr>
            <w:tcW w:w="709" w:type="dxa"/>
            <w:vAlign w:val="center"/>
          </w:tcPr>
          <w:p>
            <w:pPr>
              <w:adjustRightInd w:val="0"/>
              <w:snapToGrid w:val="0"/>
              <w:jc w:val="center"/>
              <w:rPr>
                <w:color w:val="auto"/>
                <w:sz w:val="21"/>
                <w:szCs w:val="21"/>
              </w:rPr>
            </w:pPr>
            <w:r>
              <w:rPr>
                <w:rFonts w:hint="eastAsia"/>
                <w:color w:val="auto"/>
                <w:sz w:val="21"/>
                <w:szCs w:val="21"/>
              </w:rPr>
              <w:t>1</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等流量配水堰</w:t>
            </w:r>
          </w:p>
        </w:tc>
        <w:tc>
          <w:tcPr>
            <w:tcW w:w="2409" w:type="dxa"/>
            <w:vAlign w:val="center"/>
          </w:tcPr>
          <w:p>
            <w:pPr>
              <w:adjustRightInd w:val="0"/>
              <w:snapToGrid w:val="0"/>
              <w:jc w:val="center"/>
              <w:rPr>
                <w:color w:val="auto"/>
                <w:sz w:val="21"/>
                <w:szCs w:val="21"/>
              </w:rPr>
            </w:pPr>
            <w:r>
              <w:rPr>
                <w:rFonts w:hint="eastAsia"/>
                <w:color w:val="auto"/>
                <w:sz w:val="21"/>
                <w:szCs w:val="21"/>
              </w:rPr>
              <w:t>——</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排气阀</w:t>
            </w:r>
          </w:p>
        </w:tc>
        <w:tc>
          <w:tcPr>
            <w:tcW w:w="2409" w:type="dxa"/>
            <w:vAlign w:val="center"/>
          </w:tcPr>
          <w:p>
            <w:pPr>
              <w:adjustRightInd w:val="0"/>
              <w:snapToGrid w:val="0"/>
              <w:jc w:val="center"/>
              <w:rPr>
                <w:color w:val="auto"/>
                <w:sz w:val="21"/>
                <w:szCs w:val="21"/>
              </w:rPr>
            </w:pPr>
            <w:r>
              <w:rPr>
                <w:rFonts w:hint="eastAsia"/>
                <w:color w:val="auto"/>
                <w:sz w:val="21"/>
                <w:szCs w:val="21"/>
              </w:rPr>
              <w:t>DN50,PN10,手动闸阀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放空阀</w:t>
            </w:r>
          </w:p>
        </w:tc>
        <w:tc>
          <w:tcPr>
            <w:tcW w:w="2409" w:type="dxa"/>
            <w:vAlign w:val="center"/>
          </w:tcPr>
          <w:p>
            <w:pPr>
              <w:adjustRightInd w:val="0"/>
              <w:snapToGrid w:val="0"/>
              <w:jc w:val="center"/>
              <w:rPr>
                <w:color w:val="auto"/>
                <w:sz w:val="21"/>
                <w:szCs w:val="21"/>
              </w:rPr>
            </w:pPr>
            <w:r>
              <w:rPr>
                <w:rFonts w:hint="eastAsia"/>
                <w:color w:val="auto"/>
                <w:sz w:val="21"/>
                <w:szCs w:val="21"/>
              </w:rPr>
              <w:t>DN150,PN10,手动闸阀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进水蝶阀</w:t>
            </w:r>
          </w:p>
        </w:tc>
        <w:tc>
          <w:tcPr>
            <w:tcW w:w="2409" w:type="dxa"/>
            <w:vAlign w:val="center"/>
          </w:tcPr>
          <w:p>
            <w:pPr>
              <w:adjustRightInd w:val="0"/>
              <w:snapToGrid w:val="0"/>
              <w:jc w:val="center"/>
              <w:rPr>
                <w:color w:val="auto"/>
                <w:sz w:val="21"/>
                <w:szCs w:val="21"/>
              </w:rPr>
            </w:pPr>
            <w:r>
              <w:rPr>
                <w:rFonts w:hint="eastAsia"/>
                <w:color w:val="auto"/>
                <w:sz w:val="21"/>
                <w:szCs w:val="21"/>
              </w:rPr>
              <w:t>气动双作用，DN300，对夹式蝶阀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滤板底模、滤头及固定件</w:t>
            </w:r>
          </w:p>
        </w:tc>
        <w:tc>
          <w:tcPr>
            <w:tcW w:w="2409" w:type="dxa"/>
            <w:vAlign w:val="center"/>
          </w:tcPr>
          <w:p>
            <w:pPr>
              <w:adjustRightInd w:val="0"/>
              <w:snapToGrid w:val="0"/>
              <w:jc w:val="center"/>
              <w:rPr>
                <w:color w:val="auto"/>
                <w:sz w:val="21"/>
                <w:szCs w:val="21"/>
              </w:rPr>
            </w:pPr>
            <w:r>
              <w:rPr>
                <w:rFonts w:hint="eastAsia"/>
                <w:color w:val="auto"/>
                <w:sz w:val="21"/>
                <w:szCs w:val="21"/>
              </w:rPr>
              <w:t>——</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冲洗水蝶阀</w:t>
            </w:r>
          </w:p>
        </w:tc>
        <w:tc>
          <w:tcPr>
            <w:tcW w:w="2409" w:type="dxa"/>
            <w:vAlign w:val="center"/>
          </w:tcPr>
          <w:p>
            <w:pPr>
              <w:adjustRightInd w:val="0"/>
              <w:snapToGrid w:val="0"/>
              <w:jc w:val="center"/>
              <w:rPr>
                <w:color w:val="auto"/>
                <w:sz w:val="21"/>
                <w:szCs w:val="21"/>
              </w:rPr>
            </w:pPr>
            <w:r>
              <w:rPr>
                <w:rFonts w:hint="eastAsia"/>
                <w:color w:val="auto"/>
                <w:sz w:val="21"/>
                <w:szCs w:val="21"/>
              </w:rPr>
              <w:t>气动双作用，DN300，对夹式蝶阀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冲洗废水排放蝶阀</w:t>
            </w:r>
          </w:p>
        </w:tc>
        <w:tc>
          <w:tcPr>
            <w:tcW w:w="2409" w:type="dxa"/>
            <w:vAlign w:val="center"/>
          </w:tcPr>
          <w:p>
            <w:pPr>
              <w:adjustRightInd w:val="0"/>
              <w:snapToGrid w:val="0"/>
              <w:jc w:val="center"/>
              <w:rPr>
                <w:color w:val="auto"/>
                <w:sz w:val="21"/>
                <w:szCs w:val="21"/>
              </w:rPr>
            </w:pPr>
            <w:r>
              <w:rPr>
                <w:rFonts w:hint="eastAsia"/>
                <w:color w:val="auto"/>
                <w:sz w:val="21"/>
                <w:szCs w:val="21"/>
              </w:rPr>
              <w:t>气动双作用，DN400，对夹式蝶阀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冲洗气蝶阀</w:t>
            </w:r>
          </w:p>
        </w:tc>
        <w:tc>
          <w:tcPr>
            <w:tcW w:w="2409" w:type="dxa"/>
            <w:vAlign w:val="center"/>
          </w:tcPr>
          <w:p>
            <w:pPr>
              <w:adjustRightInd w:val="0"/>
              <w:snapToGrid w:val="0"/>
              <w:jc w:val="center"/>
              <w:rPr>
                <w:color w:val="auto"/>
                <w:sz w:val="21"/>
                <w:szCs w:val="21"/>
              </w:rPr>
            </w:pPr>
            <w:r>
              <w:rPr>
                <w:rFonts w:hint="eastAsia"/>
                <w:color w:val="auto"/>
                <w:sz w:val="21"/>
                <w:szCs w:val="21"/>
              </w:rPr>
              <w:t>气动双作用，DN200，对夹式蝶阀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排气阀</w:t>
            </w:r>
          </w:p>
        </w:tc>
        <w:tc>
          <w:tcPr>
            <w:tcW w:w="2409" w:type="dxa"/>
            <w:vAlign w:val="center"/>
          </w:tcPr>
          <w:p>
            <w:pPr>
              <w:adjustRightInd w:val="0"/>
              <w:snapToGrid w:val="0"/>
              <w:jc w:val="center"/>
              <w:rPr>
                <w:color w:val="auto"/>
                <w:sz w:val="21"/>
                <w:szCs w:val="21"/>
              </w:rPr>
            </w:pPr>
            <w:r>
              <w:rPr>
                <w:rFonts w:hint="eastAsia"/>
                <w:color w:val="auto"/>
                <w:sz w:val="21"/>
                <w:szCs w:val="21"/>
              </w:rPr>
              <w:t>气动双作用，DN125，对夹式蝶阀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出水堰板</w:t>
            </w:r>
          </w:p>
        </w:tc>
        <w:tc>
          <w:tcPr>
            <w:tcW w:w="2409" w:type="dxa"/>
            <w:vAlign w:val="center"/>
          </w:tcPr>
          <w:p>
            <w:pPr>
              <w:adjustRightInd w:val="0"/>
              <w:snapToGrid w:val="0"/>
              <w:jc w:val="center"/>
              <w:rPr>
                <w:color w:val="auto"/>
                <w:sz w:val="21"/>
                <w:szCs w:val="21"/>
              </w:rPr>
            </w:pPr>
            <w:r>
              <w:rPr>
                <w:rFonts w:hint="eastAsia"/>
                <w:color w:val="auto"/>
                <w:sz w:val="21"/>
                <w:szCs w:val="21"/>
              </w:rPr>
              <w:t>——</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出水整流栅</w:t>
            </w:r>
          </w:p>
        </w:tc>
        <w:tc>
          <w:tcPr>
            <w:tcW w:w="2409" w:type="dxa"/>
            <w:vAlign w:val="center"/>
          </w:tcPr>
          <w:p>
            <w:pPr>
              <w:adjustRightInd w:val="0"/>
              <w:snapToGrid w:val="0"/>
              <w:jc w:val="center"/>
              <w:rPr>
                <w:color w:val="auto"/>
                <w:sz w:val="21"/>
                <w:szCs w:val="21"/>
              </w:rPr>
            </w:pPr>
            <w:r>
              <w:rPr>
                <w:rFonts w:hint="eastAsia"/>
                <w:color w:val="auto"/>
                <w:sz w:val="21"/>
                <w:szCs w:val="21"/>
              </w:rPr>
              <w:t>支架和连接件为SS304，栅条为PVC</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生物滤料</w:t>
            </w:r>
          </w:p>
        </w:tc>
        <w:tc>
          <w:tcPr>
            <w:tcW w:w="2409" w:type="dxa"/>
            <w:vAlign w:val="center"/>
          </w:tcPr>
          <w:p>
            <w:pPr>
              <w:adjustRightInd w:val="0"/>
              <w:snapToGrid w:val="0"/>
              <w:jc w:val="center"/>
              <w:rPr>
                <w:color w:val="auto"/>
                <w:sz w:val="21"/>
                <w:szCs w:val="21"/>
              </w:rPr>
            </w:pPr>
            <w:r>
              <w:rPr>
                <w:rFonts w:hint="eastAsia"/>
                <w:color w:val="auto"/>
                <w:sz w:val="21"/>
                <w:szCs w:val="21"/>
              </w:rPr>
              <w:t>球形滤料，有效粒径2.7mm</w:t>
            </w:r>
          </w:p>
        </w:tc>
        <w:tc>
          <w:tcPr>
            <w:tcW w:w="709" w:type="dxa"/>
            <w:vAlign w:val="center"/>
          </w:tcPr>
          <w:p>
            <w:pPr>
              <w:adjustRightInd w:val="0"/>
              <w:snapToGrid w:val="0"/>
              <w:jc w:val="center"/>
              <w:rPr>
                <w:color w:val="auto"/>
                <w:sz w:val="21"/>
                <w:szCs w:val="21"/>
              </w:rPr>
            </w:pPr>
            <w:r>
              <w:rPr>
                <w:rFonts w:hint="eastAsia"/>
                <w:color w:val="auto"/>
                <w:sz w:val="21"/>
                <w:szCs w:val="21"/>
              </w:rPr>
              <w:t>450</w:t>
            </w:r>
          </w:p>
        </w:tc>
        <w:tc>
          <w:tcPr>
            <w:tcW w:w="709" w:type="dxa"/>
            <w:vAlign w:val="center"/>
          </w:tcPr>
          <w:p>
            <w:pPr>
              <w:adjustRightInd w:val="0"/>
              <w:snapToGrid w:val="0"/>
              <w:jc w:val="center"/>
              <w:rPr>
                <w:color w:val="auto"/>
                <w:sz w:val="21"/>
                <w:szCs w:val="21"/>
              </w:rPr>
            </w:pPr>
            <w:r>
              <w:rPr>
                <w:rFonts w:hint="eastAsia"/>
                <w:color w:val="auto"/>
                <w:sz w:val="21"/>
                <w:szCs w:val="21"/>
              </w:rPr>
              <w:t>m³</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垫层</w:t>
            </w:r>
          </w:p>
        </w:tc>
        <w:tc>
          <w:tcPr>
            <w:tcW w:w="2409" w:type="dxa"/>
            <w:vAlign w:val="center"/>
          </w:tcPr>
          <w:p>
            <w:pPr>
              <w:adjustRightInd w:val="0"/>
              <w:snapToGrid w:val="0"/>
              <w:jc w:val="center"/>
              <w:rPr>
                <w:color w:val="auto"/>
                <w:sz w:val="21"/>
                <w:szCs w:val="21"/>
              </w:rPr>
            </w:pPr>
            <w:r>
              <w:rPr>
                <w:rFonts w:hint="eastAsia"/>
                <w:color w:val="auto"/>
                <w:sz w:val="21"/>
                <w:szCs w:val="21"/>
              </w:rPr>
              <w:t>——</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曝气罗茨风机（含手动蝶阀和压力表）</w:t>
            </w:r>
          </w:p>
        </w:tc>
        <w:tc>
          <w:tcPr>
            <w:tcW w:w="2409" w:type="dxa"/>
            <w:vAlign w:val="center"/>
          </w:tcPr>
          <w:p>
            <w:pPr>
              <w:adjustRightInd w:val="0"/>
              <w:snapToGrid w:val="0"/>
              <w:jc w:val="center"/>
              <w:rPr>
                <w:color w:val="auto"/>
                <w:sz w:val="21"/>
                <w:szCs w:val="21"/>
              </w:rPr>
            </w:pPr>
            <w:r>
              <w:rPr>
                <w:rFonts w:hint="eastAsia"/>
                <w:color w:val="auto"/>
                <w:sz w:val="21"/>
                <w:szCs w:val="21"/>
              </w:rPr>
              <w:t>380Nm</w:t>
            </w:r>
            <w:r>
              <w:rPr>
                <w:rFonts w:hint="eastAsia"/>
                <w:color w:val="auto"/>
                <w:sz w:val="21"/>
                <w:szCs w:val="21"/>
                <w:vertAlign w:val="superscript"/>
              </w:rPr>
              <w:t>3</w:t>
            </w:r>
            <w:r>
              <w:rPr>
                <w:rFonts w:hint="eastAsia"/>
                <w:color w:val="auto"/>
                <w:sz w:val="21"/>
                <w:szCs w:val="21"/>
              </w:rPr>
              <w:t>/h,850mbar,N=18.5kW，变频</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曝气头</w:t>
            </w:r>
          </w:p>
        </w:tc>
        <w:tc>
          <w:tcPr>
            <w:tcW w:w="2409" w:type="dxa"/>
            <w:vAlign w:val="center"/>
          </w:tcPr>
          <w:p>
            <w:pPr>
              <w:adjustRightInd w:val="0"/>
              <w:snapToGrid w:val="0"/>
              <w:jc w:val="center"/>
              <w:rPr>
                <w:color w:val="auto"/>
                <w:sz w:val="21"/>
                <w:szCs w:val="21"/>
              </w:rPr>
            </w:pPr>
            <w:r>
              <w:rPr>
                <w:rFonts w:hint="eastAsia"/>
                <w:color w:val="auto"/>
                <w:sz w:val="21"/>
                <w:szCs w:val="21"/>
              </w:rPr>
              <w:t>材质PP</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滤池放空阀</w:t>
            </w:r>
          </w:p>
        </w:tc>
        <w:tc>
          <w:tcPr>
            <w:tcW w:w="2409" w:type="dxa"/>
            <w:vAlign w:val="center"/>
          </w:tcPr>
          <w:p>
            <w:pPr>
              <w:adjustRightInd w:val="0"/>
              <w:snapToGrid w:val="0"/>
              <w:jc w:val="center"/>
              <w:rPr>
                <w:color w:val="auto"/>
                <w:sz w:val="21"/>
                <w:szCs w:val="21"/>
              </w:rPr>
            </w:pPr>
            <w:r>
              <w:rPr>
                <w:rFonts w:hint="eastAsia"/>
                <w:color w:val="auto"/>
                <w:sz w:val="21"/>
                <w:szCs w:val="21"/>
              </w:rPr>
              <w:t>DN100,PN10,手动闸阀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栅渣排放阀</w:t>
            </w:r>
          </w:p>
        </w:tc>
        <w:tc>
          <w:tcPr>
            <w:tcW w:w="2409" w:type="dxa"/>
            <w:vAlign w:val="center"/>
          </w:tcPr>
          <w:p>
            <w:pPr>
              <w:adjustRightInd w:val="0"/>
              <w:snapToGrid w:val="0"/>
              <w:jc w:val="center"/>
              <w:rPr>
                <w:color w:val="auto"/>
                <w:sz w:val="21"/>
                <w:szCs w:val="21"/>
              </w:rPr>
            </w:pPr>
            <w:r>
              <w:rPr>
                <w:rFonts w:hint="eastAsia"/>
                <w:color w:val="auto"/>
                <w:sz w:val="21"/>
                <w:szCs w:val="21"/>
              </w:rPr>
              <w:t>DN80,PN10,手动闸阀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人孔</w:t>
            </w:r>
          </w:p>
        </w:tc>
        <w:tc>
          <w:tcPr>
            <w:tcW w:w="2409" w:type="dxa"/>
            <w:vAlign w:val="center"/>
          </w:tcPr>
          <w:p>
            <w:pPr>
              <w:adjustRightInd w:val="0"/>
              <w:snapToGrid w:val="0"/>
              <w:jc w:val="center"/>
              <w:rPr>
                <w:color w:val="auto"/>
                <w:sz w:val="21"/>
                <w:szCs w:val="21"/>
              </w:rPr>
            </w:pPr>
            <w:r>
              <w:rPr>
                <w:rFonts w:hint="eastAsia"/>
                <w:color w:val="auto"/>
                <w:sz w:val="21"/>
                <w:szCs w:val="21"/>
              </w:rPr>
              <w:t>DN600</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曝气头冲洗管隔离阀</w:t>
            </w:r>
          </w:p>
        </w:tc>
        <w:tc>
          <w:tcPr>
            <w:tcW w:w="2409" w:type="dxa"/>
            <w:vAlign w:val="center"/>
          </w:tcPr>
          <w:p>
            <w:pPr>
              <w:adjustRightInd w:val="0"/>
              <w:snapToGrid w:val="0"/>
              <w:jc w:val="center"/>
              <w:rPr>
                <w:color w:val="auto"/>
                <w:sz w:val="21"/>
                <w:szCs w:val="21"/>
              </w:rPr>
            </w:pPr>
            <w:r>
              <w:rPr>
                <w:rFonts w:hint="eastAsia"/>
                <w:color w:val="auto"/>
                <w:sz w:val="21"/>
                <w:szCs w:val="21"/>
              </w:rPr>
              <w:t>DN200,PN10,手动闸阀</w:t>
            </w:r>
          </w:p>
        </w:tc>
        <w:tc>
          <w:tcPr>
            <w:tcW w:w="709" w:type="dxa"/>
            <w:vAlign w:val="center"/>
          </w:tcPr>
          <w:p>
            <w:pPr>
              <w:adjustRightInd w:val="0"/>
              <w:snapToGrid w:val="0"/>
              <w:jc w:val="center"/>
              <w:rPr>
                <w:color w:val="auto"/>
                <w:sz w:val="21"/>
                <w:szCs w:val="21"/>
              </w:rPr>
            </w:pPr>
            <w:r>
              <w:rPr>
                <w:rFonts w:hint="eastAsia"/>
                <w:color w:val="auto"/>
                <w:sz w:val="21"/>
                <w:szCs w:val="21"/>
              </w:rPr>
              <w:t>4</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int="eastAsia"/>
                <w:color w:val="auto"/>
                <w:sz w:val="21"/>
                <w:szCs w:val="21"/>
              </w:rPr>
              <w:t>辅助用房</w:t>
            </w:r>
          </w:p>
        </w:tc>
        <w:tc>
          <w:tcPr>
            <w:tcW w:w="2167" w:type="dxa"/>
            <w:vAlign w:val="center"/>
          </w:tcPr>
          <w:p>
            <w:pPr>
              <w:adjustRightInd w:val="0"/>
              <w:snapToGrid w:val="0"/>
              <w:jc w:val="center"/>
              <w:rPr>
                <w:color w:val="auto"/>
                <w:sz w:val="21"/>
                <w:szCs w:val="21"/>
              </w:rPr>
            </w:pPr>
            <w:r>
              <w:rPr>
                <w:rFonts w:hint="eastAsia"/>
                <w:color w:val="auto"/>
                <w:sz w:val="21"/>
                <w:szCs w:val="21"/>
              </w:rPr>
              <w:t>反冲洗罗茨风机（含手动蝶阀和压力表）</w:t>
            </w:r>
          </w:p>
        </w:tc>
        <w:tc>
          <w:tcPr>
            <w:tcW w:w="2409" w:type="dxa"/>
            <w:vAlign w:val="center"/>
          </w:tcPr>
          <w:p>
            <w:pPr>
              <w:adjustRightInd w:val="0"/>
              <w:snapToGrid w:val="0"/>
              <w:jc w:val="center"/>
              <w:rPr>
                <w:color w:val="auto"/>
                <w:sz w:val="21"/>
                <w:szCs w:val="21"/>
              </w:rPr>
            </w:pPr>
            <w:r>
              <w:rPr>
                <w:rFonts w:hint="eastAsia"/>
                <w:color w:val="auto"/>
                <w:sz w:val="21"/>
                <w:szCs w:val="21"/>
              </w:rPr>
              <w:t>1500Nm</w:t>
            </w:r>
            <w:r>
              <w:rPr>
                <w:rFonts w:hint="eastAsia"/>
                <w:color w:val="auto"/>
                <w:sz w:val="21"/>
                <w:szCs w:val="21"/>
                <w:vertAlign w:val="superscript"/>
              </w:rPr>
              <w:t>3</w:t>
            </w:r>
            <w:r>
              <w:rPr>
                <w:rFonts w:hint="eastAsia"/>
                <w:color w:val="auto"/>
                <w:sz w:val="21"/>
                <w:szCs w:val="21"/>
              </w:rPr>
              <w:t>/h,800mbar,N=55kW，变频</w:t>
            </w:r>
          </w:p>
        </w:tc>
        <w:tc>
          <w:tcPr>
            <w:tcW w:w="709" w:type="dxa"/>
            <w:vAlign w:val="center"/>
          </w:tcPr>
          <w:p>
            <w:pPr>
              <w:adjustRightInd w:val="0"/>
              <w:snapToGrid w:val="0"/>
              <w:jc w:val="center"/>
              <w:rPr>
                <w:color w:val="auto"/>
                <w:sz w:val="21"/>
                <w:szCs w:val="21"/>
              </w:rPr>
            </w:pPr>
            <w:r>
              <w:rPr>
                <w:rFonts w:hint="eastAsia"/>
                <w:color w:val="auto"/>
                <w:sz w:val="21"/>
                <w:szCs w:val="21"/>
              </w:rPr>
              <w:t>3</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曝气头冲洗泵</w:t>
            </w:r>
          </w:p>
        </w:tc>
        <w:tc>
          <w:tcPr>
            <w:tcW w:w="2409" w:type="dxa"/>
            <w:vAlign w:val="center"/>
          </w:tcPr>
          <w:p>
            <w:pPr>
              <w:adjustRightInd w:val="0"/>
              <w:snapToGrid w:val="0"/>
              <w:jc w:val="center"/>
              <w:rPr>
                <w:color w:val="auto"/>
                <w:sz w:val="21"/>
                <w:szCs w:val="21"/>
              </w:rPr>
            </w:pPr>
            <w:r>
              <w:rPr>
                <w:rFonts w:hint="eastAsia"/>
                <w:color w:val="auto"/>
                <w:sz w:val="21"/>
                <w:szCs w:val="21"/>
              </w:rPr>
              <w:t>120m</w:t>
            </w:r>
            <w:r>
              <w:rPr>
                <w:rFonts w:hint="eastAsia"/>
                <w:color w:val="auto"/>
                <w:sz w:val="21"/>
                <w:szCs w:val="21"/>
                <w:vertAlign w:val="superscript"/>
              </w:rPr>
              <w:t>3</w:t>
            </w:r>
            <w:r>
              <w:rPr>
                <w:rFonts w:hint="eastAsia"/>
                <w:color w:val="auto"/>
                <w:sz w:val="21"/>
                <w:szCs w:val="21"/>
              </w:rPr>
              <w:t>/h，H=40m，30kW</w:t>
            </w:r>
          </w:p>
        </w:tc>
        <w:tc>
          <w:tcPr>
            <w:tcW w:w="709" w:type="dxa"/>
            <w:vAlign w:val="center"/>
          </w:tcPr>
          <w:p>
            <w:pPr>
              <w:adjustRightInd w:val="0"/>
              <w:snapToGrid w:val="0"/>
              <w:jc w:val="center"/>
              <w:rPr>
                <w:color w:val="auto"/>
                <w:sz w:val="21"/>
                <w:szCs w:val="21"/>
              </w:rPr>
            </w:pPr>
            <w:r>
              <w:rPr>
                <w:rFonts w:hint="eastAsia"/>
                <w:color w:val="auto"/>
                <w:sz w:val="21"/>
                <w:szCs w:val="21"/>
              </w:rPr>
              <w:t>2</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int="eastAsia"/>
                <w:color w:val="auto"/>
                <w:sz w:val="21"/>
                <w:szCs w:val="21"/>
              </w:rPr>
              <w:t>反冲洗水池</w:t>
            </w:r>
          </w:p>
        </w:tc>
        <w:tc>
          <w:tcPr>
            <w:tcW w:w="2167" w:type="dxa"/>
            <w:vAlign w:val="center"/>
          </w:tcPr>
          <w:p>
            <w:pPr>
              <w:adjustRightInd w:val="0"/>
              <w:snapToGrid w:val="0"/>
              <w:jc w:val="center"/>
              <w:rPr>
                <w:color w:val="auto"/>
                <w:sz w:val="21"/>
                <w:szCs w:val="21"/>
              </w:rPr>
            </w:pPr>
            <w:r>
              <w:rPr>
                <w:rFonts w:hint="eastAsia"/>
                <w:color w:val="auto"/>
                <w:sz w:val="21"/>
                <w:szCs w:val="21"/>
              </w:rPr>
              <w:t>反冲洗水泵</w:t>
            </w:r>
          </w:p>
        </w:tc>
        <w:tc>
          <w:tcPr>
            <w:tcW w:w="2409" w:type="dxa"/>
            <w:vAlign w:val="center"/>
          </w:tcPr>
          <w:p>
            <w:pPr>
              <w:adjustRightInd w:val="0"/>
              <w:snapToGrid w:val="0"/>
              <w:jc w:val="center"/>
              <w:rPr>
                <w:color w:val="auto"/>
                <w:sz w:val="21"/>
                <w:szCs w:val="21"/>
              </w:rPr>
            </w:pPr>
            <w:r>
              <w:rPr>
                <w:rFonts w:hint="eastAsia"/>
                <w:color w:val="auto"/>
                <w:sz w:val="21"/>
                <w:szCs w:val="21"/>
              </w:rPr>
              <w:t>卧式离心泵Q=300m</w:t>
            </w:r>
            <w:r>
              <w:rPr>
                <w:rFonts w:hint="eastAsia"/>
                <w:color w:val="auto"/>
                <w:sz w:val="21"/>
                <w:szCs w:val="21"/>
                <w:vertAlign w:val="superscript"/>
              </w:rPr>
              <w:t>3</w:t>
            </w:r>
            <w:r>
              <w:rPr>
                <w:rFonts w:hint="eastAsia"/>
                <w:color w:val="auto"/>
                <w:sz w:val="21"/>
                <w:szCs w:val="21"/>
              </w:rPr>
              <w:t>/h,H=12m,N=18.5kW，变频</w:t>
            </w:r>
          </w:p>
        </w:tc>
        <w:tc>
          <w:tcPr>
            <w:tcW w:w="709" w:type="dxa"/>
            <w:vAlign w:val="center"/>
          </w:tcPr>
          <w:p>
            <w:pPr>
              <w:adjustRightInd w:val="0"/>
              <w:snapToGrid w:val="0"/>
              <w:jc w:val="center"/>
              <w:rPr>
                <w:color w:val="auto"/>
                <w:sz w:val="21"/>
                <w:szCs w:val="21"/>
              </w:rPr>
            </w:pPr>
            <w:r>
              <w:rPr>
                <w:rFonts w:hint="eastAsia"/>
                <w:color w:val="auto"/>
                <w:sz w:val="21"/>
                <w:szCs w:val="21"/>
              </w:rPr>
              <w:t>3</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排污泵</w:t>
            </w:r>
          </w:p>
        </w:tc>
        <w:tc>
          <w:tcPr>
            <w:tcW w:w="2409" w:type="dxa"/>
            <w:vAlign w:val="center"/>
          </w:tcPr>
          <w:p>
            <w:pPr>
              <w:adjustRightInd w:val="0"/>
              <w:snapToGrid w:val="0"/>
              <w:jc w:val="center"/>
              <w:rPr>
                <w:color w:val="auto"/>
                <w:sz w:val="21"/>
                <w:szCs w:val="21"/>
              </w:rPr>
            </w:pPr>
            <w:r>
              <w:rPr>
                <w:rFonts w:hint="eastAsia"/>
                <w:color w:val="auto"/>
                <w:sz w:val="21"/>
                <w:szCs w:val="21"/>
              </w:rPr>
              <w:t>Q=10m</w:t>
            </w:r>
            <w:r>
              <w:rPr>
                <w:rFonts w:hint="eastAsia"/>
                <w:color w:val="auto"/>
                <w:sz w:val="21"/>
                <w:szCs w:val="21"/>
                <w:vertAlign w:val="superscript"/>
              </w:rPr>
              <w:t>3</w:t>
            </w:r>
            <w:r>
              <w:rPr>
                <w:rFonts w:hint="eastAsia"/>
                <w:color w:val="auto"/>
                <w:sz w:val="21"/>
                <w:szCs w:val="21"/>
              </w:rPr>
              <w:t>/h，H=10m，N=1.5kW</w:t>
            </w:r>
          </w:p>
        </w:tc>
        <w:tc>
          <w:tcPr>
            <w:tcW w:w="709" w:type="dxa"/>
            <w:vAlign w:val="center"/>
          </w:tcPr>
          <w:p>
            <w:pPr>
              <w:adjustRightInd w:val="0"/>
              <w:snapToGrid w:val="0"/>
              <w:jc w:val="center"/>
              <w:rPr>
                <w:color w:val="auto"/>
                <w:sz w:val="21"/>
                <w:szCs w:val="21"/>
              </w:rPr>
            </w:pPr>
            <w:r>
              <w:rPr>
                <w:rFonts w:hint="eastAsia"/>
                <w:color w:val="auto"/>
                <w:sz w:val="21"/>
                <w:szCs w:val="21"/>
              </w:rPr>
              <w:t>2</w:t>
            </w:r>
          </w:p>
        </w:tc>
        <w:tc>
          <w:tcPr>
            <w:tcW w:w="709" w:type="dxa"/>
            <w:vAlign w:val="center"/>
          </w:tcPr>
          <w:p>
            <w:pPr>
              <w:adjustRightInd w:val="0"/>
              <w:snapToGrid w:val="0"/>
              <w:jc w:val="center"/>
              <w:rPr>
                <w:color w:val="auto"/>
                <w:sz w:val="21"/>
                <w:szCs w:val="21"/>
              </w:rPr>
            </w:pPr>
            <w:r>
              <w:rPr>
                <w:rFonts w:hint="eastAsia"/>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adjustRightInd w:val="0"/>
              <w:snapToGrid w:val="0"/>
              <w:jc w:val="center"/>
              <w:rPr>
                <w:color w:val="auto"/>
                <w:sz w:val="21"/>
                <w:szCs w:val="21"/>
              </w:rPr>
            </w:pPr>
            <w:r>
              <w:rPr>
                <w:rFonts w:hint="eastAsia"/>
                <w:color w:val="auto"/>
                <w:sz w:val="21"/>
                <w:szCs w:val="21"/>
              </w:rPr>
              <w:t>电动葫芦</w:t>
            </w:r>
          </w:p>
        </w:tc>
        <w:tc>
          <w:tcPr>
            <w:tcW w:w="2409" w:type="dxa"/>
            <w:vAlign w:val="center"/>
          </w:tcPr>
          <w:p>
            <w:pPr>
              <w:adjustRightInd w:val="0"/>
              <w:snapToGrid w:val="0"/>
              <w:jc w:val="center"/>
              <w:rPr>
                <w:color w:val="auto"/>
                <w:sz w:val="21"/>
                <w:szCs w:val="21"/>
              </w:rPr>
            </w:pPr>
            <w:r>
              <w:rPr>
                <w:rFonts w:hint="eastAsia"/>
                <w:color w:val="auto"/>
                <w:sz w:val="21"/>
                <w:szCs w:val="21"/>
              </w:rPr>
              <w:t>起吊重量1t，起升高度H＝12m，N＝3.7kW</w:t>
            </w:r>
          </w:p>
        </w:tc>
        <w:tc>
          <w:tcPr>
            <w:tcW w:w="709" w:type="dxa"/>
            <w:vAlign w:val="center"/>
          </w:tcPr>
          <w:p>
            <w:pPr>
              <w:adjustRightInd w:val="0"/>
              <w:snapToGrid w:val="0"/>
              <w:jc w:val="center"/>
              <w:rPr>
                <w:color w:val="auto"/>
                <w:sz w:val="21"/>
                <w:szCs w:val="21"/>
              </w:rPr>
            </w:pPr>
            <w:r>
              <w:rPr>
                <w:rFonts w:hint="eastAsia"/>
                <w:color w:val="auto"/>
                <w:sz w:val="21"/>
                <w:szCs w:val="21"/>
              </w:rPr>
              <w:t>1</w:t>
            </w:r>
          </w:p>
        </w:tc>
        <w:tc>
          <w:tcPr>
            <w:tcW w:w="709" w:type="dxa"/>
            <w:vAlign w:val="center"/>
          </w:tcPr>
          <w:p>
            <w:pPr>
              <w:adjustRightInd w:val="0"/>
              <w:snapToGrid w:val="0"/>
              <w:jc w:val="center"/>
              <w:rPr>
                <w:color w:val="auto"/>
                <w:sz w:val="21"/>
                <w:szCs w:val="21"/>
              </w:rPr>
            </w:pPr>
            <w:r>
              <w:rPr>
                <w:rFonts w:hint="eastAsia"/>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高效沉淀池、滤池、消毒接触池及中水回用泵房</w:t>
            </w:r>
          </w:p>
        </w:tc>
        <w:tc>
          <w:tcPr>
            <w:tcW w:w="2167" w:type="dxa"/>
            <w:vAlign w:val="center"/>
          </w:tcPr>
          <w:p>
            <w:pPr>
              <w:jc w:val="center"/>
              <w:rPr>
                <w:color w:val="auto"/>
                <w:sz w:val="21"/>
                <w:szCs w:val="21"/>
              </w:rPr>
            </w:pPr>
            <w:r>
              <w:rPr>
                <w:rFonts w:hAnsi="宋体"/>
                <w:color w:val="auto"/>
                <w:sz w:val="21"/>
                <w:szCs w:val="21"/>
              </w:rPr>
              <w:t>潜水轴流泵</w:t>
            </w:r>
          </w:p>
        </w:tc>
        <w:tc>
          <w:tcPr>
            <w:tcW w:w="2409" w:type="dxa"/>
            <w:vAlign w:val="center"/>
          </w:tcPr>
          <w:p>
            <w:pPr>
              <w:jc w:val="center"/>
              <w:rPr>
                <w:color w:val="auto"/>
                <w:sz w:val="21"/>
                <w:szCs w:val="21"/>
              </w:rPr>
            </w:pPr>
            <w:r>
              <w:rPr>
                <w:color w:val="auto"/>
                <w:sz w:val="21"/>
                <w:szCs w:val="21"/>
              </w:rPr>
              <w:t>Q=330m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H=5.55m~6.95m</w:t>
            </w:r>
            <w:r>
              <w:rPr>
                <w:rFonts w:hAnsi="宋体"/>
                <w:color w:val="auto"/>
                <w:sz w:val="21"/>
                <w:szCs w:val="21"/>
              </w:rPr>
              <w:t>，</w:t>
            </w:r>
            <w:r>
              <w:rPr>
                <w:color w:val="auto"/>
                <w:sz w:val="21"/>
                <w:szCs w:val="21"/>
              </w:rPr>
              <w:t>N=7.5kW</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近</w:t>
            </w:r>
            <w:r>
              <w:rPr>
                <w:color w:val="auto"/>
                <w:sz w:val="21"/>
                <w:szCs w:val="21"/>
              </w:rPr>
              <w:t>2</w:t>
            </w:r>
            <w:r>
              <w:rPr>
                <w:rFonts w:hAnsi="宋体"/>
                <w:color w:val="auto"/>
                <w:sz w:val="21"/>
                <w:szCs w:val="21"/>
              </w:rPr>
              <w:t>用</w:t>
            </w:r>
            <w:r>
              <w:rPr>
                <w:color w:val="auto"/>
                <w:sz w:val="21"/>
                <w:szCs w:val="21"/>
              </w:rPr>
              <w:t>1</w:t>
            </w:r>
            <w:r>
              <w:rPr>
                <w:rFonts w:hAnsi="宋体"/>
                <w:color w:val="auto"/>
                <w:sz w:val="21"/>
                <w:szCs w:val="21"/>
              </w:rPr>
              <w:t>备，</w:t>
            </w:r>
            <w:r>
              <w:rPr>
                <w:color w:val="auto"/>
                <w:sz w:val="21"/>
                <w:szCs w:val="21"/>
              </w:rPr>
              <w:t>3</w:t>
            </w:r>
            <w:r>
              <w:rPr>
                <w:rFonts w:hAnsi="宋体"/>
                <w:color w:val="auto"/>
                <w:sz w:val="21"/>
                <w:szCs w:val="21"/>
              </w:rPr>
              <w:t>台变频，远期</w:t>
            </w:r>
            <w:r>
              <w:rPr>
                <w:color w:val="auto"/>
                <w:sz w:val="21"/>
                <w:szCs w:val="21"/>
              </w:rPr>
              <w:t>4</w:t>
            </w:r>
            <w:r>
              <w:rPr>
                <w:rFonts w:hAnsi="宋体"/>
                <w:color w:val="auto"/>
                <w:sz w:val="21"/>
                <w:szCs w:val="21"/>
              </w:rPr>
              <w:t>用</w:t>
            </w:r>
            <w:r>
              <w:rPr>
                <w:color w:val="auto"/>
                <w:sz w:val="21"/>
                <w:szCs w:val="21"/>
              </w:rPr>
              <w:t>2</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拍门</w:t>
            </w:r>
          </w:p>
        </w:tc>
        <w:tc>
          <w:tcPr>
            <w:tcW w:w="2409" w:type="dxa"/>
            <w:vAlign w:val="center"/>
          </w:tcPr>
          <w:p>
            <w:pPr>
              <w:jc w:val="center"/>
              <w:rPr>
                <w:color w:val="auto"/>
                <w:sz w:val="21"/>
                <w:szCs w:val="21"/>
              </w:rPr>
            </w:pPr>
            <w:r>
              <w:rPr>
                <w:rFonts w:hAnsi="MS Mincho" w:eastAsia="MS Mincho"/>
                <w:color w:val="auto"/>
                <w:sz w:val="21"/>
                <w:szCs w:val="21"/>
              </w:rPr>
              <w:t>∅</w:t>
            </w:r>
            <w:r>
              <w:rPr>
                <w:color w:val="auto"/>
                <w:sz w:val="21"/>
                <w:szCs w:val="21"/>
              </w:rPr>
              <w:t>500</w:t>
            </w:r>
          </w:p>
        </w:tc>
        <w:tc>
          <w:tcPr>
            <w:tcW w:w="709" w:type="dxa"/>
            <w:vAlign w:val="center"/>
          </w:tcPr>
          <w:p>
            <w:pPr>
              <w:jc w:val="center"/>
              <w:rPr>
                <w:color w:val="auto"/>
                <w:sz w:val="21"/>
                <w:szCs w:val="21"/>
              </w:rPr>
            </w:pPr>
            <w:r>
              <w:rPr>
                <w:color w:val="auto"/>
                <w:sz w:val="21"/>
                <w:szCs w:val="21"/>
              </w:rPr>
              <w:t>6</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手电两用铸铁镶铜圆闸门</w:t>
            </w:r>
          </w:p>
        </w:tc>
        <w:tc>
          <w:tcPr>
            <w:tcW w:w="2409" w:type="dxa"/>
            <w:vAlign w:val="center"/>
          </w:tcPr>
          <w:p>
            <w:pPr>
              <w:jc w:val="center"/>
              <w:rPr>
                <w:color w:val="auto"/>
                <w:sz w:val="21"/>
                <w:szCs w:val="21"/>
              </w:rPr>
            </w:pPr>
            <w:r>
              <w:rPr>
                <w:color w:val="auto"/>
                <w:sz w:val="21"/>
                <w:szCs w:val="21"/>
              </w:rPr>
              <w:t>DN1000</w:t>
            </w:r>
            <w:r>
              <w:rPr>
                <w:rFonts w:hAnsi="宋体"/>
                <w:color w:val="auto"/>
                <w:sz w:val="21"/>
                <w:szCs w:val="21"/>
              </w:rPr>
              <w:t>，</w:t>
            </w:r>
            <w:r>
              <w:rPr>
                <w:color w:val="auto"/>
                <w:sz w:val="21"/>
                <w:szCs w:val="21"/>
              </w:rPr>
              <w:t>N=1.1kW</w:t>
            </w:r>
            <w:r>
              <w:rPr>
                <w:rFonts w:hAnsi="宋体"/>
                <w:color w:val="auto"/>
                <w:sz w:val="21"/>
                <w:szCs w:val="21"/>
              </w:rPr>
              <w:t>，孔中心距平台</w:t>
            </w:r>
            <w:r>
              <w:rPr>
                <w:color w:val="auto"/>
                <w:sz w:val="21"/>
                <w:szCs w:val="21"/>
              </w:rPr>
              <w:t>3.70m</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闸门中心距顶板距离</w:t>
            </w:r>
            <w:r>
              <w:rPr>
                <w:color w:val="auto"/>
                <w:sz w:val="21"/>
                <w:szCs w:val="21"/>
              </w:rPr>
              <w:t>H=3700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电动葫芦</w:t>
            </w:r>
          </w:p>
        </w:tc>
        <w:tc>
          <w:tcPr>
            <w:tcW w:w="2409" w:type="dxa"/>
            <w:vAlign w:val="center"/>
          </w:tcPr>
          <w:p>
            <w:pPr>
              <w:jc w:val="center"/>
              <w:rPr>
                <w:color w:val="auto"/>
                <w:sz w:val="21"/>
                <w:szCs w:val="21"/>
              </w:rPr>
            </w:pPr>
            <w:r>
              <w:rPr>
                <w:rFonts w:hAnsi="宋体"/>
                <w:color w:val="auto"/>
                <w:sz w:val="21"/>
                <w:szCs w:val="21"/>
              </w:rPr>
              <w:t>起吊重量</w:t>
            </w:r>
            <w:r>
              <w:rPr>
                <w:color w:val="auto"/>
                <w:sz w:val="21"/>
                <w:szCs w:val="21"/>
              </w:rPr>
              <w:t>1.0t,</w:t>
            </w:r>
            <w:r>
              <w:rPr>
                <w:rFonts w:hAnsi="宋体"/>
                <w:color w:val="auto"/>
                <w:sz w:val="21"/>
                <w:szCs w:val="21"/>
              </w:rPr>
              <w:t>起升高度</w:t>
            </w:r>
            <w:r>
              <w:rPr>
                <w:color w:val="auto"/>
                <w:sz w:val="21"/>
                <w:szCs w:val="21"/>
              </w:rPr>
              <w:t>12.0m</w:t>
            </w:r>
            <w:r>
              <w:rPr>
                <w:rFonts w:hAnsi="宋体"/>
                <w:color w:val="auto"/>
                <w:sz w:val="21"/>
                <w:szCs w:val="21"/>
              </w:rPr>
              <w:t>，</w:t>
            </w:r>
            <w:r>
              <w:rPr>
                <w:color w:val="auto"/>
                <w:sz w:val="21"/>
                <w:szCs w:val="21"/>
              </w:rPr>
              <w:t>N=1.5+0.2kW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含工字钢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手电两用调节堰门</w:t>
            </w:r>
          </w:p>
        </w:tc>
        <w:tc>
          <w:tcPr>
            <w:tcW w:w="2409" w:type="dxa"/>
            <w:vAlign w:val="center"/>
          </w:tcPr>
          <w:p>
            <w:pPr>
              <w:jc w:val="center"/>
              <w:rPr>
                <w:color w:val="auto"/>
                <w:sz w:val="21"/>
                <w:szCs w:val="21"/>
              </w:rPr>
            </w:pPr>
            <w:r>
              <w:rPr>
                <w:color w:val="auto"/>
                <w:sz w:val="21"/>
                <w:szCs w:val="21"/>
              </w:rPr>
              <w:t>B×H=2000×500mm</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高效沉淀池进水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快混搅拌器</w:t>
            </w:r>
          </w:p>
        </w:tc>
        <w:tc>
          <w:tcPr>
            <w:tcW w:w="2409" w:type="dxa"/>
            <w:vAlign w:val="center"/>
          </w:tcPr>
          <w:p>
            <w:pPr>
              <w:jc w:val="center"/>
              <w:rPr>
                <w:color w:val="auto"/>
                <w:sz w:val="21"/>
                <w:szCs w:val="21"/>
              </w:rPr>
            </w:pPr>
            <w:r>
              <w:rPr>
                <w:color w:val="auto"/>
                <w:sz w:val="21"/>
                <w:szCs w:val="21"/>
              </w:rPr>
              <w:t>N=5.5kw</w:t>
            </w:r>
            <w:r>
              <w:rPr>
                <w:rFonts w:hAnsi="宋体"/>
                <w:color w:val="auto"/>
                <w:sz w:val="21"/>
                <w:szCs w:val="21"/>
              </w:rPr>
              <w:t>，轴、叶轮采用镍氏合金，三叶式</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变频，由设备集成商根据性能确定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絮凝搅拌器</w:t>
            </w:r>
          </w:p>
        </w:tc>
        <w:tc>
          <w:tcPr>
            <w:tcW w:w="2409" w:type="dxa"/>
            <w:vAlign w:val="center"/>
          </w:tcPr>
          <w:p>
            <w:pPr>
              <w:jc w:val="center"/>
              <w:rPr>
                <w:color w:val="auto"/>
                <w:sz w:val="21"/>
                <w:szCs w:val="21"/>
              </w:rPr>
            </w:pPr>
            <w:r>
              <w:rPr>
                <w:color w:val="auto"/>
                <w:sz w:val="21"/>
                <w:szCs w:val="21"/>
              </w:rPr>
              <w:t>N=7.5kw</w:t>
            </w:r>
            <w:r>
              <w:rPr>
                <w:rFonts w:hAnsi="宋体"/>
                <w:color w:val="auto"/>
                <w:sz w:val="21"/>
                <w:szCs w:val="21"/>
              </w:rPr>
              <w:t>，轴、叶轮采用镍氏合金，三叶式</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变频，提升量和混合比由设备集成商根据性能确定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导流筒</w:t>
            </w:r>
          </w:p>
        </w:tc>
        <w:tc>
          <w:tcPr>
            <w:tcW w:w="2409" w:type="dxa"/>
            <w:vAlign w:val="center"/>
          </w:tcPr>
          <w:p>
            <w:pPr>
              <w:jc w:val="center"/>
              <w:rPr>
                <w:color w:val="auto"/>
                <w:sz w:val="21"/>
                <w:szCs w:val="21"/>
              </w:rPr>
            </w:pPr>
            <w:r>
              <w:rPr>
                <w:color w:val="auto"/>
                <w:sz w:val="21"/>
                <w:szCs w:val="21"/>
              </w:rPr>
              <w:t>D=2500mm</w:t>
            </w:r>
            <w:r>
              <w:rPr>
                <w:rFonts w:hAnsi="宋体"/>
                <w:color w:val="auto"/>
                <w:sz w:val="21"/>
                <w:szCs w:val="21"/>
              </w:rPr>
              <w:t>，</w:t>
            </w:r>
            <w:r>
              <w:rPr>
                <w:color w:val="auto"/>
                <w:sz w:val="21"/>
                <w:szCs w:val="21"/>
              </w:rPr>
              <w:t>5mm</w:t>
            </w:r>
            <w:r>
              <w:rPr>
                <w:rFonts w:hAnsi="宋体"/>
                <w:color w:val="auto"/>
                <w:sz w:val="21"/>
                <w:szCs w:val="21"/>
              </w:rPr>
              <w:t>，不锈钢</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由絮凝搅拌器厂家配套提供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导流板</w:t>
            </w:r>
          </w:p>
        </w:tc>
        <w:tc>
          <w:tcPr>
            <w:tcW w:w="2409" w:type="dxa"/>
            <w:vAlign w:val="center"/>
          </w:tcPr>
          <w:p>
            <w:pPr>
              <w:jc w:val="center"/>
              <w:rPr>
                <w:color w:val="auto"/>
                <w:sz w:val="21"/>
                <w:szCs w:val="21"/>
              </w:rPr>
            </w:pPr>
            <w:r>
              <w:rPr>
                <w:color w:val="auto"/>
                <w:sz w:val="21"/>
                <w:szCs w:val="21"/>
              </w:rPr>
              <w:t>5mm</w:t>
            </w:r>
            <w:r>
              <w:rPr>
                <w:rFonts w:hAnsi="宋体"/>
                <w:color w:val="auto"/>
                <w:sz w:val="21"/>
                <w:szCs w:val="21"/>
              </w:rPr>
              <w:t>，不锈钢</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由絮凝搅拌器厂家配套提供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存水泵</w:t>
            </w:r>
          </w:p>
        </w:tc>
        <w:tc>
          <w:tcPr>
            <w:tcW w:w="2409" w:type="dxa"/>
            <w:vAlign w:val="center"/>
          </w:tcPr>
          <w:p>
            <w:pPr>
              <w:jc w:val="center"/>
              <w:rPr>
                <w:color w:val="auto"/>
                <w:sz w:val="21"/>
                <w:szCs w:val="21"/>
              </w:rPr>
            </w:pPr>
            <w:r>
              <w:rPr>
                <w:color w:val="auto"/>
                <w:sz w:val="21"/>
                <w:szCs w:val="21"/>
              </w:rPr>
              <w:t>Q=10m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H=10m</w:t>
            </w:r>
            <w:r>
              <w:rPr>
                <w:rFonts w:hAnsi="宋体"/>
                <w:color w:val="auto"/>
                <w:sz w:val="21"/>
                <w:szCs w:val="21"/>
              </w:rPr>
              <w:t>，</w:t>
            </w:r>
            <w:r>
              <w:rPr>
                <w:color w:val="auto"/>
                <w:sz w:val="21"/>
                <w:szCs w:val="21"/>
              </w:rPr>
              <w:t>N=1.1kW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PAC</w:t>
            </w:r>
            <w:r>
              <w:rPr>
                <w:rFonts w:hAnsi="宋体"/>
                <w:color w:val="auto"/>
                <w:sz w:val="21"/>
                <w:szCs w:val="21"/>
              </w:rPr>
              <w:t>加药环</w:t>
            </w:r>
          </w:p>
        </w:tc>
        <w:tc>
          <w:tcPr>
            <w:tcW w:w="2409" w:type="dxa"/>
            <w:vAlign w:val="center"/>
          </w:tcPr>
          <w:p>
            <w:pPr>
              <w:jc w:val="center"/>
              <w:rPr>
                <w:color w:val="auto"/>
                <w:sz w:val="21"/>
                <w:szCs w:val="21"/>
              </w:rPr>
            </w:pPr>
            <w:r>
              <w:rPr>
                <w:color w:val="auto"/>
                <w:sz w:val="21"/>
                <w:szCs w:val="21"/>
              </w:rPr>
              <w:t>ABS</w:t>
            </w:r>
            <w:r>
              <w:rPr>
                <w:rFonts w:hAnsi="宋体"/>
                <w:color w:val="auto"/>
                <w:sz w:val="21"/>
                <w:szCs w:val="21"/>
              </w:rPr>
              <w:t>，环状</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PAM</w:t>
            </w:r>
            <w:r>
              <w:rPr>
                <w:rFonts w:hAnsi="宋体"/>
                <w:color w:val="auto"/>
                <w:sz w:val="21"/>
                <w:szCs w:val="21"/>
              </w:rPr>
              <w:t>加药环</w:t>
            </w:r>
          </w:p>
        </w:tc>
        <w:tc>
          <w:tcPr>
            <w:tcW w:w="2409" w:type="dxa"/>
            <w:vAlign w:val="center"/>
          </w:tcPr>
          <w:p>
            <w:pPr>
              <w:jc w:val="center"/>
              <w:rPr>
                <w:color w:val="auto"/>
                <w:sz w:val="21"/>
                <w:szCs w:val="21"/>
              </w:rPr>
            </w:pPr>
            <w:r>
              <w:rPr>
                <w:color w:val="auto"/>
                <w:sz w:val="21"/>
                <w:szCs w:val="21"/>
              </w:rPr>
              <w:t>ABS</w:t>
            </w:r>
            <w:r>
              <w:rPr>
                <w:rFonts w:hAnsi="宋体"/>
                <w:color w:val="auto"/>
                <w:sz w:val="21"/>
                <w:szCs w:val="21"/>
              </w:rPr>
              <w:t>，环状</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中心传动浓缩刮泥机</w:t>
            </w:r>
          </w:p>
        </w:tc>
        <w:tc>
          <w:tcPr>
            <w:tcW w:w="2409" w:type="dxa"/>
            <w:vAlign w:val="center"/>
          </w:tcPr>
          <w:p>
            <w:pPr>
              <w:jc w:val="center"/>
              <w:rPr>
                <w:color w:val="auto"/>
                <w:sz w:val="21"/>
                <w:szCs w:val="21"/>
              </w:rPr>
            </w:pPr>
            <w:r>
              <w:rPr>
                <w:color w:val="auto"/>
                <w:sz w:val="21"/>
                <w:szCs w:val="21"/>
              </w:rPr>
              <w:t>N=1.5kw</w:t>
            </w:r>
            <w:r>
              <w:rPr>
                <w:rFonts w:hAnsi="宋体"/>
                <w:color w:val="auto"/>
                <w:sz w:val="21"/>
                <w:szCs w:val="21"/>
              </w:rPr>
              <w:t>，</w:t>
            </w:r>
            <w:r>
              <w:rPr>
                <w:color w:val="auto"/>
                <w:sz w:val="21"/>
                <w:szCs w:val="21"/>
              </w:rPr>
              <w:t>D=10000mm</w:t>
            </w:r>
            <w:r>
              <w:rPr>
                <w:rFonts w:hAnsi="宋体"/>
                <w:color w:val="auto"/>
                <w:sz w:val="21"/>
                <w:szCs w:val="21"/>
              </w:rPr>
              <w:t>，不锈钢</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斜管及支架</w:t>
            </w:r>
          </w:p>
        </w:tc>
        <w:tc>
          <w:tcPr>
            <w:tcW w:w="2409" w:type="dxa"/>
            <w:vAlign w:val="center"/>
          </w:tcPr>
          <w:p>
            <w:pPr>
              <w:jc w:val="center"/>
              <w:rPr>
                <w:color w:val="auto"/>
                <w:sz w:val="21"/>
                <w:szCs w:val="21"/>
              </w:rPr>
            </w:pPr>
            <w:r>
              <w:rPr>
                <w:rFonts w:hAnsi="宋体"/>
                <w:color w:val="auto"/>
                <w:sz w:val="21"/>
                <w:szCs w:val="21"/>
              </w:rPr>
              <w:t>斜长</w:t>
            </w:r>
            <w:r>
              <w:rPr>
                <w:color w:val="auto"/>
                <w:sz w:val="21"/>
                <w:szCs w:val="21"/>
              </w:rPr>
              <w:t>1500mm</w:t>
            </w:r>
            <w:r>
              <w:rPr>
                <w:rFonts w:hAnsi="宋体"/>
                <w:color w:val="auto"/>
                <w:sz w:val="21"/>
                <w:szCs w:val="21"/>
              </w:rPr>
              <w:t>，六角形斜管，直径</w:t>
            </w:r>
            <w:r>
              <w:rPr>
                <w:color w:val="auto"/>
                <w:sz w:val="21"/>
                <w:szCs w:val="21"/>
              </w:rPr>
              <w:t>80mm</w:t>
            </w:r>
            <w:r>
              <w:rPr>
                <w:rFonts w:hAnsi="宋体"/>
                <w:color w:val="auto"/>
                <w:sz w:val="21"/>
                <w:szCs w:val="21"/>
              </w:rPr>
              <w:t>，倾角</w:t>
            </w:r>
            <w:r>
              <w:rPr>
                <w:color w:val="auto"/>
                <w:sz w:val="21"/>
                <w:szCs w:val="21"/>
              </w:rPr>
              <w:t>60</w:t>
            </w:r>
            <w:r>
              <w:rPr>
                <w:rFonts w:hAnsi="宋体"/>
                <w:color w:val="auto"/>
                <w:sz w:val="21"/>
                <w:szCs w:val="21"/>
              </w:rPr>
              <w:t>，</w:t>
            </w:r>
            <w:r>
              <w:rPr>
                <w:color w:val="auto"/>
                <w:sz w:val="21"/>
                <w:szCs w:val="21"/>
              </w:rPr>
              <w:t>PP</w:t>
            </w:r>
          </w:p>
        </w:tc>
        <w:tc>
          <w:tcPr>
            <w:tcW w:w="709" w:type="dxa"/>
            <w:vAlign w:val="center"/>
          </w:tcPr>
          <w:p>
            <w:pPr>
              <w:jc w:val="center"/>
              <w:rPr>
                <w:color w:val="auto"/>
                <w:sz w:val="21"/>
                <w:szCs w:val="21"/>
              </w:rPr>
            </w:pPr>
            <w:r>
              <w:rPr>
                <w:color w:val="auto"/>
                <w:sz w:val="21"/>
                <w:szCs w:val="21"/>
              </w:rPr>
              <w:t>66</w:t>
            </w:r>
          </w:p>
        </w:tc>
        <w:tc>
          <w:tcPr>
            <w:tcW w:w="709" w:type="dxa"/>
            <w:vAlign w:val="center"/>
          </w:tcPr>
          <w:p>
            <w:pPr>
              <w:jc w:val="center"/>
              <w:rPr>
                <w:color w:val="auto"/>
                <w:sz w:val="21"/>
                <w:szCs w:val="21"/>
              </w:rPr>
            </w:pPr>
            <w:r>
              <w:rPr>
                <w:color w:val="auto"/>
                <w:sz w:val="21"/>
                <w:szCs w:val="21"/>
              </w:rPr>
              <w:t>m</w:t>
            </w:r>
            <w:r>
              <w:rPr>
                <w:color w:val="auto"/>
                <w:sz w:val="21"/>
                <w:szCs w:val="21"/>
                <w:vertAlign w:val="superscript"/>
              </w:rPr>
              <w:t>2</w:t>
            </w:r>
          </w:p>
        </w:tc>
        <w:tc>
          <w:tcPr>
            <w:tcW w:w="1938" w:type="dxa"/>
            <w:vAlign w:val="center"/>
          </w:tcPr>
          <w:p>
            <w:pPr>
              <w:jc w:val="center"/>
              <w:rPr>
                <w:color w:val="auto"/>
                <w:sz w:val="21"/>
                <w:szCs w:val="21"/>
              </w:rPr>
            </w:pPr>
            <w:r>
              <w:rPr>
                <w:rFonts w:hAnsi="宋体"/>
                <w:color w:val="auto"/>
                <w:sz w:val="21"/>
                <w:szCs w:val="21"/>
              </w:rPr>
              <w:t>附不锈钢支架，抗浮绳索，由设备集成商提供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不锈钢出水槽</w:t>
            </w:r>
          </w:p>
        </w:tc>
        <w:tc>
          <w:tcPr>
            <w:tcW w:w="2409" w:type="dxa"/>
            <w:vAlign w:val="center"/>
          </w:tcPr>
          <w:p>
            <w:pPr>
              <w:jc w:val="center"/>
              <w:rPr>
                <w:color w:val="auto"/>
                <w:sz w:val="21"/>
                <w:szCs w:val="21"/>
              </w:rPr>
            </w:pPr>
            <w:r>
              <w:rPr>
                <w:color w:val="auto"/>
                <w:sz w:val="21"/>
                <w:szCs w:val="21"/>
              </w:rPr>
              <w:t>L×B×H=4150×350×300mm</w:t>
            </w:r>
            <w:r>
              <w:rPr>
                <w:rFonts w:hAnsi="宋体"/>
                <w:color w:val="auto"/>
                <w:sz w:val="21"/>
                <w:szCs w:val="21"/>
              </w:rPr>
              <w:t>，厚</w:t>
            </w:r>
            <w:r>
              <w:rPr>
                <w:color w:val="auto"/>
                <w:sz w:val="21"/>
                <w:szCs w:val="21"/>
              </w:rPr>
              <w:t>5mm</w:t>
            </w:r>
          </w:p>
        </w:tc>
        <w:tc>
          <w:tcPr>
            <w:tcW w:w="709" w:type="dxa"/>
            <w:vAlign w:val="center"/>
          </w:tcPr>
          <w:p>
            <w:pPr>
              <w:jc w:val="center"/>
              <w:rPr>
                <w:color w:val="auto"/>
                <w:sz w:val="21"/>
                <w:szCs w:val="21"/>
              </w:rPr>
            </w:pPr>
            <w:r>
              <w:rPr>
                <w:color w:val="auto"/>
                <w:sz w:val="21"/>
                <w:szCs w:val="21"/>
              </w:rPr>
              <w:t>12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附</w:t>
            </w:r>
            <w:r>
              <w:rPr>
                <w:color w:val="auto"/>
                <w:sz w:val="21"/>
                <w:szCs w:val="21"/>
              </w:rPr>
              <w:t>3mm</w:t>
            </w:r>
            <w:r>
              <w:rPr>
                <w:rFonts w:hAnsi="宋体"/>
                <w:color w:val="auto"/>
                <w:sz w:val="21"/>
                <w:szCs w:val="21"/>
              </w:rPr>
              <w:t>丁腈橡胶，由设备集成商提供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不锈钢可调出水堰板</w:t>
            </w:r>
          </w:p>
        </w:tc>
        <w:tc>
          <w:tcPr>
            <w:tcW w:w="2409" w:type="dxa"/>
            <w:vAlign w:val="center"/>
          </w:tcPr>
          <w:p>
            <w:pPr>
              <w:jc w:val="center"/>
              <w:rPr>
                <w:color w:val="auto"/>
                <w:sz w:val="21"/>
                <w:szCs w:val="21"/>
              </w:rPr>
            </w:pPr>
            <w:r>
              <w:rPr>
                <w:color w:val="auto"/>
                <w:sz w:val="21"/>
                <w:szCs w:val="21"/>
              </w:rPr>
              <w:t>L×H=4150×200mm</w:t>
            </w:r>
            <w:r>
              <w:rPr>
                <w:rFonts w:hAnsi="宋体"/>
                <w:color w:val="auto"/>
                <w:sz w:val="21"/>
                <w:szCs w:val="21"/>
              </w:rPr>
              <w:t>，厚</w:t>
            </w:r>
            <w:r>
              <w:rPr>
                <w:color w:val="auto"/>
                <w:sz w:val="21"/>
                <w:szCs w:val="21"/>
              </w:rPr>
              <w:t>4mm</w:t>
            </w:r>
            <w:r>
              <w:rPr>
                <w:rFonts w:hAnsi="宋体"/>
                <w:color w:val="auto"/>
                <w:sz w:val="21"/>
                <w:szCs w:val="21"/>
              </w:rPr>
              <w:t>，附</w:t>
            </w:r>
            <w:r>
              <w:rPr>
                <w:color w:val="auto"/>
                <w:sz w:val="21"/>
                <w:szCs w:val="21"/>
              </w:rPr>
              <w:t>30mm</w:t>
            </w:r>
            <w:r>
              <w:rPr>
                <w:rFonts w:hAnsi="宋体"/>
                <w:color w:val="auto"/>
                <w:sz w:val="21"/>
                <w:szCs w:val="21"/>
              </w:rPr>
              <w:t>调整孔，螺栓等附件</w:t>
            </w:r>
          </w:p>
        </w:tc>
        <w:tc>
          <w:tcPr>
            <w:tcW w:w="709" w:type="dxa"/>
            <w:vAlign w:val="center"/>
          </w:tcPr>
          <w:p>
            <w:pPr>
              <w:jc w:val="center"/>
              <w:rPr>
                <w:color w:val="auto"/>
                <w:sz w:val="21"/>
                <w:szCs w:val="21"/>
              </w:rPr>
            </w:pPr>
            <w:r>
              <w:rPr>
                <w:color w:val="auto"/>
                <w:sz w:val="21"/>
                <w:szCs w:val="21"/>
              </w:rPr>
              <w:t>24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叠梁闸</w:t>
            </w:r>
          </w:p>
        </w:tc>
        <w:tc>
          <w:tcPr>
            <w:tcW w:w="2409" w:type="dxa"/>
            <w:vAlign w:val="center"/>
          </w:tcPr>
          <w:p>
            <w:pPr>
              <w:jc w:val="center"/>
              <w:rPr>
                <w:color w:val="auto"/>
                <w:sz w:val="21"/>
                <w:szCs w:val="21"/>
              </w:rPr>
            </w:pPr>
            <w:r>
              <w:rPr>
                <w:color w:val="auto"/>
                <w:sz w:val="21"/>
                <w:szCs w:val="21"/>
              </w:rPr>
              <w:t>B=1500mm</w:t>
            </w:r>
            <w:r>
              <w:rPr>
                <w:rFonts w:hAnsi="宋体"/>
                <w:color w:val="auto"/>
                <w:sz w:val="21"/>
                <w:szCs w:val="21"/>
              </w:rPr>
              <w:t>，</w:t>
            </w:r>
            <w:r>
              <w:rPr>
                <w:color w:val="auto"/>
                <w:sz w:val="21"/>
                <w:szCs w:val="21"/>
              </w:rPr>
              <w:t>H=2000mm</w:t>
            </w:r>
            <w:r>
              <w:rPr>
                <w:rFonts w:hAnsi="宋体"/>
                <w:color w:val="auto"/>
                <w:sz w:val="21"/>
                <w:szCs w:val="21"/>
              </w:rPr>
              <w:t>，铝合金闸槽</w:t>
            </w:r>
            <w:r>
              <w:rPr>
                <w:color w:val="auto"/>
                <w:sz w:val="21"/>
                <w:szCs w:val="21"/>
              </w:rPr>
              <w:t>2</w:t>
            </w:r>
            <w:r>
              <w:rPr>
                <w:rFonts w:hAnsi="宋体"/>
                <w:color w:val="auto"/>
                <w:sz w:val="21"/>
                <w:szCs w:val="21"/>
              </w:rPr>
              <w:t>套，铝合金板</w:t>
            </w:r>
            <w:r>
              <w:rPr>
                <w:color w:val="auto"/>
                <w:sz w:val="21"/>
                <w:szCs w:val="21"/>
              </w:rPr>
              <w:t>2</w:t>
            </w:r>
            <w:r>
              <w:rPr>
                <w:rFonts w:hAnsi="宋体"/>
                <w:color w:val="auto"/>
                <w:sz w:val="21"/>
                <w:szCs w:val="21"/>
              </w:rPr>
              <w:t>套</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剩余污泥泵</w:t>
            </w:r>
          </w:p>
        </w:tc>
        <w:tc>
          <w:tcPr>
            <w:tcW w:w="2409" w:type="dxa"/>
            <w:vAlign w:val="center"/>
          </w:tcPr>
          <w:p>
            <w:pPr>
              <w:jc w:val="center"/>
              <w:rPr>
                <w:color w:val="auto"/>
                <w:sz w:val="21"/>
                <w:szCs w:val="21"/>
              </w:rPr>
            </w:pPr>
            <w:r>
              <w:rPr>
                <w:color w:val="auto"/>
                <w:sz w:val="21"/>
                <w:szCs w:val="21"/>
              </w:rPr>
              <w:t>Q=25m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H=20m</w:t>
            </w:r>
            <w:r>
              <w:rPr>
                <w:rFonts w:hAnsi="宋体"/>
                <w:color w:val="auto"/>
                <w:sz w:val="21"/>
                <w:szCs w:val="21"/>
              </w:rPr>
              <w:t>，</w:t>
            </w:r>
            <w:r>
              <w:rPr>
                <w:color w:val="auto"/>
                <w:sz w:val="21"/>
                <w:szCs w:val="21"/>
              </w:rPr>
              <w:t>N=5.5kW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近期</w:t>
            </w: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备，远期</w:t>
            </w:r>
            <w:r>
              <w:rPr>
                <w:color w:val="auto"/>
                <w:sz w:val="21"/>
                <w:szCs w:val="21"/>
              </w:rPr>
              <w:t>2</w:t>
            </w:r>
            <w:r>
              <w:rPr>
                <w:rFonts w:hAnsi="宋体"/>
                <w:color w:val="auto"/>
                <w:sz w:val="21"/>
                <w:szCs w:val="21"/>
              </w:rPr>
              <w:t>用</w:t>
            </w:r>
            <w:r>
              <w:rPr>
                <w:color w:val="auto"/>
                <w:sz w:val="21"/>
                <w:szCs w:val="21"/>
              </w:rPr>
              <w:t>1</w:t>
            </w:r>
            <w:r>
              <w:rPr>
                <w:rFonts w:hAnsi="宋体"/>
                <w:color w:val="auto"/>
                <w:sz w:val="21"/>
                <w:szCs w:val="21"/>
              </w:rPr>
              <w:t>备，由设备集成商提供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回流污泥泵</w:t>
            </w:r>
          </w:p>
        </w:tc>
        <w:tc>
          <w:tcPr>
            <w:tcW w:w="2409" w:type="dxa"/>
            <w:vAlign w:val="center"/>
          </w:tcPr>
          <w:p>
            <w:pPr>
              <w:jc w:val="center"/>
              <w:rPr>
                <w:color w:val="auto"/>
                <w:sz w:val="21"/>
                <w:szCs w:val="21"/>
              </w:rPr>
            </w:pPr>
            <w:r>
              <w:rPr>
                <w:color w:val="auto"/>
                <w:sz w:val="21"/>
                <w:szCs w:val="21"/>
              </w:rPr>
              <w:t>Q=25m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H=15m</w:t>
            </w:r>
            <w:r>
              <w:rPr>
                <w:rFonts w:hAnsi="宋体"/>
                <w:color w:val="auto"/>
                <w:sz w:val="21"/>
                <w:szCs w:val="21"/>
              </w:rPr>
              <w:t>，</w:t>
            </w:r>
            <w:r>
              <w:rPr>
                <w:color w:val="auto"/>
                <w:sz w:val="21"/>
                <w:szCs w:val="21"/>
              </w:rPr>
              <w:t>N=5.5kW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变频，近期</w:t>
            </w: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备，远期</w:t>
            </w:r>
            <w:r>
              <w:rPr>
                <w:color w:val="auto"/>
                <w:sz w:val="21"/>
                <w:szCs w:val="21"/>
              </w:rPr>
              <w:t>2</w:t>
            </w:r>
            <w:r>
              <w:rPr>
                <w:rFonts w:hAnsi="宋体"/>
                <w:color w:val="auto"/>
                <w:sz w:val="21"/>
                <w:szCs w:val="21"/>
              </w:rPr>
              <w:t>用</w:t>
            </w:r>
            <w:r>
              <w:rPr>
                <w:color w:val="auto"/>
                <w:sz w:val="21"/>
                <w:szCs w:val="21"/>
              </w:rPr>
              <w:t>1</w:t>
            </w:r>
            <w:r>
              <w:rPr>
                <w:rFonts w:hAnsi="宋体"/>
                <w:color w:val="auto"/>
                <w:sz w:val="21"/>
                <w:szCs w:val="21"/>
              </w:rPr>
              <w:t>备，由设备集成商提供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手电两用铸铁镶铜方闸门</w:t>
            </w:r>
          </w:p>
        </w:tc>
        <w:tc>
          <w:tcPr>
            <w:tcW w:w="2409" w:type="dxa"/>
            <w:vAlign w:val="center"/>
          </w:tcPr>
          <w:p>
            <w:pPr>
              <w:jc w:val="center"/>
              <w:rPr>
                <w:color w:val="auto"/>
                <w:sz w:val="21"/>
                <w:szCs w:val="21"/>
              </w:rPr>
            </w:pPr>
            <w:r>
              <w:rPr>
                <w:color w:val="auto"/>
                <w:sz w:val="21"/>
                <w:szCs w:val="21"/>
              </w:rPr>
              <w:t>B×H=800×800</w:t>
            </w:r>
            <w:r>
              <w:rPr>
                <w:rFonts w:hAnsi="宋体"/>
                <w:color w:val="auto"/>
                <w:sz w:val="21"/>
                <w:szCs w:val="21"/>
              </w:rPr>
              <w:t>，</w:t>
            </w:r>
            <w:r>
              <w:rPr>
                <w:color w:val="auto"/>
                <w:sz w:val="21"/>
                <w:szCs w:val="21"/>
              </w:rPr>
              <w:t>N=1.1kW,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手电两用铸铁镶铜方闸门</w:t>
            </w:r>
          </w:p>
        </w:tc>
        <w:tc>
          <w:tcPr>
            <w:tcW w:w="2409" w:type="dxa"/>
            <w:vAlign w:val="center"/>
          </w:tcPr>
          <w:p>
            <w:pPr>
              <w:jc w:val="center"/>
              <w:rPr>
                <w:color w:val="auto"/>
                <w:sz w:val="21"/>
                <w:szCs w:val="21"/>
              </w:rPr>
            </w:pPr>
            <w:r>
              <w:rPr>
                <w:color w:val="auto"/>
                <w:sz w:val="21"/>
                <w:szCs w:val="21"/>
              </w:rPr>
              <w:t>B×H=800×800</w:t>
            </w:r>
            <w:r>
              <w:rPr>
                <w:rFonts w:hAnsi="宋体"/>
                <w:color w:val="auto"/>
                <w:sz w:val="21"/>
                <w:szCs w:val="21"/>
              </w:rPr>
              <w:t>，</w:t>
            </w:r>
            <w:r>
              <w:rPr>
                <w:color w:val="auto"/>
                <w:sz w:val="21"/>
                <w:szCs w:val="21"/>
              </w:rPr>
              <w:t>N=1.1kW,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超越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手电两用铸铁镶铜方闸门</w:t>
            </w:r>
          </w:p>
        </w:tc>
        <w:tc>
          <w:tcPr>
            <w:tcW w:w="2409" w:type="dxa"/>
            <w:vAlign w:val="center"/>
          </w:tcPr>
          <w:p>
            <w:pPr>
              <w:jc w:val="center"/>
              <w:rPr>
                <w:color w:val="auto"/>
                <w:sz w:val="21"/>
                <w:szCs w:val="21"/>
              </w:rPr>
            </w:pPr>
            <w:r>
              <w:rPr>
                <w:color w:val="auto"/>
                <w:sz w:val="21"/>
                <w:szCs w:val="21"/>
              </w:rPr>
              <w:t>B×H=800×800</w:t>
            </w:r>
            <w:r>
              <w:rPr>
                <w:rFonts w:hAnsi="宋体"/>
                <w:color w:val="auto"/>
                <w:sz w:val="21"/>
                <w:szCs w:val="21"/>
              </w:rPr>
              <w:t>，</w:t>
            </w:r>
            <w:r>
              <w:rPr>
                <w:color w:val="auto"/>
                <w:sz w:val="21"/>
                <w:szCs w:val="21"/>
              </w:rPr>
              <w:t>N=1.1kW,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滤池进水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电动葫芦</w:t>
            </w:r>
          </w:p>
        </w:tc>
        <w:tc>
          <w:tcPr>
            <w:tcW w:w="2409" w:type="dxa"/>
            <w:vAlign w:val="center"/>
          </w:tcPr>
          <w:p>
            <w:pPr>
              <w:jc w:val="center"/>
              <w:rPr>
                <w:color w:val="auto"/>
                <w:sz w:val="21"/>
                <w:szCs w:val="21"/>
              </w:rPr>
            </w:pPr>
            <w:r>
              <w:rPr>
                <w:rFonts w:hAnsi="宋体"/>
                <w:color w:val="auto"/>
                <w:sz w:val="21"/>
                <w:szCs w:val="21"/>
              </w:rPr>
              <w:t>起吊重量</w:t>
            </w:r>
            <w:r>
              <w:rPr>
                <w:color w:val="auto"/>
                <w:sz w:val="21"/>
                <w:szCs w:val="21"/>
              </w:rPr>
              <w:t>1.0t,</w:t>
            </w:r>
            <w:r>
              <w:rPr>
                <w:rFonts w:hAnsi="宋体"/>
                <w:color w:val="auto"/>
                <w:sz w:val="21"/>
                <w:szCs w:val="21"/>
              </w:rPr>
              <w:t>起升高度</w:t>
            </w:r>
            <w:r>
              <w:rPr>
                <w:color w:val="auto"/>
                <w:sz w:val="21"/>
                <w:szCs w:val="21"/>
              </w:rPr>
              <w:t>6.0m</w:t>
            </w:r>
            <w:r>
              <w:rPr>
                <w:rFonts w:hAnsi="宋体"/>
                <w:color w:val="auto"/>
                <w:sz w:val="21"/>
                <w:szCs w:val="21"/>
              </w:rPr>
              <w:t>，</w:t>
            </w:r>
            <w:r>
              <w:rPr>
                <w:color w:val="auto"/>
                <w:sz w:val="21"/>
                <w:szCs w:val="21"/>
              </w:rPr>
              <w:t>N=1.5+0.2kW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含工字钢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存水泵</w:t>
            </w:r>
          </w:p>
        </w:tc>
        <w:tc>
          <w:tcPr>
            <w:tcW w:w="2409" w:type="dxa"/>
            <w:vAlign w:val="center"/>
          </w:tcPr>
          <w:p>
            <w:pPr>
              <w:jc w:val="center"/>
              <w:rPr>
                <w:color w:val="auto"/>
                <w:sz w:val="21"/>
                <w:szCs w:val="21"/>
              </w:rPr>
            </w:pPr>
            <w:r>
              <w:rPr>
                <w:color w:val="auto"/>
                <w:sz w:val="21"/>
                <w:szCs w:val="21"/>
              </w:rPr>
              <w:t>Q=10m/h</w:t>
            </w:r>
            <w:r>
              <w:rPr>
                <w:rFonts w:hAnsi="宋体"/>
                <w:color w:val="auto"/>
                <w:sz w:val="21"/>
                <w:szCs w:val="21"/>
              </w:rPr>
              <w:t>，</w:t>
            </w:r>
            <w:r>
              <w:rPr>
                <w:color w:val="auto"/>
                <w:sz w:val="21"/>
                <w:szCs w:val="21"/>
              </w:rPr>
              <w:t>H=10m</w:t>
            </w:r>
            <w:r>
              <w:rPr>
                <w:rFonts w:hAnsi="宋体"/>
                <w:color w:val="auto"/>
                <w:sz w:val="21"/>
                <w:szCs w:val="21"/>
              </w:rPr>
              <w:t>，</w:t>
            </w:r>
            <w:r>
              <w:rPr>
                <w:color w:val="auto"/>
                <w:sz w:val="21"/>
                <w:szCs w:val="21"/>
              </w:rPr>
              <w:t>N=1.5kW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库备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控制箱</w:t>
            </w:r>
          </w:p>
        </w:tc>
        <w:tc>
          <w:tcPr>
            <w:tcW w:w="2409" w:type="dxa"/>
            <w:vAlign w:val="center"/>
          </w:tcPr>
          <w:p>
            <w:pPr>
              <w:jc w:val="center"/>
              <w:rPr>
                <w:color w:val="auto"/>
                <w:sz w:val="21"/>
                <w:szCs w:val="21"/>
              </w:rPr>
            </w:pP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成套供货，单套高峰处理能力</w:t>
            </w:r>
            <w:r>
              <w:rPr>
                <w:color w:val="auto"/>
                <w:sz w:val="21"/>
                <w:szCs w:val="21"/>
              </w:rPr>
              <w:t>15000m</w:t>
            </w:r>
            <w:r>
              <w:rPr>
                <w:color w:val="auto"/>
                <w:sz w:val="21"/>
                <w:szCs w:val="21"/>
                <w:vertAlign w:val="superscript"/>
              </w:rPr>
              <w:t>3</w:t>
            </w:r>
            <w:r>
              <w:rPr>
                <w:color w:val="auto"/>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止回阀</w:t>
            </w:r>
          </w:p>
        </w:tc>
        <w:tc>
          <w:tcPr>
            <w:tcW w:w="2409" w:type="dxa"/>
            <w:vAlign w:val="center"/>
          </w:tcPr>
          <w:p>
            <w:pPr>
              <w:jc w:val="center"/>
              <w:rPr>
                <w:color w:val="auto"/>
                <w:sz w:val="21"/>
                <w:szCs w:val="21"/>
              </w:rPr>
            </w:pPr>
            <w:r>
              <w:rPr>
                <w:color w:val="auto"/>
                <w:sz w:val="21"/>
                <w:szCs w:val="21"/>
              </w:rPr>
              <w:t>DN80</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个</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滤布转盘及中心管</w:t>
            </w:r>
          </w:p>
        </w:tc>
        <w:tc>
          <w:tcPr>
            <w:tcW w:w="2409" w:type="dxa"/>
            <w:vAlign w:val="center"/>
          </w:tcPr>
          <w:p>
            <w:pPr>
              <w:jc w:val="center"/>
              <w:rPr>
                <w:color w:val="auto"/>
                <w:sz w:val="21"/>
                <w:szCs w:val="21"/>
              </w:rPr>
            </w:pPr>
            <w:r>
              <w:rPr>
                <w:color w:val="auto"/>
                <w:sz w:val="21"/>
                <w:szCs w:val="21"/>
              </w:rPr>
              <w:t>D=3000mm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弹性接头</w:t>
            </w:r>
          </w:p>
        </w:tc>
        <w:tc>
          <w:tcPr>
            <w:tcW w:w="2409" w:type="dxa"/>
            <w:vAlign w:val="center"/>
          </w:tcPr>
          <w:p>
            <w:pPr>
              <w:jc w:val="center"/>
              <w:rPr>
                <w:color w:val="auto"/>
                <w:sz w:val="21"/>
                <w:szCs w:val="21"/>
              </w:rPr>
            </w:pPr>
            <w:r>
              <w:rPr>
                <w:color w:val="auto"/>
                <w:sz w:val="21"/>
                <w:szCs w:val="21"/>
              </w:rPr>
              <w:t>DN80</w:t>
            </w:r>
          </w:p>
        </w:tc>
        <w:tc>
          <w:tcPr>
            <w:tcW w:w="709" w:type="dxa"/>
            <w:vAlign w:val="center"/>
          </w:tcPr>
          <w:p>
            <w:pPr>
              <w:jc w:val="center"/>
              <w:rPr>
                <w:color w:val="auto"/>
                <w:sz w:val="21"/>
                <w:szCs w:val="21"/>
              </w:rPr>
            </w:pPr>
            <w:r>
              <w:rPr>
                <w:color w:val="auto"/>
                <w:sz w:val="21"/>
                <w:szCs w:val="21"/>
              </w:rPr>
              <w:t>10</w:t>
            </w:r>
          </w:p>
        </w:tc>
        <w:tc>
          <w:tcPr>
            <w:tcW w:w="709" w:type="dxa"/>
            <w:vAlign w:val="center"/>
          </w:tcPr>
          <w:p>
            <w:pPr>
              <w:jc w:val="center"/>
              <w:rPr>
                <w:color w:val="auto"/>
                <w:sz w:val="21"/>
                <w:szCs w:val="21"/>
              </w:rPr>
            </w:pPr>
            <w:r>
              <w:rPr>
                <w:rFonts w:hAnsi="宋体"/>
                <w:color w:val="auto"/>
                <w:sz w:val="21"/>
                <w:szCs w:val="21"/>
              </w:rPr>
              <w:t>个</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电动球阀</w:t>
            </w:r>
          </w:p>
        </w:tc>
        <w:tc>
          <w:tcPr>
            <w:tcW w:w="2409" w:type="dxa"/>
            <w:vAlign w:val="center"/>
          </w:tcPr>
          <w:p>
            <w:pPr>
              <w:jc w:val="center"/>
              <w:rPr>
                <w:color w:val="auto"/>
                <w:sz w:val="21"/>
                <w:szCs w:val="21"/>
              </w:rPr>
            </w:pPr>
            <w:r>
              <w:rPr>
                <w:color w:val="auto"/>
                <w:sz w:val="21"/>
                <w:szCs w:val="21"/>
              </w:rPr>
              <w:t>Q41F-16C,DN80,N=0.04kW</w:t>
            </w:r>
          </w:p>
        </w:tc>
        <w:tc>
          <w:tcPr>
            <w:tcW w:w="709" w:type="dxa"/>
            <w:vAlign w:val="center"/>
          </w:tcPr>
          <w:p>
            <w:pPr>
              <w:jc w:val="center"/>
              <w:rPr>
                <w:color w:val="auto"/>
                <w:sz w:val="21"/>
                <w:szCs w:val="21"/>
              </w:rPr>
            </w:pPr>
            <w:r>
              <w:rPr>
                <w:color w:val="auto"/>
                <w:sz w:val="21"/>
                <w:szCs w:val="21"/>
              </w:rPr>
              <w:t>10</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旋转驱动电机</w:t>
            </w:r>
          </w:p>
        </w:tc>
        <w:tc>
          <w:tcPr>
            <w:tcW w:w="2409" w:type="dxa"/>
            <w:vAlign w:val="center"/>
          </w:tcPr>
          <w:p>
            <w:pPr>
              <w:jc w:val="center"/>
              <w:rPr>
                <w:color w:val="auto"/>
                <w:sz w:val="21"/>
                <w:szCs w:val="21"/>
              </w:rPr>
            </w:pPr>
            <w:r>
              <w:rPr>
                <w:color w:val="auto"/>
                <w:sz w:val="21"/>
                <w:szCs w:val="21"/>
              </w:rPr>
              <w:t>i=632,NA=2.2RPm/min,N=0.75kW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反洗泵</w:t>
            </w:r>
          </w:p>
        </w:tc>
        <w:tc>
          <w:tcPr>
            <w:tcW w:w="2409" w:type="dxa"/>
            <w:vAlign w:val="center"/>
          </w:tcPr>
          <w:p>
            <w:pPr>
              <w:jc w:val="center"/>
              <w:rPr>
                <w:color w:val="auto"/>
                <w:sz w:val="21"/>
                <w:szCs w:val="21"/>
              </w:rPr>
            </w:pPr>
            <w:r>
              <w:rPr>
                <w:color w:val="auto"/>
                <w:sz w:val="21"/>
                <w:szCs w:val="21"/>
              </w:rPr>
              <w:t>Q=50m/h,H=12m,N=4.0kW</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个</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进水堰板</w:t>
            </w:r>
          </w:p>
        </w:tc>
        <w:tc>
          <w:tcPr>
            <w:tcW w:w="2409" w:type="dxa"/>
            <w:vAlign w:val="center"/>
          </w:tcPr>
          <w:p>
            <w:pPr>
              <w:jc w:val="center"/>
              <w:rPr>
                <w:color w:val="auto"/>
                <w:sz w:val="21"/>
                <w:szCs w:val="21"/>
              </w:rPr>
            </w:pPr>
            <w:r>
              <w:rPr>
                <w:color w:val="auto"/>
                <w:sz w:val="21"/>
                <w:szCs w:val="21"/>
              </w:rPr>
              <w:t>L=3200mm</w:t>
            </w:r>
            <w:r>
              <w:rPr>
                <w:rFonts w:hAnsi="宋体"/>
                <w:color w:val="auto"/>
                <w:sz w:val="21"/>
                <w:szCs w:val="21"/>
              </w:rPr>
              <w:t>，</w:t>
            </w:r>
            <w:r>
              <w:rPr>
                <w:color w:val="auto"/>
                <w:sz w:val="21"/>
                <w:szCs w:val="21"/>
              </w:rPr>
              <w:t>H=1800mm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潜水离心泵</w:t>
            </w:r>
          </w:p>
        </w:tc>
        <w:tc>
          <w:tcPr>
            <w:tcW w:w="2409" w:type="dxa"/>
            <w:vAlign w:val="center"/>
          </w:tcPr>
          <w:p>
            <w:pPr>
              <w:jc w:val="center"/>
              <w:rPr>
                <w:color w:val="auto"/>
                <w:sz w:val="21"/>
                <w:szCs w:val="21"/>
              </w:rPr>
            </w:pPr>
            <w:r>
              <w:rPr>
                <w:color w:val="auto"/>
                <w:sz w:val="21"/>
                <w:szCs w:val="21"/>
              </w:rPr>
              <w:t>Q=100m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H=30m</w:t>
            </w:r>
            <w:r>
              <w:rPr>
                <w:rFonts w:hAnsi="宋体"/>
                <w:color w:val="auto"/>
                <w:sz w:val="21"/>
                <w:szCs w:val="21"/>
              </w:rPr>
              <w:t>，</w:t>
            </w:r>
            <w:r>
              <w:rPr>
                <w:color w:val="auto"/>
                <w:sz w:val="21"/>
                <w:szCs w:val="21"/>
              </w:rPr>
              <w:t>N=11kW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近期</w:t>
            </w: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备，远期</w:t>
            </w:r>
            <w:r>
              <w:rPr>
                <w:color w:val="auto"/>
                <w:sz w:val="21"/>
                <w:szCs w:val="21"/>
              </w:rPr>
              <w:t>3</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电动葫芦</w:t>
            </w:r>
          </w:p>
        </w:tc>
        <w:tc>
          <w:tcPr>
            <w:tcW w:w="2409" w:type="dxa"/>
            <w:vAlign w:val="center"/>
          </w:tcPr>
          <w:p>
            <w:pPr>
              <w:jc w:val="center"/>
              <w:rPr>
                <w:color w:val="auto"/>
                <w:sz w:val="21"/>
                <w:szCs w:val="21"/>
              </w:rPr>
            </w:pPr>
            <w:r>
              <w:rPr>
                <w:rFonts w:hAnsi="宋体"/>
                <w:color w:val="auto"/>
                <w:sz w:val="21"/>
                <w:szCs w:val="21"/>
              </w:rPr>
              <w:t>起吊重量</w:t>
            </w:r>
            <w:r>
              <w:rPr>
                <w:color w:val="auto"/>
                <w:sz w:val="21"/>
                <w:szCs w:val="21"/>
              </w:rPr>
              <w:t>1.0t,</w:t>
            </w:r>
            <w:r>
              <w:rPr>
                <w:rFonts w:hAnsi="宋体"/>
                <w:color w:val="auto"/>
                <w:sz w:val="21"/>
                <w:szCs w:val="21"/>
              </w:rPr>
              <w:t>起升高度</w:t>
            </w:r>
            <w:r>
              <w:rPr>
                <w:color w:val="auto"/>
                <w:sz w:val="21"/>
                <w:szCs w:val="21"/>
              </w:rPr>
              <w:t>6.0m</w:t>
            </w:r>
            <w:r>
              <w:rPr>
                <w:rFonts w:hAnsi="宋体"/>
                <w:color w:val="auto"/>
                <w:sz w:val="21"/>
                <w:szCs w:val="21"/>
              </w:rPr>
              <w:t>，</w:t>
            </w:r>
            <w:r>
              <w:rPr>
                <w:color w:val="auto"/>
                <w:sz w:val="21"/>
                <w:szCs w:val="21"/>
              </w:rPr>
              <w:t>N=1.5+0.2kW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鼓风机房</w:t>
            </w:r>
          </w:p>
        </w:tc>
        <w:tc>
          <w:tcPr>
            <w:tcW w:w="2167" w:type="dxa"/>
            <w:vAlign w:val="center"/>
          </w:tcPr>
          <w:p>
            <w:pPr>
              <w:jc w:val="center"/>
              <w:rPr>
                <w:color w:val="auto"/>
                <w:sz w:val="21"/>
                <w:szCs w:val="21"/>
              </w:rPr>
            </w:pPr>
            <w:r>
              <w:rPr>
                <w:rFonts w:hAnsi="宋体"/>
                <w:color w:val="auto"/>
                <w:sz w:val="21"/>
                <w:szCs w:val="21"/>
              </w:rPr>
              <w:t>进风过滤消音器</w:t>
            </w:r>
          </w:p>
        </w:tc>
        <w:tc>
          <w:tcPr>
            <w:tcW w:w="2409" w:type="dxa"/>
            <w:vAlign w:val="center"/>
          </w:tcPr>
          <w:p>
            <w:pPr>
              <w:jc w:val="center"/>
              <w:rPr>
                <w:color w:val="auto"/>
                <w:sz w:val="21"/>
                <w:szCs w:val="21"/>
              </w:rPr>
            </w:pPr>
            <w:r>
              <w:rPr>
                <w:color w:val="auto"/>
                <w:sz w:val="21"/>
                <w:szCs w:val="21"/>
              </w:rPr>
              <w:t>Q=25m</w:t>
            </w:r>
            <w:r>
              <w:rPr>
                <w:color w:val="auto"/>
                <w:sz w:val="21"/>
                <w:szCs w:val="21"/>
                <w:vertAlign w:val="superscript"/>
              </w:rPr>
              <w:t>3</w:t>
            </w:r>
            <w:r>
              <w:rPr>
                <w:color w:val="auto"/>
                <w:sz w:val="21"/>
                <w:szCs w:val="21"/>
              </w:rPr>
              <w:t>/min</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多级离心鼓风机</w:t>
            </w:r>
          </w:p>
        </w:tc>
        <w:tc>
          <w:tcPr>
            <w:tcW w:w="2409" w:type="dxa"/>
            <w:vAlign w:val="center"/>
          </w:tcPr>
          <w:p>
            <w:pPr>
              <w:jc w:val="center"/>
              <w:rPr>
                <w:color w:val="auto"/>
                <w:sz w:val="21"/>
                <w:szCs w:val="21"/>
              </w:rPr>
            </w:pPr>
            <w:r>
              <w:rPr>
                <w:color w:val="auto"/>
                <w:sz w:val="21"/>
                <w:szCs w:val="21"/>
              </w:rPr>
              <w:t>Q=25m</w:t>
            </w:r>
            <w:r>
              <w:rPr>
                <w:color w:val="auto"/>
                <w:sz w:val="21"/>
                <w:szCs w:val="21"/>
                <w:vertAlign w:val="superscript"/>
              </w:rPr>
              <w:t>3</w:t>
            </w:r>
            <w:r>
              <w:rPr>
                <w:color w:val="auto"/>
                <w:sz w:val="21"/>
                <w:szCs w:val="21"/>
              </w:rPr>
              <w:t>/min,N=90kW,H=8.5m</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color w:val="auto"/>
                <w:sz w:val="21"/>
                <w:szCs w:val="21"/>
              </w:rPr>
              <w:t>2</w:t>
            </w:r>
            <w:r>
              <w:rPr>
                <w:rFonts w:hAnsi="宋体"/>
                <w:color w:val="auto"/>
                <w:sz w:val="21"/>
                <w:szCs w:val="21"/>
              </w:rPr>
              <w:t>用</w:t>
            </w:r>
            <w:r>
              <w:rPr>
                <w:color w:val="auto"/>
                <w:sz w:val="21"/>
                <w:szCs w:val="21"/>
              </w:rPr>
              <w:t>1</w:t>
            </w:r>
            <w:r>
              <w:rPr>
                <w:rFonts w:hAnsi="宋体"/>
                <w:color w:val="auto"/>
                <w:sz w:val="21"/>
                <w:szCs w:val="21"/>
              </w:rPr>
              <w:t>备，</w:t>
            </w:r>
            <w:r>
              <w:rPr>
                <w:color w:val="auto"/>
                <w:sz w:val="21"/>
                <w:szCs w:val="21"/>
              </w:rPr>
              <w:t>3</w:t>
            </w:r>
            <w:r>
              <w:rPr>
                <w:rFonts w:hAnsi="宋体"/>
                <w:color w:val="auto"/>
                <w:sz w:val="21"/>
                <w:szCs w:val="21"/>
              </w:rPr>
              <w:t>台变频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放空消音器</w:t>
            </w:r>
          </w:p>
        </w:tc>
        <w:tc>
          <w:tcPr>
            <w:tcW w:w="2409" w:type="dxa"/>
            <w:vAlign w:val="center"/>
          </w:tcPr>
          <w:p>
            <w:pPr>
              <w:jc w:val="center"/>
              <w:rPr>
                <w:color w:val="auto"/>
                <w:sz w:val="21"/>
                <w:szCs w:val="21"/>
              </w:rPr>
            </w:pPr>
            <w:r>
              <w:rPr>
                <w:color w:val="auto"/>
                <w:sz w:val="21"/>
                <w:szCs w:val="21"/>
              </w:rPr>
              <w:t>DN200</w:t>
            </w:r>
            <w:r>
              <w:rPr>
                <w:rFonts w:hAnsi="宋体"/>
                <w:color w:val="auto"/>
                <w:sz w:val="21"/>
                <w:szCs w:val="21"/>
              </w:rPr>
              <w:t>，</w:t>
            </w:r>
            <w:r>
              <w:rPr>
                <w:color w:val="auto"/>
                <w:sz w:val="21"/>
                <w:szCs w:val="21"/>
              </w:rPr>
              <w:t>L=750</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止回阀</w:t>
            </w:r>
          </w:p>
        </w:tc>
        <w:tc>
          <w:tcPr>
            <w:tcW w:w="2409" w:type="dxa"/>
            <w:vAlign w:val="center"/>
          </w:tcPr>
          <w:p>
            <w:pPr>
              <w:jc w:val="center"/>
              <w:rPr>
                <w:color w:val="auto"/>
                <w:sz w:val="21"/>
                <w:szCs w:val="21"/>
              </w:rPr>
            </w:pPr>
            <w:r>
              <w:rPr>
                <w:color w:val="auto"/>
                <w:sz w:val="21"/>
                <w:szCs w:val="21"/>
              </w:rPr>
              <w:t>DN200</w:t>
            </w:r>
            <w:r>
              <w:rPr>
                <w:rFonts w:hAnsi="宋体"/>
                <w:color w:val="auto"/>
                <w:sz w:val="21"/>
                <w:szCs w:val="21"/>
              </w:rPr>
              <w:t>，</w:t>
            </w:r>
            <w:r>
              <w:rPr>
                <w:color w:val="auto"/>
                <w:sz w:val="21"/>
                <w:szCs w:val="21"/>
              </w:rPr>
              <w:t>L=128</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手动蝶阀</w:t>
            </w:r>
          </w:p>
        </w:tc>
        <w:tc>
          <w:tcPr>
            <w:tcW w:w="2409" w:type="dxa"/>
            <w:vAlign w:val="center"/>
          </w:tcPr>
          <w:p>
            <w:pPr>
              <w:jc w:val="center"/>
              <w:rPr>
                <w:color w:val="auto"/>
                <w:sz w:val="21"/>
                <w:szCs w:val="21"/>
              </w:rPr>
            </w:pPr>
            <w:r>
              <w:rPr>
                <w:color w:val="auto"/>
                <w:sz w:val="21"/>
                <w:szCs w:val="21"/>
              </w:rPr>
              <w:t>DN200</w:t>
            </w:r>
            <w:r>
              <w:rPr>
                <w:rFonts w:hAnsi="宋体"/>
                <w:color w:val="auto"/>
                <w:sz w:val="21"/>
                <w:szCs w:val="21"/>
              </w:rPr>
              <w:t>，</w:t>
            </w:r>
            <w:r>
              <w:rPr>
                <w:color w:val="auto"/>
                <w:sz w:val="21"/>
                <w:szCs w:val="21"/>
              </w:rPr>
              <w:t>L=216</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鼓风机配套，耐高温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放空阀</w:t>
            </w:r>
          </w:p>
        </w:tc>
        <w:tc>
          <w:tcPr>
            <w:tcW w:w="2409" w:type="dxa"/>
            <w:vAlign w:val="center"/>
          </w:tcPr>
          <w:p>
            <w:pPr>
              <w:jc w:val="center"/>
              <w:rPr>
                <w:color w:val="auto"/>
                <w:sz w:val="21"/>
                <w:szCs w:val="21"/>
              </w:rPr>
            </w:pPr>
            <w:r>
              <w:rPr>
                <w:color w:val="auto"/>
                <w:sz w:val="21"/>
                <w:szCs w:val="21"/>
              </w:rPr>
              <w:t>DN125</w:t>
            </w:r>
            <w:r>
              <w:rPr>
                <w:rFonts w:hAnsi="宋体"/>
                <w:color w:val="auto"/>
                <w:sz w:val="21"/>
                <w:szCs w:val="21"/>
              </w:rPr>
              <w:t>，</w:t>
            </w:r>
            <w:r>
              <w:rPr>
                <w:color w:val="auto"/>
                <w:sz w:val="21"/>
                <w:szCs w:val="21"/>
              </w:rPr>
              <w:t>L=78</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出口消声器</w:t>
            </w:r>
          </w:p>
        </w:tc>
        <w:tc>
          <w:tcPr>
            <w:tcW w:w="2409" w:type="dxa"/>
            <w:vAlign w:val="center"/>
          </w:tcPr>
          <w:p>
            <w:pPr>
              <w:jc w:val="center"/>
              <w:rPr>
                <w:color w:val="auto"/>
                <w:sz w:val="21"/>
                <w:szCs w:val="21"/>
              </w:rPr>
            </w:pPr>
            <w:r>
              <w:rPr>
                <w:color w:val="auto"/>
                <w:sz w:val="21"/>
                <w:szCs w:val="21"/>
              </w:rPr>
              <w:t>DN200</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进风管</w:t>
            </w:r>
          </w:p>
        </w:tc>
        <w:tc>
          <w:tcPr>
            <w:tcW w:w="2409" w:type="dxa"/>
            <w:vAlign w:val="center"/>
          </w:tcPr>
          <w:p>
            <w:pPr>
              <w:jc w:val="center"/>
              <w:rPr>
                <w:color w:val="auto"/>
                <w:sz w:val="21"/>
                <w:szCs w:val="21"/>
              </w:rPr>
            </w:pPr>
            <w:r>
              <w:rPr>
                <w:rFonts w:hAnsi="宋体"/>
                <w:color w:val="auto"/>
                <w:sz w:val="21"/>
                <w:szCs w:val="21"/>
              </w:rPr>
              <w:t>流量计监测安装管，</w:t>
            </w:r>
            <w:r>
              <w:rPr>
                <w:color w:val="auto"/>
                <w:sz w:val="21"/>
                <w:szCs w:val="21"/>
              </w:rPr>
              <w:t>DN200,L=3700</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根</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膨胀节柔性接头</w:t>
            </w:r>
          </w:p>
        </w:tc>
        <w:tc>
          <w:tcPr>
            <w:tcW w:w="2409" w:type="dxa"/>
            <w:vAlign w:val="center"/>
          </w:tcPr>
          <w:p>
            <w:pPr>
              <w:jc w:val="center"/>
              <w:rPr>
                <w:color w:val="auto"/>
                <w:sz w:val="21"/>
                <w:szCs w:val="21"/>
              </w:rPr>
            </w:pPr>
            <w:r>
              <w:rPr>
                <w:color w:val="auto"/>
                <w:sz w:val="21"/>
                <w:szCs w:val="21"/>
              </w:rPr>
              <w:t>DN200,L=300</w:t>
            </w:r>
          </w:p>
        </w:tc>
        <w:tc>
          <w:tcPr>
            <w:tcW w:w="709" w:type="dxa"/>
            <w:vAlign w:val="center"/>
          </w:tcPr>
          <w:p>
            <w:pPr>
              <w:jc w:val="center"/>
              <w:rPr>
                <w:color w:val="auto"/>
                <w:sz w:val="21"/>
                <w:szCs w:val="21"/>
              </w:rPr>
            </w:pPr>
            <w:r>
              <w:rPr>
                <w:color w:val="auto"/>
                <w:sz w:val="21"/>
                <w:szCs w:val="21"/>
              </w:rPr>
              <w:t>6</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橡胶变径软接头</w:t>
            </w:r>
          </w:p>
        </w:tc>
        <w:tc>
          <w:tcPr>
            <w:tcW w:w="2409" w:type="dxa"/>
            <w:vAlign w:val="center"/>
          </w:tcPr>
          <w:p>
            <w:pPr>
              <w:jc w:val="center"/>
              <w:rPr>
                <w:color w:val="auto"/>
                <w:sz w:val="21"/>
                <w:szCs w:val="21"/>
              </w:rPr>
            </w:pPr>
            <w:r>
              <w:rPr>
                <w:color w:val="auto"/>
                <w:sz w:val="21"/>
                <w:szCs w:val="21"/>
              </w:rPr>
              <w:t>DN100x200</w:t>
            </w:r>
            <w:r>
              <w:rPr>
                <w:rFonts w:hAnsi="宋体"/>
                <w:color w:val="auto"/>
                <w:sz w:val="21"/>
                <w:szCs w:val="21"/>
              </w:rPr>
              <w:t>，</w:t>
            </w:r>
            <w:r>
              <w:rPr>
                <w:color w:val="auto"/>
                <w:sz w:val="21"/>
                <w:szCs w:val="21"/>
              </w:rPr>
              <w:t>L=220</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只</w:t>
            </w:r>
          </w:p>
        </w:tc>
        <w:tc>
          <w:tcPr>
            <w:tcW w:w="1938" w:type="dxa"/>
            <w:vAlign w:val="center"/>
          </w:tcPr>
          <w:p>
            <w:pPr>
              <w:jc w:val="center"/>
              <w:rPr>
                <w:color w:val="auto"/>
                <w:sz w:val="21"/>
                <w:szCs w:val="21"/>
              </w:rPr>
            </w:pPr>
            <w:r>
              <w:rPr>
                <w:rFonts w:hAnsi="宋体"/>
                <w:color w:val="auto"/>
                <w:sz w:val="21"/>
                <w:szCs w:val="21"/>
              </w:rPr>
              <w:t>鼓风机配套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电动单梁悬挂起重机</w:t>
            </w:r>
          </w:p>
        </w:tc>
        <w:tc>
          <w:tcPr>
            <w:tcW w:w="2409" w:type="dxa"/>
            <w:vAlign w:val="center"/>
          </w:tcPr>
          <w:p>
            <w:pPr>
              <w:jc w:val="center"/>
              <w:rPr>
                <w:color w:val="auto"/>
                <w:sz w:val="21"/>
                <w:szCs w:val="21"/>
              </w:rPr>
            </w:pPr>
            <w:r>
              <w:rPr>
                <w:rFonts w:hAnsi="宋体"/>
                <w:color w:val="auto"/>
                <w:sz w:val="21"/>
                <w:szCs w:val="21"/>
              </w:rPr>
              <w:t>起重量</w:t>
            </w:r>
            <w:r>
              <w:rPr>
                <w:color w:val="auto"/>
                <w:sz w:val="21"/>
                <w:szCs w:val="21"/>
              </w:rPr>
              <w:t>5T,</w:t>
            </w:r>
            <w:r>
              <w:rPr>
                <w:rFonts w:hAnsi="宋体"/>
                <w:color w:val="auto"/>
                <w:sz w:val="21"/>
                <w:szCs w:val="21"/>
              </w:rPr>
              <w:t>跨度</w:t>
            </w:r>
            <w:r>
              <w:rPr>
                <w:color w:val="auto"/>
                <w:sz w:val="21"/>
                <w:szCs w:val="21"/>
              </w:rPr>
              <w:t>5.0m,</w:t>
            </w:r>
            <w:r>
              <w:rPr>
                <w:rFonts w:hAnsi="宋体"/>
                <w:color w:val="auto"/>
                <w:sz w:val="21"/>
                <w:szCs w:val="21"/>
              </w:rPr>
              <w:t>起升高度</w:t>
            </w:r>
            <w:r>
              <w:rPr>
                <w:color w:val="auto"/>
                <w:sz w:val="21"/>
                <w:szCs w:val="21"/>
              </w:rPr>
              <w:t>9m,N=2x0.8+7.5+0.8=9.9kW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含工字钢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卷帘过滤器</w:t>
            </w:r>
          </w:p>
        </w:tc>
        <w:tc>
          <w:tcPr>
            <w:tcW w:w="2409" w:type="dxa"/>
            <w:vAlign w:val="center"/>
          </w:tcPr>
          <w:p>
            <w:pPr>
              <w:jc w:val="center"/>
              <w:rPr>
                <w:color w:val="auto"/>
                <w:sz w:val="21"/>
                <w:szCs w:val="21"/>
              </w:rPr>
            </w:pPr>
            <w:r>
              <w:rPr>
                <w:rFonts w:hAnsi="宋体"/>
                <w:color w:val="auto"/>
                <w:sz w:val="21"/>
                <w:szCs w:val="21"/>
              </w:rPr>
              <w:t>过滤风量</w:t>
            </w:r>
            <w:r>
              <w:rPr>
                <w:color w:val="auto"/>
                <w:sz w:val="21"/>
                <w:szCs w:val="21"/>
              </w:rPr>
              <w:t>:1800m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N=0.18kW</w:t>
            </w:r>
            <w:r>
              <w:rPr>
                <w:rFonts w:hAnsi="宋体"/>
                <w:color w:val="auto"/>
                <w:sz w:val="21"/>
                <w:szCs w:val="21"/>
              </w:rPr>
              <w:t>，长</w:t>
            </w:r>
            <w:r>
              <w:rPr>
                <w:color w:val="auto"/>
                <w:sz w:val="21"/>
                <w:szCs w:val="21"/>
              </w:rPr>
              <w:t>×</w:t>
            </w:r>
            <w:r>
              <w:rPr>
                <w:rFonts w:hAnsi="宋体"/>
                <w:color w:val="auto"/>
                <w:sz w:val="21"/>
                <w:szCs w:val="21"/>
              </w:rPr>
              <w:t>高</w:t>
            </w:r>
            <w:r>
              <w:rPr>
                <w:color w:val="auto"/>
                <w:sz w:val="21"/>
                <w:szCs w:val="21"/>
              </w:rPr>
              <w:t>=1.6mx1.8m</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过滤精度为</w:t>
            </w:r>
            <w:r>
              <w:rPr>
                <w:color w:val="auto"/>
                <w:sz w:val="21"/>
                <w:szCs w:val="21"/>
              </w:rPr>
              <w:t>20μm</w:t>
            </w:r>
            <w:r>
              <w:rPr>
                <w:rFonts w:hAnsi="宋体"/>
                <w:color w:val="auto"/>
                <w:sz w:val="21"/>
                <w:szCs w:val="21"/>
              </w:rPr>
              <w:t>颗粒</w:t>
            </w:r>
            <w:r>
              <w:rPr>
                <w:color w:val="auto"/>
                <w:sz w:val="21"/>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Align w:val="center"/>
          </w:tcPr>
          <w:p>
            <w:pPr>
              <w:jc w:val="center"/>
              <w:rPr>
                <w:color w:val="auto"/>
                <w:sz w:val="21"/>
                <w:szCs w:val="21"/>
              </w:rPr>
            </w:pPr>
            <w:r>
              <w:rPr>
                <w:rFonts w:hAnsi="宋体"/>
                <w:color w:val="auto"/>
                <w:sz w:val="21"/>
                <w:szCs w:val="21"/>
              </w:rPr>
              <w:t>配泥井</w:t>
            </w:r>
          </w:p>
        </w:tc>
        <w:tc>
          <w:tcPr>
            <w:tcW w:w="2167" w:type="dxa"/>
            <w:vAlign w:val="center"/>
          </w:tcPr>
          <w:p>
            <w:pPr>
              <w:jc w:val="center"/>
              <w:rPr>
                <w:color w:val="auto"/>
                <w:sz w:val="21"/>
                <w:szCs w:val="21"/>
              </w:rPr>
            </w:pPr>
            <w:r>
              <w:rPr>
                <w:rFonts w:hAnsi="宋体"/>
                <w:color w:val="auto"/>
                <w:sz w:val="21"/>
                <w:szCs w:val="21"/>
              </w:rPr>
              <w:t>手动不锈钢调节堰门</w:t>
            </w:r>
          </w:p>
        </w:tc>
        <w:tc>
          <w:tcPr>
            <w:tcW w:w="2409" w:type="dxa"/>
            <w:vAlign w:val="center"/>
          </w:tcPr>
          <w:p>
            <w:pPr>
              <w:jc w:val="center"/>
              <w:rPr>
                <w:color w:val="auto"/>
                <w:sz w:val="21"/>
                <w:szCs w:val="21"/>
              </w:rPr>
            </w:pPr>
            <w:r>
              <w:rPr>
                <w:color w:val="auto"/>
                <w:sz w:val="21"/>
                <w:szCs w:val="21"/>
              </w:rPr>
              <w:t>B×H=800×800</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污泥浓缩池</w:t>
            </w:r>
          </w:p>
        </w:tc>
        <w:tc>
          <w:tcPr>
            <w:tcW w:w="2167" w:type="dxa"/>
            <w:vAlign w:val="center"/>
          </w:tcPr>
          <w:p>
            <w:pPr>
              <w:jc w:val="center"/>
              <w:rPr>
                <w:color w:val="auto"/>
                <w:sz w:val="21"/>
                <w:szCs w:val="21"/>
              </w:rPr>
            </w:pPr>
            <w:r>
              <w:rPr>
                <w:rFonts w:hAnsi="宋体"/>
                <w:color w:val="auto"/>
                <w:sz w:val="21"/>
                <w:szCs w:val="21"/>
              </w:rPr>
              <w:t>垂架式中心传动浓缩刮泥机</w:t>
            </w:r>
          </w:p>
        </w:tc>
        <w:tc>
          <w:tcPr>
            <w:tcW w:w="2409" w:type="dxa"/>
            <w:vAlign w:val="center"/>
          </w:tcPr>
          <w:p>
            <w:pPr>
              <w:jc w:val="center"/>
              <w:rPr>
                <w:color w:val="auto"/>
                <w:sz w:val="21"/>
                <w:szCs w:val="21"/>
              </w:rPr>
            </w:pPr>
            <w:r>
              <w:rPr>
                <w:rFonts w:hAnsi="宋体"/>
                <w:color w:val="auto"/>
                <w:sz w:val="21"/>
                <w:szCs w:val="21"/>
              </w:rPr>
              <w:t>直径</w:t>
            </w:r>
            <w:r>
              <w:rPr>
                <w:color w:val="auto"/>
                <w:sz w:val="21"/>
                <w:szCs w:val="21"/>
              </w:rPr>
              <w:t>8m</w:t>
            </w:r>
            <w:r>
              <w:rPr>
                <w:rFonts w:hAnsi="宋体"/>
                <w:color w:val="auto"/>
                <w:sz w:val="21"/>
                <w:szCs w:val="21"/>
              </w:rPr>
              <w:t>，</w:t>
            </w:r>
            <w:r>
              <w:rPr>
                <w:color w:val="auto"/>
                <w:sz w:val="21"/>
                <w:szCs w:val="21"/>
              </w:rPr>
              <w:t>N=0.75kW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手动不锈钢调节堰门</w:t>
            </w:r>
          </w:p>
        </w:tc>
        <w:tc>
          <w:tcPr>
            <w:tcW w:w="2409" w:type="dxa"/>
            <w:vAlign w:val="center"/>
          </w:tcPr>
          <w:p>
            <w:pPr>
              <w:jc w:val="center"/>
              <w:rPr>
                <w:color w:val="auto"/>
                <w:sz w:val="21"/>
                <w:szCs w:val="21"/>
              </w:rPr>
            </w:pPr>
            <w:r>
              <w:rPr>
                <w:color w:val="auto"/>
                <w:sz w:val="21"/>
                <w:szCs w:val="21"/>
              </w:rPr>
              <w:t>B×H=800×800</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出水堰板</w:t>
            </w:r>
          </w:p>
        </w:tc>
        <w:tc>
          <w:tcPr>
            <w:tcW w:w="2409" w:type="dxa"/>
            <w:vAlign w:val="center"/>
          </w:tcPr>
          <w:p>
            <w:pPr>
              <w:jc w:val="center"/>
              <w:rPr>
                <w:color w:val="auto"/>
                <w:sz w:val="21"/>
                <w:szCs w:val="21"/>
              </w:rPr>
            </w:pPr>
            <w:r>
              <w:rPr>
                <w:rFonts w:hAnsi="宋体"/>
                <w:color w:val="auto"/>
                <w:sz w:val="21"/>
                <w:szCs w:val="21"/>
              </w:rPr>
              <w:t>高</w:t>
            </w:r>
            <w:r>
              <w:rPr>
                <w:color w:val="auto"/>
                <w:sz w:val="21"/>
                <w:szCs w:val="21"/>
              </w:rPr>
              <w:t>350mm</w:t>
            </w:r>
            <w:r>
              <w:rPr>
                <w:rFonts w:hAnsi="宋体"/>
                <w:color w:val="auto"/>
                <w:sz w:val="21"/>
                <w:szCs w:val="21"/>
              </w:rPr>
              <w:t>，厚</w:t>
            </w:r>
            <w:r>
              <w:rPr>
                <w:color w:val="auto"/>
                <w:sz w:val="21"/>
                <w:szCs w:val="21"/>
              </w:rPr>
              <w:t>8mm</w:t>
            </w:r>
            <w:r>
              <w:rPr>
                <w:rFonts w:hAnsi="宋体"/>
                <w:color w:val="auto"/>
                <w:sz w:val="21"/>
                <w:szCs w:val="21"/>
              </w:rPr>
              <w:t>，长</w:t>
            </w:r>
            <w:r>
              <w:rPr>
                <w:color w:val="auto"/>
                <w:sz w:val="21"/>
                <w:szCs w:val="21"/>
              </w:rPr>
              <w:t>27.32m</w:t>
            </w:r>
            <w:r>
              <w:rPr>
                <w:rFonts w:hAnsi="宋体"/>
                <w:color w:val="auto"/>
                <w:sz w:val="21"/>
                <w:szCs w:val="21"/>
              </w:rPr>
              <w:t>，包括</w:t>
            </w:r>
            <w:r>
              <w:rPr>
                <w:color w:val="auto"/>
                <w:sz w:val="21"/>
                <w:szCs w:val="21"/>
              </w:rPr>
              <w:t>13</w:t>
            </w:r>
            <w:r>
              <w:rPr>
                <w:rFonts w:hAnsi="宋体"/>
                <w:color w:val="auto"/>
                <w:sz w:val="21"/>
                <w:szCs w:val="21"/>
              </w:rPr>
              <w:t>块</w:t>
            </w:r>
            <w:r>
              <w:rPr>
                <w:color w:val="auto"/>
                <w:sz w:val="21"/>
                <w:szCs w:val="21"/>
              </w:rPr>
              <w:t>2m</w:t>
            </w:r>
            <w:r>
              <w:rPr>
                <w:rFonts w:hAnsi="宋体"/>
                <w:color w:val="auto"/>
                <w:sz w:val="21"/>
                <w:szCs w:val="21"/>
              </w:rPr>
              <w:t>和</w:t>
            </w:r>
            <w:r>
              <w:rPr>
                <w:color w:val="auto"/>
                <w:sz w:val="21"/>
                <w:szCs w:val="21"/>
              </w:rPr>
              <w:t>1</w:t>
            </w:r>
            <w:r>
              <w:rPr>
                <w:rFonts w:hAnsi="宋体"/>
                <w:color w:val="auto"/>
                <w:sz w:val="21"/>
                <w:szCs w:val="21"/>
              </w:rPr>
              <w:t>块</w:t>
            </w:r>
            <w:r>
              <w:rPr>
                <w:color w:val="auto"/>
                <w:sz w:val="21"/>
                <w:szCs w:val="21"/>
              </w:rPr>
              <w:t>1.32m</w:t>
            </w:r>
            <w:r>
              <w:rPr>
                <w:rFonts w:hAnsi="宋体"/>
                <w:color w:val="auto"/>
                <w:sz w:val="21"/>
                <w:szCs w:val="21"/>
              </w:rPr>
              <w:t>的板</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附等长度橡胶垫片和膨胀螺栓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玻璃钢罩</w:t>
            </w:r>
          </w:p>
        </w:tc>
        <w:tc>
          <w:tcPr>
            <w:tcW w:w="2409" w:type="dxa"/>
            <w:vAlign w:val="center"/>
          </w:tcPr>
          <w:p>
            <w:pPr>
              <w:jc w:val="center"/>
              <w:rPr>
                <w:color w:val="auto"/>
                <w:sz w:val="21"/>
                <w:szCs w:val="21"/>
              </w:rPr>
            </w:pPr>
            <w:r>
              <w:rPr>
                <w:rFonts w:hAnsi="宋体"/>
                <w:color w:val="auto"/>
                <w:sz w:val="21"/>
                <w:szCs w:val="21"/>
              </w:rPr>
              <w:t>直径</w:t>
            </w:r>
            <w:r>
              <w:rPr>
                <w:color w:val="auto"/>
                <w:sz w:val="21"/>
                <w:szCs w:val="21"/>
              </w:rPr>
              <w:t>10m</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污泥均质调理池</w:t>
            </w:r>
          </w:p>
        </w:tc>
        <w:tc>
          <w:tcPr>
            <w:tcW w:w="2167" w:type="dxa"/>
            <w:vAlign w:val="center"/>
          </w:tcPr>
          <w:p>
            <w:pPr>
              <w:jc w:val="center"/>
              <w:rPr>
                <w:color w:val="auto"/>
                <w:sz w:val="21"/>
                <w:szCs w:val="21"/>
              </w:rPr>
            </w:pPr>
            <w:r>
              <w:rPr>
                <w:rFonts w:hAnsi="宋体"/>
                <w:color w:val="auto"/>
                <w:sz w:val="21"/>
                <w:szCs w:val="21"/>
              </w:rPr>
              <w:t>污泥搅拌机</w:t>
            </w:r>
          </w:p>
        </w:tc>
        <w:tc>
          <w:tcPr>
            <w:tcW w:w="2409" w:type="dxa"/>
            <w:vAlign w:val="center"/>
          </w:tcPr>
          <w:p>
            <w:pPr>
              <w:jc w:val="center"/>
              <w:rPr>
                <w:color w:val="auto"/>
                <w:sz w:val="21"/>
                <w:szCs w:val="21"/>
              </w:rPr>
            </w:pPr>
            <w:r>
              <w:rPr>
                <w:color w:val="auto"/>
                <w:sz w:val="21"/>
                <w:szCs w:val="21"/>
              </w:rPr>
              <w:t>D=2600mm</w:t>
            </w:r>
            <w:r>
              <w:rPr>
                <w:rFonts w:hAnsi="宋体"/>
                <w:color w:val="auto"/>
                <w:sz w:val="21"/>
                <w:szCs w:val="21"/>
              </w:rPr>
              <w:t>，</w:t>
            </w:r>
            <w:r>
              <w:rPr>
                <w:color w:val="auto"/>
                <w:sz w:val="21"/>
                <w:szCs w:val="21"/>
              </w:rPr>
              <w:t>N=2.0kW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3</w:t>
            </w:r>
            <w:r>
              <w:rPr>
                <w:rFonts w:hAnsi="宋体"/>
                <w:color w:val="auto"/>
                <w:sz w:val="21"/>
                <w:szCs w:val="21"/>
              </w:rPr>
              <w:t>叶式，单层桨叶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潜水搅拌器</w:t>
            </w:r>
          </w:p>
        </w:tc>
        <w:tc>
          <w:tcPr>
            <w:tcW w:w="2409" w:type="dxa"/>
            <w:vAlign w:val="center"/>
          </w:tcPr>
          <w:p>
            <w:pPr>
              <w:jc w:val="center"/>
              <w:rPr>
                <w:color w:val="auto"/>
                <w:sz w:val="21"/>
                <w:szCs w:val="21"/>
              </w:rPr>
            </w:pPr>
            <w:r>
              <w:rPr>
                <w:color w:val="auto"/>
                <w:sz w:val="21"/>
                <w:szCs w:val="21"/>
              </w:rPr>
              <w:t>N=1.5KW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手电两用不锈钢调节堰门</w:t>
            </w:r>
          </w:p>
        </w:tc>
        <w:tc>
          <w:tcPr>
            <w:tcW w:w="2409" w:type="dxa"/>
            <w:vAlign w:val="center"/>
          </w:tcPr>
          <w:p>
            <w:pPr>
              <w:jc w:val="center"/>
              <w:rPr>
                <w:color w:val="auto"/>
                <w:sz w:val="21"/>
                <w:szCs w:val="21"/>
              </w:rPr>
            </w:pPr>
            <w:r>
              <w:rPr>
                <w:color w:val="auto"/>
                <w:sz w:val="21"/>
                <w:szCs w:val="21"/>
              </w:rPr>
              <w:t>B×H=800×600</w:t>
            </w:r>
            <w:r>
              <w:rPr>
                <w:rFonts w:hAnsi="宋体"/>
                <w:color w:val="auto"/>
                <w:sz w:val="21"/>
                <w:szCs w:val="21"/>
              </w:rPr>
              <w:t>，</w:t>
            </w:r>
            <w:r>
              <w:rPr>
                <w:color w:val="auto"/>
                <w:sz w:val="21"/>
                <w:szCs w:val="21"/>
              </w:rPr>
              <w:t>N=0.75kW</w:t>
            </w:r>
            <w:r>
              <w:rPr>
                <w:rFonts w:hAnsi="宋体"/>
                <w:color w:val="auto"/>
                <w:sz w:val="21"/>
                <w:szCs w:val="21"/>
              </w:rPr>
              <w:t>，双向受压</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污泥脱水机房</w:t>
            </w:r>
          </w:p>
        </w:tc>
        <w:tc>
          <w:tcPr>
            <w:tcW w:w="2167" w:type="dxa"/>
            <w:vAlign w:val="center"/>
          </w:tcPr>
          <w:p>
            <w:pPr>
              <w:jc w:val="center"/>
              <w:rPr>
                <w:color w:val="auto"/>
                <w:sz w:val="21"/>
                <w:szCs w:val="21"/>
              </w:rPr>
            </w:pPr>
            <w:r>
              <w:rPr>
                <w:rFonts w:hAnsi="宋体"/>
                <w:color w:val="auto"/>
                <w:sz w:val="21"/>
                <w:szCs w:val="21"/>
              </w:rPr>
              <w:t>隔膜压滤机</w:t>
            </w:r>
          </w:p>
        </w:tc>
        <w:tc>
          <w:tcPr>
            <w:tcW w:w="2409" w:type="dxa"/>
            <w:vAlign w:val="center"/>
          </w:tcPr>
          <w:p>
            <w:pPr>
              <w:jc w:val="center"/>
              <w:rPr>
                <w:color w:val="auto"/>
                <w:sz w:val="21"/>
                <w:szCs w:val="21"/>
              </w:rPr>
            </w:pPr>
            <w:r>
              <w:rPr>
                <w:rFonts w:hAnsi="宋体"/>
                <w:color w:val="auto"/>
                <w:sz w:val="21"/>
                <w:szCs w:val="21"/>
              </w:rPr>
              <w:t>过滤面积：</w:t>
            </w:r>
            <w:r>
              <w:rPr>
                <w:color w:val="auto"/>
                <w:sz w:val="21"/>
                <w:szCs w:val="21"/>
              </w:rPr>
              <w:t>200m</w:t>
            </w:r>
            <w:r>
              <w:rPr>
                <w:color w:val="auto"/>
                <w:sz w:val="21"/>
                <w:szCs w:val="21"/>
                <w:vertAlign w:val="superscript"/>
              </w:rPr>
              <w:t>2</w:t>
            </w:r>
            <w:r>
              <w:rPr>
                <w:rFonts w:hAnsi="宋体"/>
                <w:color w:val="auto"/>
                <w:sz w:val="21"/>
                <w:szCs w:val="21"/>
              </w:rPr>
              <w:t>，过滤压力：</w:t>
            </w:r>
            <w:r>
              <w:rPr>
                <w:color w:val="auto"/>
                <w:sz w:val="21"/>
                <w:szCs w:val="21"/>
              </w:rPr>
              <w:t>≤1.2MPa;</w:t>
            </w:r>
            <w:r>
              <w:rPr>
                <w:rFonts w:hAnsi="宋体"/>
                <w:color w:val="auto"/>
                <w:sz w:val="21"/>
                <w:szCs w:val="21"/>
              </w:rPr>
              <w:t>隔膜压榨压力：</w:t>
            </w:r>
            <w:r>
              <w:rPr>
                <w:color w:val="auto"/>
                <w:sz w:val="21"/>
                <w:szCs w:val="21"/>
              </w:rPr>
              <w:t>≤1.8MPa</w:t>
            </w:r>
            <w:r>
              <w:rPr>
                <w:rFonts w:hAnsi="宋体"/>
                <w:color w:val="auto"/>
                <w:sz w:val="21"/>
                <w:szCs w:val="21"/>
              </w:rPr>
              <w:t>，</w:t>
            </w:r>
            <w:r>
              <w:rPr>
                <w:color w:val="auto"/>
                <w:sz w:val="21"/>
                <w:szCs w:val="21"/>
              </w:rPr>
              <w:t>P=12.3kW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每批次进泥量</w:t>
            </w:r>
            <w:r>
              <w:rPr>
                <w:color w:val="auto"/>
                <w:sz w:val="21"/>
                <w:szCs w:val="21"/>
              </w:rPr>
              <w:t>44.4~125m</w:t>
            </w:r>
            <w:r>
              <w:rPr>
                <w:rFonts w:hAnsi="宋体"/>
                <w:color w:val="auto"/>
                <w:sz w:val="21"/>
                <w:szCs w:val="21"/>
              </w:rPr>
              <w:t>，压滤机除臭罩及钢平台配套供货</w:t>
            </w:r>
            <w:r>
              <w:rPr>
                <w:color w:val="auto"/>
                <w:sz w:val="21"/>
                <w:szCs w:val="21"/>
              </w:rPr>
              <w:t>;</w:t>
            </w:r>
            <w:r>
              <w:rPr>
                <w:rFonts w:hAnsi="宋体"/>
                <w:color w:val="auto"/>
                <w:sz w:val="21"/>
                <w:szCs w:val="21"/>
              </w:rPr>
              <w:t>近期</w:t>
            </w:r>
            <w:r>
              <w:rPr>
                <w:color w:val="auto"/>
                <w:sz w:val="21"/>
                <w:szCs w:val="21"/>
              </w:rPr>
              <w:t>2</w:t>
            </w:r>
            <w:r>
              <w:rPr>
                <w:rFonts w:hAnsi="宋体"/>
                <w:color w:val="auto"/>
                <w:sz w:val="21"/>
                <w:szCs w:val="21"/>
              </w:rPr>
              <w:t>台，远期增加</w:t>
            </w:r>
            <w:r>
              <w:rPr>
                <w:color w:val="auto"/>
                <w:sz w:val="21"/>
                <w:szCs w:val="21"/>
              </w:rPr>
              <w:t>1</w:t>
            </w:r>
            <w:r>
              <w:rPr>
                <w:rFonts w:hAnsi="宋体"/>
                <w:color w:val="auto"/>
                <w:sz w:val="21"/>
                <w:szCs w:val="21"/>
              </w:rPr>
              <w:t>台</w:t>
            </w:r>
            <w:r>
              <w:rPr>
                <w:color w:val="auto"/>
                <w:sz w:val="21"/>
                <w:szCs w:val="21"/>
              </w:rPr>
              <w:t>,</w:t>
            </w:r>
            <w:r>
              <w:rPr>
                <w:rFonts w:hAnsi="宋体"/>
                <w:color w:val="auto"/>
                <w:sz w:val="21"/>
                <w:szCs w:val="21"/>
              </w:rPr>
              <w:t>满载总重</w:t>
            </w:r>
            <w:r>
              <w:rPr>
                <w:color w:val="auto"/>
                <w:sz w:val="21"/>
                <w:szCs w:val="21"/>
              </w:rPr>
              <w:t>43t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进料螺杆泵</w:t>
            </w:r>
          </w:p>
        </w:tc>
        <w:tc>
          <w:tcPr>
            <w:tcW w:w="2409" w:type="dxa"/>
            <w:vAlign w:val="center"/>
          </w:tcPr>
          <w:p>
            <w:pPr>
              <w:jc w:val="center"/>
              <w:rPr>
                <w:color w:val="auto"/>
                <w:sz w:val="21"/>
                <w:szCs w:val="21"/>
              </w:rPr>
            </w:pPr>
            <w:r>
              <w:rPr>
                <w:color w:val="auto"/>
                <w:sz w:val="21"/>
                <w:szCs w:val="21"/>
              </w:rPr>
              <w:t>Q=20~60m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H=6~8Bar</w:t>
            </w:r>
            <w:r>
              <w:rPr>
                <w:rFonts w:hAnsi="宋体"/>
                <w:color w:val="auto"/>
                <w:sz w:val="21"/>
                <w:szCs w:val="21"/>
              </w:rPr>
              <w:t>，</w:t>
            </w:r>
            <w:r>
              <w:rPr>
                <w:color w:val="auto"/>
                <w:sz w:val="21"/>
                <w:szCs w:val="21"/>
              </w:rPr>
              <w:t>P=18.5kW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变频，用于隔膜压滤机</w:t>
            </w:r>
            <w:r>
              <w:rPr>
                <w:color w:val="auto"/>
                <w:sz w:val="21"/>
                <w:szCs w:val="21"/>
              </w:rPr>
              <w:t>;</w:t>
            </w:r>
            <w:r>
              <w:rPr>
                <w:rFonts w:hAnsi="宋体"/>
                <w:color w:val="auto"/>
                <w:sz w:val="21"/>
                <w:szCs w:val="21"/>
              </w:rPr>
              <w:t>近期</w:t>
            </w:r>
            <w:r>
              <w:rPr>
                <w:color w:val="auto"/>
                <w:sz w:val="21"/>
                <w:szCs w:val="21"/>
              </w:rPr>
              <w:t>2</w:t>
            </w:r>
            <w:r>
              <w:rPr>
                <w:rFonts w:hAnsi="宋体"/>
                <w:color w:val="auto"/>
                <w:sz w:val="21"/>
                <w:szCs w:val="21"/>
              </w:rPr>
              <w:t>台，远期增加</w:t>
            </w:r>
            <w:r>
              <w:rPr>
                <w:color w:val="auto"/>
                <w:sz w:val="21"/>
                <w:szCs w:val="21"/>
              </w:rPr>
              <w:t>1</w:t>
            </w:r>
            <w:r>
              <w:rPr>
                <w:rFonts w:hAnsi="宋体"/>
                <w:color w:val="auto"/>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保压螺杆泵</w:t>
            </w:r>
          </w:p>
        </w:tc>
        <w:tc>
          <w:tcPr>
            <w:tcW w:w="2409" w:type="dxa"/>
            <w:vAlign w:val="center"/>
          </w:tcPr>
          <w:p>
            <w:pPr>
              <w:jc w:val="center"/>
              <w:rPr>
                <w:color w:val="auto"/>
                <w:sz w:val="21"/>
                <w:szCs w:val="21"/>
              </w:rPr>
            </w:pPr>
            <w:r>
              <w:rPr>
                <w:color w:val="auto"/>
                <w:sz w:val="21"/>
                <w:szCs w:val="21"/>
              </w:rPr>
              <w:t>Q=0~20m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H=12~15Bar</w:t>
            </w:r>
            <w:r>
              <w:rPr>
                <w:rFonts w:hAnsi="宋体"/>
                <w:color w:val="auto"/>
                <w:sz w:val="21"/>
                <w:szCs w:val="21"/>
              </w:rPr>
              <w:t>，</w:t>
            </w:r>
            <w:r>
              <w:rPr>
                <w:color w:val="auto"/>
                <w:sz w:val="21"/>
                <w:szCs w:val="21"/>
              </w:rPr>
              <w:t>P=15kW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变频</w:t>
            </w:r>
            <w:r>
              <w:rPr>
                <w:color w:val="auto"/>
                <w:sz w:val="21"/>
                <w:szCs w:val="21"/>
              </w:rPr>
              <w:t>;</w:t>
            </w:r>
            <w:r>
              <w:rPr>
                <w:rFonts w:hAnsi="宋体"/>
                <w:color w:val="auto"/>
                <w:sz w:val="21"/>
                <w:szCs w:val="21"/>
              </w:rPr>
              <w:t>近期</w:t>
            </w:r>
            <w:r>
              <w:rPr>
                <w:color w:val="auto"/>
                <w:sz w:val="21"/>
                <w:szCs w:val="21"/>
              </w:rPr>
              <w:t>2</w:t>
            </w:r>
            <w:r>
              <w:rPr>
                <w:rFonts w:hAnsi="宋体"/>
                <w:color w:val="auto"/>
                <w:sz w:val="21"/>
                <w:szCs w:val="21"/>
              </w:rPr>
              <w:t>台，</w:t>
            </w:r>
            <w:r>
              <w:rPr>
                <w:color w:val="auto"/>
                <w:sz w:val="21"/>
                <w:szCs w:val="21"/>
              </w:rPr>
              <w:t>2</w:t>
            </w:r>
            <w:r>
              <w:rPr>
                <w:rFonts w:hAnsi="宋体"/>
                <w:color w:val="auto"/>
                <w:sz w:val="21"/>
                <w:szCs w:val="21"/>
              </w:rPr>
              <w:t>常用，远期增加</w:t>
            </w:r>
            <w:r>
              <w:rPr>
                <w:color w:val="auto"/>
                <w:sz w:val="21"/>
                <w:szCs w:val="21"/>
              </w:rPr>
              <w:t>1</w:t>
            </w:r>
            <w:r>
              <w:rPr>
                <w:rFonts w:hAnsi="宋体"/>
                <w:color w:val="auto"/>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压榨用多级离心泵</w:t>
            </w:r>
          </w:p>
        </w:tc>
        <w:tc>
          <w:tcPr>
            <w:tcW w:w="2409" w:type="dxa"/>
            <w:vAlign w:val="center"/>
          </w:tcPr>
          <w:p>
            <w:pPr>
              <w:jc w:val="center"/>
              <w:rPr>
                <w:color w:val="auto"/>
                <w:sz w:val="21"/>
                <w:szCs w:val="21"/>
              </w:rPr>
            </w:pPr>
            <w:r>
              <w:rPr>
                <w:color w:val="auto"/>
                <w:sz w:val="21"/>
                <w:szCs w:val="21"/>
              </w:rPr>
              <w:t>Q=0~12m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H=18Bar</w:t>
            </w:r>
            <w:r>
              <w:rPr>
                <w:rFonts w:hAnsi="宋体"/>
                <w:color w:val="auto"/>
                <w:sz w:val="21"/>
                <w:szCs w:val="21"/>
              </w:rPr>
              <w:t>，</w:t>
            </w:r>
            <w:r>
              <w:rPr>
                <w:color w:val="auto"/>
                <w:sz w:val="21"/>
                <w:szCs w:val="21"/>
              </w:rPr>
              <w:t>P=15kW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变频</w:t>
            </w:r>
            <w:r>
              <w:rPr>
                <w:color w:val="auto"/>
                <w:sz w:val="21"/>
                <w:szCs w:val="21"/>
              </w:rPr>
              <w:t>;</w:t>
            </w:r>
            <w:r>
              <w:rPr>
                <w:rFonts w:hAnsi="宋体"/>
                <w:color w:val="auto"/>
                <w:sz w:val="21"/>
                <w:szCs w:val="21"/>
              </w:rPr>
              <w:t>近期</w:t>
            </w:r>
            <w:r>
              <w:rPr>
                <w:color w:val="auto"/>
                <w:sz w:val="21"/>
                <w:szCs w:val="21"/>
              </w:rPr>
              <w:t>2</w:t>
            </w:r>
            <w:r>
              <w:rPr>
                <w:rFonts w:hAnsi="宋体"/>
                <w:color w:val="auto"/>
                <w:sz w:val="21"/>
                <w:szCs w:val="21"/>
              </w:rPr>
              <w:t>台，</w:t>
            </w:r>
            <w:r>
              <w:rPr>
                <w:color w:val="auto"/>
                <w:sz w:val="21"/>
                <w:szCs w:val="21"/>
              </w:rPr>
              <w:t>2</w:t>
            </w:r>
            <w:r>
              <w:rPr>
                <w:rFonts w:hAnsi="宋体"/>
                <w:color w:val="auto"/>
                <w:sz w:val="21"/>
                <w:szCs w:val="21"/>
              </w:rPr>
              <w:t>常用，远期增加</w:t>
            </w:r>
            <w:r>
              <w:rPr>
                <w:color w:val="auto"/>
                <w:sz w:val="21"/>
                <w:szCs w:val="21"/>
              </w:rPr>
              <w:t>1</w:t>
            </w:r>
            <w:r>
              <w:rPr>
                <w:rFonts w:hAnsi="宋体"/>
                <w:color w:val="auto"/>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挤压储水箱</w:t>
            </w:r>
          </w:p>
        </w:tc>
        <w:tc>
          <w:tcPr>
            <w:tcW w:w="2409" w:type="dxa"/>
            <w:vAlign w:val="center"/>
          </w:tcPr>
          <w:p>
            <w:pPr>
              <w:jc w:val="center"/>
              <w:rPr>
                <w:color w:val="auto"/>
                <w:sz w:val="21"/>
                <w:szCs w:val="21"/>
              </w:rPr>
            </w:pPr>
            <w:r>
              <w:rPr>
                <w:color w:val="auto"/>
                <w:sz w:val="21"/>
                <w:szCs w:val="21"/>
              </w:rPr>
              <w:t>V=10m</w:t>
            </w:r>
            <w:r>
              <w:rPr>
                <w:color w:val="auto"/>
                <w:sz w:val="21"/>
                <w:szCs w:val="21"/>
                <w:vertAlign w:val="superscript"/>
              </w:rPr>
              <w:t>3</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电动单梁起重机</w:t>
            </w:r>
          </w:p>
        </w:tc>
        <w:tc>
          <w:tcPr>
            <w:tcW w:w="2409" w:type="dxa"/>
            <w:vAlign w:val="center"/>
          </w:tcPr>
          <w:p>
            <w:pPr>
              <w:jc w:val="center"/>
              <w:rPr>
                <w:color w:val="auto"/>
                <w:sz w:val="21"/>
                <w:szCs w:val="21"/>
              </w:rPr>
            </w:pPr>
            <w:r>
              <w:rPr>
                <w:color w:val="auto"/>
                <w:sz w:val="21"/>
                <w:szCs w:val="21"/>
              </w:rPr>
              <w:t>T=5t</w:t>
            </w:r>
            <w:r>
              <w:rPr>
                <w:rFonts w:hAnsi="宋体"/>
                <w:color w:val="auto"/>
                <w:sz w:val="21"/>
                <w:szCs w:val="21"/>
              </w:rPr>
              <w:t>，</w:t>
            </w:r>
            <w:r>
              <w:rPr>
                <w:color w:val="auto"/>
                <w:sz w:val="21"/>
                <w:szCs w:val="21"/>
              </w:rPr>
              <w:t>Lk=22.5m</w:t>
            </w:r>
            <w:r>
              <w:rPr>
                <w:rFonts w:hAnsi="宋体"/>
                <w:color w:val="auto"/>
                <w:sz w:val="21"/>
                <w:szCs w:val="21"/>
              </w:rPr>
              <w:t>，</w:t>
            </w:r>
            <w:r>
              <w:rPr>
                <w:color w:val="auto"/>
                <w:sz w:val="21"/>
                <w:szCs w:val="21"/>
              </w:rPr>
              <w:t>H=18m</w:t>
            </w:r>
            <w:r>
              <w:rPr>
                <w:rFonts w:hAnsi="宋体"/>
                <w:color w:val="auto"/>
                <w:sz w:val="21"/>
                <w:szCs w:val="21"/>
              </w:rPr>
              <w:t>，</w:t>
            </w:r>
            <w:r>
              <w:rPr>
                <w:color w:val="auto"/>
                <w:sz w:val="21"/>
                <w:szCs w:val="21"/>
              </w:rPr>
              <w:t>P=(7.5+0.8+1.5×2)kW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含工字钢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清洗水箱</w:t>
            </w:r>
          </w:p>
        </w:tc>
        <w:tc>
          <w:tcPr>
            <w:tcW w:w="2409" w:type="dxa"/>
            <w:vAlign w:val="center"/>
          </w:tcPr>
          <w:p>
            <w:pPr>
              <w:jc w:val="center"/>
              <w:rPr>
                <w:color w:val="auto"/>
                <w:sz w:val="21"/>
                <w:szCs w:val="21"/>
              </w:rPr>
            </w:pPr>
            <w:r>
              <w:rPr>
                <w:color w:val="auto"/>
                <w:sz w:val="21"/>
                <w:szCs w:val="21"/>
              </w:rPr>
              <w:t>V=5m</w:t>
            </w:r>
            <w:r>
              <w:rPr>
                <w:color w:val="auto"/>
                <w:sz w:val="21"/>
                <w:szCs w:val="21"/>
                <w:vertAlign w:val="superscript"/>
              </w:rPr>
              <w:t>3</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水平皮带输送机</w:t>
            </w:r>
          </w:p>
        </w:tc>
        <w:tc>
          <w:tcPr>
            <w:tcW w:w="2409" w:type="dxa"/>
            <w:vAlign w:val="center"/>
          </w:tcPr>
          <w:p>
            <w:pPr>
              <w:jc w:val="center"/>
              <w:rPr>
                <w:color w:val="auto"/>
                <w:sz w:val="21"/>
                <w:szCs w:val="21"/>
              </w:rPr>
            </w:pPr>
            <w:r>
              <w:rPr>
                <w:color w:val="auto"/>
                <w:sz w:val="21"/>
                <w:szCs w:val="21"/>
              </w:rPr>
              <w:t>B=1.0m</w:t>
            </w:r>
            <w:r>
              <w:rPr>
                <w:rFonts w:hAnsi="宋体"/>
                <w:color w:val="auto"/>
                <w:sz w:val="21"/>
                <w:szCs w:val="21"/>
              </w:rPr>
              <w:t>，</w:t>
            </w:r>
            <w:r>
              <w:rPr>
                <w:color w:val="auto"/>
                <w:sz w:val="21"/>
                <w:szCs w:val="21"/>
              </w:rPr>
              <w:t>L=11.5m</w:t>
            </w:r>
            <w:r>
              <w:rPr>
                <w:rFonts w:hAnsi="宋体"/>
                <w:color w:val="auto"/>
                <w:sz w:val="21"/>
                <w:szCs w:val="21"/>
              </w:rPr>
              <w:t>，</w:t>
            </w:r>
            <w:r>
              <w:rPr>
                <w:color w:val="auto"/>
                <w:sz w:val="21"/>
                <w:szCs w:val="21"/>
              </w:rPr>
              <w:t>P=7.5kW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远期增加</w:t>
            </w:r>
            <w:r>
              <w:rPr>
                <w:color w:val="auto"/>
                <w:sz w:val="21"/>
                <w:szCs w:val="21"/>
              </w:rPr>
              <w:t>1</w:t>
            </w:r>
            <w:r>
              <w:rPr>
                <w:rFonts w:hAnsi="宋体"/>
                <w:color w:val="auto"/>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倾斜皮带输送机</w:t>
            </w:r>
          </w:p>
        </w:tc>
        <w:tc>
          <w:tcPr>
            <w:tcW w:w="2409" w:type="dxa"/>
            <w:vAlign w:val="center"/>
          </w:tcPr>
          <w:p>
            <w:pPr>
              <w:jc w:val="center"/>
              <w:rPr>
                <w:color w:val="auto"/>
                <w:sz w:val="21"/>
                <w:szCs w:val="21"/>
              </w:rPr>
            </w:pPr>
            <w:r>
              <w:rPr>
                <w:color w:val="auto"/>
                <w:sz w:val="21"/>
                <w:szCs w:val="21"/>
              </w:rPr>
              <w:t>B=1.0m</w:t>
            </w:r>
            <w:r>
              <w:rPr>
                <w:rFonts w:hAnsi="宋体"/>
                <w:color w:val="auto"/>
                <w:sz w:val="21"/>
                <w:szCs w:val="21"/>
              </w:rPr>
              <w:t>，</w:t>
            </w:r>
            <w:r>
              <w:rPr>
                <w:color w:val="auto"/>
                <w:sz w:val="21"/>
                <w:szCs w:val="21"/>
              </w:rPr>
              <w:t>L=10m</w:t>
            </w:r>
            <w:r>
              <w:rPr>
                <w:rFonts w:hAnsi="宋体"/>
                <w:color w:val="auto"/>
                <w:sz w:val="21"/>
                <w:szCs w:val="21"/>
              </w:rPr>
              <w:t>，</w:t>
            </w:r>
            <w:r>
              <w:rPr>
                <w:color w:val="auto"/>
                <w:sz w:val="21"/>
                <w:szCs w:val="21"/>
              </w:rPr>
              <w:t>P=7.5kW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远期增加</w:t>
            </w:r>
            <w:r>
              <w:rPr>
                <w:color w:val="auto"/>
                <w:sz w:val="21"/>
                <w:szCs w:val="21"/>
              </w:rPr>
              <w:t>1</w:t>
            </w:r>
            <w:r>
              <w:rPr>
                <w:rFonts w:hAnsi="宋体"/>
                <w:color w:val="auto"/>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高压冲洗泵</w:t>
            </w:r>
          </w:p>
        </w:tc>
        <w:tc>
          <w:tcPr>
            <w:tcW w:w="2409" w:type="dxa"/>
            <w:vAlign w:val="center"/>
          </w:tcPr>
          <w:p>
            <w:pPr>
              <w:jc w:val="center"/>
              <w:rPr>
                <w:color w:val="auto"/>
                <w:sz w:val="21"/>
                <w:szCs w:val="21"/>
              </w:rPr>
            </w:pPr>
            <w:r>
              <w:rPr>
                <w:color w:val="auto"/>
                <w:sz w:val="21"/>
                <w:szCs w:val="21"/>
              </w:rPr>
              <w:t>Q=20m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H=100m,P=37kW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空压机</w:t>
            </w:r>
          </w:p>
        </w:tc>
        <w:tc>
          <w:tcPr>
            <w:tcW w:w="2409" w:type="dxa"/>
            <w:vAlign w:val="center"/>
          </w:tcPr>
          <w:p>
            <w:pPr>
              <w:jc w:val="center"/>
              <w:rPr>
                <w:color w:val="auto"/>
                <w:sz w:val="21"/>
                <w:szCs w:val="21"/>
              </w:rPr>
            </w:pPr>
            <w:r>
              <w:rPr>
                <w:color w:val="auto"/>
                <w:sz w:val="21"/>
                <w:szCs w:val="21"/>
              </w:rPr>
              <w:t>Q=5.0m</w:t>
            </w:r>
            <w:r>
              <w:rPr>
                <w:color w:val="auto"/>
                <w:sz w:val="21"/>
                <w:szCs w:val="21"/>
                <w:vertAlign w:val="superscript"/>
              </w:rPr>
              <w:t>3</w:t>
            </w:r>
            <w:r>
              <w:rPr>
                <w:color w:val="auto"/>
                <w:sz w:val="21"/>
                <w:szCs w:val="21"/>
              </w:rPr>
              <w:t>/min</w:t>
            </w:r>
            <w:r>
              <w:rPr>
                <w:rFonts w:hAnsi="宋体"/>
                <w:color w:val="auto"/>
                <w:sz w:val="21"/>
                <w:szCs w:val="21"/>
              </w:rPr>
              <w:t>，</w:t>
            </w:r>
            <w:r>
              <w:rPr>
                <w:color w:val="auto"/>
                <w:sz w:val="21"/>
                <w:szCs w:val="21"/>
              </w:rPr>
              <w:t>H=8.5bar</w:t>
            </w:r>
            <w:r>
              <w:rPr>
                <w:rFonts w:hAnsi="宋体"/>
                <w:color w:val="auto"/>
                <w:sz w:val="21"/>
                <w:szCs w:val="21"/>
              </w:rPr>
              <w:t>，</w:t>
            </w:r>
            <w:r>
              <w:rPr>
                <w:color w:val="auto"/>
                <w:sz w:val="21"/>
                <w:szCs w:val="21"/>
              </w:rPr>
              <w:t>N=30kW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中心反吹用，重量</w:t>
            </w:r>
            <w:r>
              <w:rPr>
                <w:color w:val="auto"/>
                <w:sz w:val="21"/>
                <w:szCs w:val="21"/>
              </w:rPr>
              <w:t>1t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空压机</w:t>
            </w:r>
          </w:p>
        </w:tc>
        <w:tc>
          <w:tcPr>
            <w:tcW w:w="2409" w:type="dxa"/>
            <w:vAlign w:val="center"/>
          </w:tcPr>
          <w:p>
            <w:pPr>
              <w:jc w:val="center"/>
              <w:rPr>
                <w:color w:val="auto"/>
                <w:sz w:val="21"/>
                <w:szCs w:val="21"/>
              </w:rPr>
            </w:pPr>
            <w:r>
              <w:rPr>
                <w:color w:val="auto"/>
                <w:sz w:val="21"/>
                <w:szCs w:val="21"/>
              </w:rPr>
              <w:t>Q=1.0m</w:t>
            </w:r>
            <w:r>
              <w:rPr>
                <w:color w:val="auto"/>
                <w:sz w:val="21"/>
                <w:szCs w:val="21"/>
                <w:vertAlign w:val="superscript"/>
              </w:rPr>
              <w:t>3</w:t>
            </w:r>
            <w:r>
              <w:rPr>
                <w:color w:val="auto"/>
                <w:sz w:val="21"/>
                <w:szCs w:val="21"/>
              </w:rPr>
              <w:t>/min</w:t>
            </w:r>
            <w:r>
              <w:rPr>
                <w:rFonts w:hAnsi="宋体"/>
                <w:color w:val="auto"/>
                <w:sz w:val="21"/>
                <w:szCs w:val="21"/>
              </w:rPr>
              <w:t>，</w:t>
            </w:r>
            <w:r>
              <w:rPr>
                <w:color w:val="auto"/>
                <w:sz w:val="21"/>
                <w:szCs w:val="21"/>
              </w:rPr>
              <w:t>H=8bar</w:t>
            </w:r>
            <w:r>
              <w:rPr>
                <w:rFonts w:hAnsi="宋体"/>
                <w:color w:val="auto"/>
                <w:sz w:val="21"/>
                <w:szCs w:val="21"/>
              </w:rPr>
              <w:t>，</w:t>
            </w:r>
            <w:r>
              <w:rPr>
                <w:color w:val="auto"/>
                <w:sz w:val="21"/>
                <w:szCs w:val="21"/>
              </w:rPr>
              <w:t>N=7.5kW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阀门仪表用，重量</w:t>
            </w:r>
            <w:r>
              <w:rPr>
                <w:color w:val="auto"/>
                <w:sz w:val="21"/>
                <w:szCs w:val="21"/>
              </w:rPr>
              <w:t>300kg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吹脱储气罐</w:t>
            </w:r>
          </w:p>
        </w:tc>
        <w:tc>
          <w:tcPr>
            <w:tcW w:w="2409" w:type="dxa"/>
            <w:vAlign w:val="center"/>
          </w:tcPr>
          <w:p>
            <w:pPr>
              <w:jc w:val="center"/>
              <w:rPr>
                <w:color w:val="auto"/>
                <w:sz w:val="21"/>
                <w:szCs w:val="21"/>
              </w:rPr>
            </w:pPr>
            <w:r>
              <w:rPr>
                <w:color w:val="auto"/>
                <w:sz w:val="21"/>
                <w:szCs w:val="21"/>
              </w:rPr>
              <w:t>V=10m</w:t>
            </w:r>
            <w:r>
              <w:rPr>
                <w:color w:val="auto"/>
                <w:sz w:val="21"/>
                <w:szCs w:val="21"/>
                <w:vertAlign w:val="superscript"/>
              </w:rPr>
              <w:t>3</w:t>
            </w:r>
            <w:r>
              <w:rPr>
                <w:rFonts w:hAnsi="宋体"/>
                <w:color w:val="auto"/>
                <w:sz w:val="21"/>
                <w:szCs w:val="21"/>
              </w:rPr>
              <w:t>，</w:t>
            </w:r>
            <w:r>
              <w:rPr>
                <w:color w:val="auto"/>
                <w:sz w:val="21"/>
                <w:szCs w:val="21"/>
              </w:rPr>
              <w:t>H=1.0Mpa</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中心反吹用，重量</w:t>
            </w:r>
            <w:r>
              <w:rPr>
                <w:color w:val="auto"/>
                <w:sz w:val="21"/>
                <w:szCs w:val="21"/>
              </w:rPr>
              <w:t>1820kg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仪表用储气罐</w:t>
            </w:r>
          </w:p>
        </w:tc>
        <w:tc>
          <w:tcPr>
            <w:tcW w:w="2409" w:type="dxa"/>
            <w:vAlign w:val="center"/>
          </w:tcPr>
          <w:p>
            <w:pPr>
              <w:jc w:val="center"/>
              <w:rPr>
                <w:color w:val="auto"/>
                <w:sz w:val="21"/>
                <w:szCs w:val="21"/>
              </w:rPr>
            </w:pPr>
            <w:r>
              <w:rPr>
                <w:color w:val="auto"/>
                <w:sz w:val="21"/>
                <w:szCs w:val="21"/>
              </w:rPr>
              <w:t>V=1m</w:t>
            </w:r>
            <w:r>
              <w:rPr>
                <w:color w:val="auto"/>
                <w:sz w:val="21"/>
                <w:szCs w:val="21"/>
                <w:vertAlign w:val="superscript"/>
              </w:rPr>
              <w:t>3</w:t>
            </w:r>
            <w:r>
              <w:rPr>
                <w:rFonts w:hAnsi="宋体"/>
                <w:color w:val="auto"/>
                <w:sz w:val="21"/>
                <w:szCs w:val="21"/>
              </w:rPr>
              <w:t>，</w:t>
            </w:r>
            <w:r>
              <w:rPr>
                <w:color w:val="auto"/>
                <w:sz w:val="21"/>
                <w:szCs w:val="21"/>
              </w:rPr>
              <w:t>H=1.0Mpa</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阀门仪表用，重量</w:t>
            </w:r>
            <w:r>
              <w:rPr>
                <w:color w:val="auto"/>
                <w:sz w:val="21"/>
                <w:szCs w:val="21"/>
              </w:rPr>
              <w:t>300kg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冷干机</w:t>
            </w:r>
          </w:p>
        </w:tc>
        <w:tc>
          <w:tcPr>
            <w:tcW w:w="2409" w:type="dxa"/>
            <w:vAlign w:val="center"/>
          </w:tcPr>
          <w:p>
            <w:pPr>
              <w:jc w:val="center"/>
              <w:rPr>
                <w:color w:val="auto"/>
                <w:sz w:val="21"/>
                <w:szCs w:val="21"/>
              </w:rPr>
            </w:pPr>
            <w:r>
              <w:rPr>
                <w:rFonts w:hAnsi="宋体"/>
                <w:color w:val="auto"/>
                <w:sz w:val="21"/>
                <w:szCs w:val="21"/>
              </w:rPr>
              <w:t>与空压机配套</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与</w:t>
            </w:r>
            <w:r>
              <w:rPr>
                <w:color w:val="auto"/>
                <w:sz w:val="21"/>
                <w:szCs w:val="21"/>
              </w:rPr>
              <w:t>2</w:t>
            </w:r>
            <w:r>
              <w:rPr>
                <w:rFonts w:hAnsi="宋体"/>
                <w:color w:val="auto"/>
                <w:sz w:val="21"/>
                <w:szCs w:val="21"/>
              </w:rPr>
              <w:t>套空压机分别对应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安全喷淋装置</w:t>
            </w:r>
          </w:p>
        </w:tc>
        <w:tc>
          <w:tcPr>
            <w:tcW w:w="2409" w:type="dxa"/>
            <w:vAlign w:val="center"/>
          </w:tcPr>
          <w:p>
            <w:pPr>
              <w:jc w:val="center"/>
              <w:rPr>
                <w:color w:val="auto"/>
                <w:sz w:val="21"/>
                <w:szCs w:val="21"/>
              </w:rPr>
            </w:pP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存水泵</w:t>
            </w:r>
          </w:p>
        </w:tc>
        <w:tc>
          <w:tcPr>
            <w:tcW w:w="2409" w:type="dxa"/>
            <w:vAlign w:val="center"/>
          </w:tcPr>
          <w:p>
            <w:pPr>
              <w:jc w:val="center"/>
              <w:rPr>
                <w:color w:val="auto"/>
                <w:sz w:val="21"/>
                <w:szCs w:val="21"/>
              </w:rPr>
            </w:pPr>
            <w:r>
              <w:rPr>
                <w:color w:val="auto"/>
                <w:sz w:val="21"/>
                <w:szCs w:val="21"/>
              </w:rPr>
              <w:t>Q=10m</w:t>
            </w:r>
            <w:r>
              <w:rPr>
                <w:color w:val="auto"/>
                <w:sz w:val="21"/>
                <w:szCs w:val="21"/>
                <w:vertAlign w:val="superscript"/>
              </w:rPr>
              <w:t>3</w:t>
            </w:r>
            <w:r>
              <w:rPr>
                <w:color w:val="auto"/>
                <w:sz w:val="21"/>
                <w:szCs w:val="21"/>
              </w:rPr>
              <w:t>/hH=8.5mP=1.5kW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加药稀释储水箱</w:t>
            </w:r>
          </w:p>
        </w:tc>
        <w:tc>
          <w:tcPr>
            <w:tcW w:w="2409" w:type="dxa"/>
            <w:vAlign w:val="center"/>
          </w:tcPr>
          <w:p>
            <w:pPr>
              <w:jc w:val="center"/>
              <w:rPr>
                <w:color w:val="auto"/>
                <w:sz w:val="21"/>
                <w:szCs w:val="21"/>
              </w:rPr>
            </w:pPr>
            <w:r>
              <w:rPr>
                <w:color w:val="auto"/>
                <w:sz w:val="21"/>
                <w:szCs w:val="21"/>
              </w:rPr>
              <w:t>V=2m</w:t>
            </w:r>
            <w:r>
              <w:rPr>
                <w:color w:val="auto"/>
                <w:sz w:val="21"/>
                <w:szCs w:val="21"/>
                <w:vertAlign w:val="superscript"/>
              </w:rPr>
              <w:t>3</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加药稀释水泵</w:t>
            </w:r>
          </w:p>
        </w:tc>
        <w:tc>
          <w:tcPr>
            <w:tcW w:w="2409" w:type="dxa"/>
            <w:vAlign w:val="center"/>
          </w:tcPr>
          <w:p>
            <w:pPr>
              <w:jc w:val="center"/>
              <w:rPr>
                <w:color w:val="auto"/>
                <w:sz w:val="21"/>
                <w:szCs w:val="21"/>
              </w:rPr>
            </w:pPr>
            <w:r>
              <w:rPr>
                <w:color w:val="auto"/>
                <w:sz w:val="21"/>
                <w:szCs w:val="21"/>
              </w:rPr>
              <w:t>Q=10m</w:t>
            </w:r>
            <w:r>
              <w:rPr>
                <w:color w:val="auto"/>
                <w:sz w:val="21"/>
                <w:szCs w:val="21"/>
                <w:vertAlign w:val="superscript"/>
              </w:rPr>
              <w:t>3</w:t>
            </w:r>
            <w:r>
              <w:rPr>
                <w:color w:val="auto"/>
                <w:sz w:val="21"/>
                <w:szCs w:val="21"/>
              </w:rPr>
              <w:t>/hH=10mP=1.35kW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库备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在线稀释装置</w:t>
            </w:r>
          </w:p>
        </w:tc>
        <w:tc>
          <w:tcPr>
            <w:tcW w:w="2409" w:type="dxa"/>
            <w:vAlign w:val="center"/>
          </w:tcPr>
          <w:p>
            <w:pPr>
              <w:jc w:val="center"/>
              <w:rPr>
                <w:color w:val="auto"/>
                <w:sz w:val="21"/>
                <w:szCs w:val="21"/>
              </w:rPr>
            </w:pPr>
            <w:r>
              <w:rPr>
                <w:color w:val="auto"/>
                <w:sz w:val="21"/>
                <w:szCs w:val="21"/>
              </w:rPr>
              <w:t>Q=10m</w:t>
            </w:r>
            <w:r>
              <w:rPr>
                <w:color w:val="auto"/>
                <w:sz w:val="21"/>
                <w:szCs w:val="21"/>
                <w:vertAlign w:val="superscript"/>
              </w:rPr>
              <w:t>3</w:t>
            </w:r>
            <w:r>
              <w:rPr>
                <w:color w:val="auto"/>
                <w:sz w:val="21"/>
                <w:szCs w:val="21"/>
              </w:rPr>
              <w:t>/h</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附流量计、球阀、针阀及电磁阀等配件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絮凝制配系统</w:t>
            </w:r>
          </w:p>
        </w:tc>
        <w:tc>
          <w:tcPr>
            <w:tcW w:w="2409" w:type="dxa"/>
            <w:vAlign w:val="center"/>
          </w:tcPr>
          <w:p>
            <w:pPr>
              <w:jc w:val="center"/>
              <w:rPr>
                <w:color w:val="auto"/>
                <w:sz w:val="21"/>
                <w:szCs w:val="21"/>
              </w:rPr>
            </w:pPr>
            <w:r>
              <w:rPr>
                <w:rFonts w:hAnsi="宋体"/>
                <w:color w:val="auto"/>
                <w:sz w:val="21"/>
                <w:szCs w:val="21"/>
              </w:rPr>
              <w:t>制粉能力（干粉）：</w:t>
            </w:r>
            <w:r>
              <w:rPr>
                <w:color w:val="auto"/>
                <w:sz w:val="21"/>
                <w:szCs w:val="21"/>
              </w:rPr>
              <w:t>10Kg/h,N=2.8kw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絮凝投加泵</w:t>
            </w:r>
          </w:p>
        </w:tc>
        <w:tc>
          <w:tcPr>
            <w:tcW w:w="2409" w:type="dxa"/>
            <w:vAlign w:val="center"/>
          </w:tcPr>
          <w:p>
            <w:pPr>
              <w:jc w:val="center"/>
              <w:rPr>
                <w:color w:val="auto"/>
                <w:sz w:val="21"/>
                <w:szCs w:val="21"/>
              </w:rPr>
            </w:pPr>
            <w:r>
              <w:rPr>
                <w:color w:val="auto"/>
                <w:sz w:val="21"/>
                <w:szCs w:val="21"/>
              </w:rPr>
              <w:t>Q=0.2~2.0m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H=0.3MPa</w:t>
            </w:r>
            <w:r>
              <w:rPr>
                <w:rFonts w:hAnsi="宋体"/>
                <w:color w:val="auto"/>
                <w:sz w:val="21"/>
                <w:szCs w:val="21"/>
              </w:rPr>
              <w:t>，</w:t>
            </w:r>
            <w:r>
              <w:rPr>
                <w:color w:val="auto"/>
                <w:sz w:val="21"/>
                <w:szCs w:val="21"/>
              </w:rPr>
              <w:t>N=1.5kW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生物除臭滤池</w:t>
            </w:r>
          </w:p>
        </w:tc>
        <w:tc>
          <w:tcPr>
            <w:tcW w:w="2409" w:type="dxa"/>
            <w:vAlign w:val="center"/>
          </w:tcPr>
          <w:p>
            <w:pPr>
              <w:jc w:val="center"/>
              <w:rPr>
                <w:color w:val="auto"/>
                <w:sz w:val="21"/>
                <w:szCs w:val="21"/>
              </w:rPr>
            </w:pPr>
            <w:r>
              <w:rPr>
                <w:color w:val="auto"/>
                <w:sz w:val="21"/>
                <w:szCs w:val="21"/>
              </w:rPr>
              <w:t>Q=25000m</w:t>
            </w:r>
            <w:r>
              <w:rPr>
                <w:color w:val="auto"/>
                <w:sz w:val="21"/>
                <w:szCs w:val="21"/>
                <w:vertAlign w:val="superscript"/>
              </w:rPr>
              <w:t>3</w:t>
            </w:r>
            <w:r>
              <w:rPr>
                <w:color w:val="auto"/>
                <w:sz w:val="21"/>
                <w:szCs w:val="21"/>
              </w:rPr>
              <w:t>/h</w:t>
            </w:r>
            <w:r>
              <w:rPr>
                <w:rFonts w:hAnsi="宋体"/>
                <w:color w:val="auto"/>
                <w:sz w:val="21"/>
                <w:szCs w:val="21"/>
              </w:rPr>
              <w:t>，有效停留时间</w:t>
            </w:r>
            <w:r>
              <w:rPr>
                <w:color w:val="auto"/>
                <w:sz w:val="21"/>
                <w:szCs w:val="21"/>
              </w:rPr>
              <w:t>≥30s</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带水洗，水洗停留时间</w:t>
            </w:r>
            <w:r>
              <w:rPr>
                <w:color w:val="auto"/>
                <w:sz w:val="21"/>
                <w:szCs w:val="21"/>
              </w:rPr>
              <w:t>≥4s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化学洗涤塔</w:t>
            </w:r>
          </w:p>
        </w:tc>
        <w:tc>
          <w:tcPr>
            <w:tcW w:w="2409" w:type="dxa"/>
            <w:vAlign w:val="center"/>
          </w:tcPr>
          <w:p>
            <w:pPr>
              <w:jc w:val="center"/>
              <w:rPr>
                <w:color w:val="auto"/>
                <w:sz w:val="21"/>
                <w:szCs w:val="21"/>
              </w:rPr>
            </w:pPr>
            <w:r>
              <w:rPr>
                <w:rFonts w:hAnsi="宋体"/>
                <w:color w:val="auto"/>
                <w:sz w:val="21"/>
                <w:szCs w:val="21"/>
              </w:rPr>
              <w:t>与生物滤池配套，有效停留时间</w:t>
            </w:r>
            <w:r>
              <w:rPr>
                <w:color w:val="auto"/>
                <w:sz w:val="21"/>
                <w:szCs w:val="21"/>
              </w:rPr>
              <w:t>≥5s</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除臭风机</w:t>
            </w:r>
          </w:p>
        </w:tc>
        <w:tc>
          <w:tcPr>
            <w:tcW w:w="2409" w:type="dxa"/>
            <w:vAlign w:val="center"/>
          </w:tcPr>
          <w:p>
            <w:pPr>
              <w:jc w:val="center"/>
              <w:rPr>
                <w:color w:val="auto"/>
                <w:sz w:val="21"/>
                <w:szCs w:val="21"/>
              </w:rPr>
            </w:pPr>
            <w:r>
              <w:rPr>
                <w:color w:val="auto"/>
                <w:sz w:val="21"/>
                <w:szCs w:val="21"/>
              </w:rPr>
              <w:t>Q=12500m</w:t>
            </w:r>
            <w:r>
              <w:rPr>
                <w:color w:val="auto"/>
                <w:sz w:val="21"/>
                <w:szCs w:val="21"/>
                <w:vertAlign w:val="superscript"/>
              </w:rPr>
              <w:t>3</w:t>
            </w:r>
            <w:r>
              <w:rPr>
                <w:color w:val="auto"/>
                <w:sz w:val="21"/>
                <w:szCs w:val="21"/>
              </w:rPr>
              <w:t>/h,P=5000Pa,N=45kW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2</w:t>
            </w:r>
            <w:r>
              <w:rPr>
                <w:rFonts w:hAnsi="宋体"/>
                <w:color w:val="auto"/>
                <w:sz w:val="21"/>
                <w:szCs w:val="21"/>
              </w:rPr>
              <w:t>常用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储水箱</w:t>
            </w:r>
          </w:p>
        </w:tc>
        <w:tc>
          <w:tcPr>
            <w:tcW w:w="2409" w:type="dxa"/>
            <w:vAlign w:val="center"/>
          </w:tcPr>
          <w:p>
            <w:pPr>
              <w:jc w:val="center"/>
              <w:rPr>
                <w:color w:val="auto"/>
                <w:sz w:val="21"/>
                <w:szCs w:val="21"/>
              </w:rPr>
            </w:pPr>
            <w:r>
              <w:rPr>
                <w:rFonts w:hAnsi="宋体"/>
                <w:color w:val="auto"/>
                <w:sz w:val="21"/>
                <w:szCs w:val="21"/>
              </w:rPr>
              <w:t>与生物除臭滤池配套</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散水泵</w:t>
            </w:r>
          </w:p>
        </w:tc>
        <w:tc>
          <w:tcPr>
            <w:tcW w:w="2409" w:type="dxa"/>
            <w:vAlign w:val="center"/>
          </w:tcPr>
          <w:p>
            <w:pPr>
              <w:jc w:val="center"/>
              <w:rPr>
                <w:color w:val="auto"/>
                <w:sz w:val="21"/>
                <w:szCs w:val="21"/>
              </w:rPr>
            </w:pPr>
            <w:r>
              <w:rPr>
                <w:rFonts w:hAnsi="宋体"/>
                <w:color w:val="auto"/>
                <w:sz w:val="21"/>
                <w:szCs w:val="21"/>
              </w:rPr>
              <w:t>与生物除臭滤池配套</w:t>
            </w:r>
            <w:r>
              <w:rPr>
                <w:color w:val="auto"/>
                <w:sz w:val="21"/>
                <w:szCs w:val="21"/>
              </w:rPr>
              <w:t>,Q=125m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H=15m</w:t>
            </w:r>
            <w:r>
              <w:rPr>
                <w:rFonts w:hAnsi="宋体"/>
                <w:color w:val="auto"/>
                <w:sz w:val="21"/>
                <w:szCs w:val="21"/>
              </w:rPr>
              <w:t>，</w:t>
            </w:r>
            <w:r>
              <w:rPr>
                <w:color w:val="auto"/>
                <w:sz w:val="21"/>
                <w:szCs w:val="21"/>
              </w:rPr>
              <w:t>N=7.5kW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循环水泵</w:t>
            </w:r>
            <w:r>
              <w:rPr>
                <w:color w:val="auto"/>
                <w:sz w:val="21"/>
                <w:szCs w:val="21"/>
              </w:rPr>
              <w:t>1</w:t>
            </w:r>
          </w:p>
        </w:tc>
        <w:tc>
          <w:tcPr>
            <w:tcW w:w="2409" w:type="dxa"/>
            <w:vAlign w:val="center"/>
          </w:tcPr>
          <w:p>
            <w:pPr>
              <w:jc w:val="center"/>
              <w:rPr>
                <w:color w:val="auto"/>
                <w:sz w:val="21"/>
                <w:szCs w:val="21"/>
              </w:rPr>
            </w:pPr>
            <w:r>
              <w:rPr>
                <w:rFonts w:hAnsi="宋体"/>
                <w:color w:val="auto"/>
                <w:sz w:val="21"/>
                <w:szCs w:val="21"/>
              </w:rPr>
              <w:t>与生物除臭滤池配套</w:t>
            </w:r>
            <w:r>
              <w:rPr>
                <w:color w:val="auto"/>
                <w:sz w:val="21"/>
                <w:szCs w:val="21"/>
              </w:rPr>
              <w:t>,Q=125m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H=10m</w:t>
            </w:r>
            <w:r>
              <w:rPr>
                <w:rFonts w:hAnsi="宋体"/>
                <w:color w:val="auto"/>
                <w:sz w:val="21"/>
                <w:szCs w:val="21"/>
              </w:rPr>
              <w:t>，</w:t>
            </w:r>
            <w:r>
              <w:rPr>
                <w:color w:val="auto"/>
                <w:sz w:val="21"/>
                <w:szCs w:val="21"/>
              </w:rPr>
              <w:t>N=5.5kW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循环水泵</w:t>
            </w:r>
            <w:r>
              <w:rPr>
                <w:color w:val="auto"/>
                <w:sz w:val="21"/>
                <w:szCs w:val="21"/>
              </w:rPr>
              <w:t>2</w:t>
            </w:r>
          </w:p>
        </w:tc>
        <w:tc>
          <w:tcPr>
            <w:tcW w:w="2409" w:type="dxa"/>
            <w:vAlign w:val="center"/>
          </w:tcPr>
          <w:p>
            <w:pPr>
              <w:jc w:val="center"/>
              <w:rPr>
                <w:color w:val="auto"/>
                <w:sz w:val="21"/>
                <w:szCs w:val="21"/>
              </w:rPr>
            </w:pPr>
            <w:r>
              <w:rPr>
                <w:rFonts w:hAnsi="宋体"/>
                <w:color w:val="auto"/>
                <w:sz w:val="21"/>
                <w:szCs w:val="21"/>
              </w:rPr>
              <w:t>与化学洗涤塔配套</w:t>
            </w:r>
            <w:r>
              <w:rPr>
                <w:color w:val="auto"/>
                <w:sz w:val="21"/>
                <w:szCs w:val="21"/>
              </w:rPr>
              <w:t>,Q=125m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H=10m</w:t>
            </w:r>
            <w:r>
              <w:rPr>
                <w:rFonts w:hAnsi="宋体"/>
                <w:color w:val="auto"/>
                <w:sz w:val="21"/>
                <w:szCs w:val="21"/>
              </w:rPr>
              <w:t>，</w:t>
            </w:r>
            <w:r>
              <w:rPr>
                <w:color w:val="auto"/>
                <w:sz w:val="21"/>
                <w:szCs w:val="21"/>
              </w:rPr>
              <w:t>N=5.5kW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气动刀闸阀</w:t>
            </w:r>
          </w:p>
        </w:tc>
        <w:tc>
          <w:tcPr>
            <w:tcW w:w="2409" w:type="dxa"/>
            <w:vAlign w:val="center"/>
          </w:tcPr>
          <w:p>
            <w:pPr>
              <w:jc w:val="center"/>
              <w:rPr>
                <w:color w:val="auto"/>
                <w:sz w:val="21"/>
                <w:szCs w:val="21"/>
              </w:rPr>
            </w:pPr>
            <w:r>
              <w:rPr>
                <w:color w:val="auto"/>
                <w:sz w:val="21"/>
                <w:szCs w:val="21"/>
              </w:rPr>
              <w:t>DN150</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隔膜压滤机进泥管，气动控制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气动刀闸阀</w:t>
            </w:r>
          </w:p>
        </w:tc>
        <w:tc>
          <w:tcPr>
            <w:tcW w:w="2409" w:type="dxa"/>
            <w:vAlign w:val="center"/>
          </w:tcPr>
          <w:p>
            <w:pPr>
              <w:jc w:val="center"/>
              <w:rPr>
                <w:color w:val="auto"/>
                <w:sz w:val="21"/>
                <w:szCs w:val="21"/>
              </w:rPr>
            </w:pPr>
            <w:r>
              <w:rPr>
                <w:color w:val="auto"/>
                <w:sz w:val="21"/>
                <w:szCs w:val="21"/>
              </w:rPr>
              <w:t>DN150</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隔膜压滤机进泥管，气动控制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气动球阀</w:t>
            </w:r>
          </w:p>
        </w:tc>
        <w:tc>
          <w:tcPr>
            <w:tcW w:w="2409" w:type="dxa"/>
            <w:vAlign w:val="center"/>
          </w:tcPr>
          <w:p>
            <w:pPr>
              <w:jc w:val="center"/>
              <w:rPr>
                <w:color w:val="auto"/>
                <w:sz w:val="21"/>
                <w:szCs w:val="21"/>
              </w:rPr>
            </w:pPr>
            <w:r>
              <w:rPr>
                <w:color w:val="auto"/>
                <w:sz w:val="21"/>
                <w:szCs w:val="21"/>
              </w:rPr>
              <w:t>DN80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挤压螺杆泵出水管，气动控制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气动球阀</w:t>
            </w:r>
          </w:p>
        </w:tc>
        <w:tc>
          <w:tcPr>
            <w:tcW w:w="2409" w:type="dxa"/>
            <w:vAlign w:val="center"/>
          </w:tcPr>
          <w:p>
            <w:pPr>
              <w:jc w:val="center"/>
              <w:rPr>
                <w:color w:val="auto"/>
                <w:sz w:val="21"/>
                <w:szCs w:val="21"/>
              </w:rPr>
            </w:pPr>
            <w:r>
              <w:rPr>
                <w:color w:val="auto"/>
                <w:sz w:val="21"/>
                <w:szCs w:val="21"/>
              </w:rPr>
              <w:t>DN65</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挤压螺杆泵进水管，气动控制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气动刀闸阀</w:t>
            </w:r>
          </w:p>
        </w:tc>
        <w:tc>
          <w:tcPr>
            <w:tcW w:w="2409" w:type="dxa"/>
            <w:vAlign w:val="center"/>
          </w:tcPr>
          <w:p>
            <w:pPr>
              <w:jc w:val="center"/>
              <w:rPr>
                <w:color w:val="auto"/>
                <w:sz w:val="21"/>
                <w:szCs w:val="21"/>
              </w:rPr>
            </w:pPr>
            <w:r>
              <w:rPr>
                <w:color w:val="auto"/>
                <w:sz w:val="21"/>
                <w:szCs w:val="21"/>
              </w:rPr>
              <w:t>DN150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回流污泥管，气动控制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气动球阀</w:t>
            </w:r>
          </w:p>
        </w:tc>
        <w:tc>
          <w:tcPr>
            <w:tcW w:w="2409" w:type="dxa"/>
            <w:vAlign w:val="center"/>
          </w:tcPr>
          <w:p>
            <w:pPr>
              <w:jc w:val="center"/>
              <w:rPr>
                <w:color w:val="auto"/>
                <w:sz w:val="21"/>
                <w:szCs w:val="21"/>
              </w:rPr>
            </w:pPr>
            <w:r>
              <w:rPr>
                <w:color w:val="auto"/>
                <w:sz w:val="21"/>
                <w:szCs w:val="21"/>
              </w:rPr>
              <w:t>DN150</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隔膜压滤机污水管，气动控制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气动刀闸阀</w:t>
            </w:r>
          </w:p>
        </w:tc>
        <w:tc>
          <w:tcPr>
            <w:tcW w:w="2409" w:type="dxa"/>
            <w:vAlign w:val="center"/>
          </w:tcPr>
          <w:p>
            <w:pPr>
              <w:jc w:val="center"/>
              <w:rPr>
                <w:color w:val="auto"/>
                <w:sz w:val="21"/>
                <w:szCs w:val="21"/>
              </w:rPr>
            </w:pPr>
            <w:r>
              <w:rPr>
                <w:color w:val="auto"/>
                <w:sz w:val="21"/>
                <w:szCs w:val="21"/>
              </w:rPr>
              <w:t>DN150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隔膜压滤机进泥管，气动控制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气动球阀</w:t>
            </w:r>
          </w:p>
        </w:tc>
        <w:tc>
          <w:tcPr>
            <w:tcW w:w="2409" w:type="dxa"/>
            <w:vAlign w:val="center"/>
          </w:tcPr>
          <w:p>
            <w:pPr>
              <w:jc w:val="center"/>
              <w:rPr>
                <w:color w:val="auto"/>
                <w:sz w:val="21"/>
                <w:szCs w:val="21"/>
              </w:rPr>
            </w:pPr>
            <w:r>
              <w:rPr>
                <w:color w:val="auto"/>
                <w:sz w:val="21"/>
                <w:szCs w:val="21"/>
              </w:rPr>
              <w:t>DN100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隔膜压滤机挤压水管，气动控制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气动球阀</w:t>
            </w:r>
          </w:p>
        </w:tc>
        <w:tc>
          <w:tcPr>
            <w:tcW w:w="2409" w:type="dxa"/>
            <w:vAlign w:val="center"/>
          </w:tcPr>
          <w:p>
            <w:pPr>
              <w:jc w:val="center"/>
              <w:rPr>
                <w:color w:val="auto"/>
                <w:sz w:val="21"/>
                <w:szCs w:val="21"/>
              </w:rPr>
            </w:pPr>
            <w:r>
              <w:rPr>
                <w:color w:val="auto"/>
                <w:sz w:val="21"/>
                <w:szCs w:val="21"/>
              </w:rPr>
              <w:t>DN15</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滤布震打空气管，气动控制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气动球阀</w:t>
            </w:r>
          </w:p>
        </w:tc>
        <w:tc>
          <w:tcPr>
            <w:tcW w:w="2409" w:type="dxa"/>
            <w:vAlign w:val="center"/>
          </w:tcPr>
          <w:p>
            <w:pPr>
              <w:jc w:val="center"/>
              <w:rPr>
                <w:color w:val="auto"/>
                <w:sz w:val="21"/>
                <w:szCs w:val="21"/>
              </w:rPr>
            </w:pPr>
            <w:r>
              <w:rPr>
                <w:color w:val="auto"/>
                <w:sz w:val="21"/>
                <w:szCs w:val="21"/>
              </w:rPr>
              <w:t>DN50</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隔膜压滤机高压冲洗管，气动控制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加药间</w:t>
            </w:r>
          </w:p>
        </w:tc>
        <w:tc>
          <w:tcPr>
            <w:tcW w:w="2167" w:type="dxa"/>
            <w:vAlign w:val="center"/>
          </w:tcPr>
          <w:p>
            <w:pPr>
              <w:jc w:val="center"/>
              <w:rPr>
                <w:color w:val="auto"/>
                <w:sz w:val="21"/>
                <w:szCs w:val="21"/>
              </w:rPr>
            </w:pPr>
            <w:r>
              <w:rPr>
                <w:rFonts w:hAnsi="宋体"/>
                <w:color w:val="auto"/>
                <w:sz w:val="21"/>
                <w:szCs w:val="21"/>
              </w:rPr>
              <w:t>乙酸钠储罐</w:t>
            </w:r>
          </w:p>
        </w:tc>
        <w:tc>
          <w:tcPr>
            <w:tcW w:w="2409" w:type="dxa"/>
            <w:vAlign w:val="center"/>
          </w:tcPr>
          <w:p>
            <w:pPr>
              <w:jc w:val="center"/>
              <w:rPr>
                <w:color w:val="auto"/>
                <w:sz w:val="21"/>
                <w:szCs w:val="21"/>
              </w:rPr>
            </w:pPr>
            <w:r>
              <w:rPr>
                <w:rFonts w:hAnsi="宋体"/>
                <w:color w:val="auto"/>
                <w:sz w:val="21"/>
                <w:szCs w:val="21"/>
              </w:rPr>
              <w:t>有效容积</w:t>
            </w:r>
            <w:r>
              <w:rPr>
                <w:color w:val="auto"/>
                <w:sz w:val="21"/>
                <w:szCs w:val="21"/>
              </w:rPr>
              <w:t>20m</w:t>
            </w:r>
            <w:r>
              <w:rPr>
                <w:color w:val="auto"/>
                <w:sz w:val="21"/>
                <w:szCs w:val="21"/>
                <w:vertAlign w:val="superscript"/>
              </w:rPr>
              <w:t>3</w:t>
            </w:r>
            <w:r>
              <w:rPr>
                <w:rFonts w:hAnsi="宋体"/>
                <w:color w:val="auto"/>
                <w:sz w:val="21"/>
                <w:szCs w:val="21"/>
              </w:rPr>
              <w:t>，</w:t>
            </w:r>
            <w:r>
              <w:rPr>
                <w:rFonts w:hAnsi="MS Mincho" w:eastAsia="MS Mincho"/>
                <w:color w:val="auto"/>
                <w:sz w:val="21"/>
                <w:szCs w:val="21"/>
              </w:rPr>
              <w:t>∅</w:t>
            </w:r>
            <w:r>
              <w:rPr>
                <w:color w:val="auto"/>
                <w:sz w:val="21"/>
                <w:szCs w:val="21"/>
              </w:rPr>
              <w:t>3000mm</w:t>
            </w:r>
            <w:r>
              <w:rPr>
                <w:rFonts w:hAnsi="宋体"/>
                <w:color w:val="auto"/>
                <w:sz w:val="21"/>
                <w:szCs w:val="21"/>
              </w:rPr>
              <w:t>，</w:t>
            </w:r>
            <w:r>
              <w:rPr>
                <w:color w:val="auto"/>
                <w:sz w:val="21"/>
                <w:szCs w:val="21"/>
              </w:rPr>
              <w:t>H=3500mm</w:t>
            </w:r>
            <w:r>
              <w:rPr>
                <w:rFonts w:hAnsi="宋体"/>
                <w:color w:val="auto"/>
                <w:sz w:val="21"/>
                <w:szCs w:val="21"/>
              </w:rPr>
              <w:t>，有效液位高度为</w:t>
            </w:r>
            <w:r>
              <w:rPr>
                <w:color w:val="auto"/>
                <w:sz w:val="21"/>
                <w:szCs w:val="21"/>
              </w:rPr>
              <w:t>2900mm</w:t>
            </w:r>
            <w:r>
              <w:rPr>
                <w:rFonts w:hAnsi="宋体"/>
                <w:color w:val="auto"/>
                <w:sz w:val="21"/>
                <w:szCs w:val="21"/>
              </w:rPr>
              <w:t>，</w:t>
            </w:r>
            <w:r>
              <w:rPr>
                <w:color w:val="auto"/>
                <w:sz w:val="21"/>
                <w:szCs w:val="21"/>
              </w:rPr>
              <w:t>PPH</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乙酸钠加药隔膜泵</w:t>
            </w:r>
          </w:p>
        </w:tc>
        <w:tc>
          <w:tcPr>
            <w:tcW w:w="2409" w:type="dxa"/>
            <w:vAlign w:val="center"/>
          </w:tcPr>
          <w:p>
            <w:pPr>
              <w:jc w:val="center"/>
              <w:rPr>
                <w:color w:val="auto"/>
                <w:sz w:val="21"/>
                <w:szCs w:val="21"/>
              </w:rPr>
            </w:pPr>
            <w:r>
              <w:rPr>
                <w:color w:val="auto"/>
                <w:sz w:val="21"/>
                <w:szCs w:val="21"/>
              </w:rPr>
              <w:t>Q=50L/h</w:t>
            </w:r>
            <w:r>
              <w:rPr>
                <w:rFonts w:hAnsi="宋体"/>
                <w:color w:val="auto"/>
                <w:sz w:val="21"/>
                <w:szCs w:val="21"/>
              </w:rPr>
              <w:t>，</w:t>
            </w:r>
            <w:r>
              <w:rPr>
                <w:color w:val="auto"/>
                <w:sz w:val="21"/>
                <w:szCs w:val="21"/>
              </w:rPr>
              <w:t>H=40m</w:t>
            </w:r>
            <w:r>
              <w:rPr>
                <w:rFonts w:hAnsi="宋体"/>
                <w:color w:val="auto"/>
                <w:sz w:val="21"/>
                <w:szCs w:val="21"/>
              </w:rPr>
              <w:t>，</w:t>
            </w:r>
            <w:r>
              <w:rPr>
                <w:color w:val="auto"/>
                <w:sz w:val="21"/>
                <w:szCs w:val="21"/>
              </w:rPr>
              <w:t>P=1.1kW</w:t>
            </w:r>
          </w:p>
        </w:tc>
        <w:tc>
          <w:tcPr>
            <w:tcW w:w="709" w:type="dxa"/>
            <w:vAlign w:val="center"/>
          </w:tcPr>
          <w:p>
            <w:pPr>
              <w:jc w:val="center"/>
              <w:rPr>
                <w:color w:val="auto"/>
                <w:sz w:val="21"/>
                <w:szCs w:val="21"/>
              </w:rPr>
            </w:pPr>
            <w:r>
              <w:rPr>
                <w:color w:val="auto"/>
                <w:sz w:val="21"/>
                <w:szCs w:val="21"/>
              </w:rPr>
              <w:t>3</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2</w:t>
            </w:r>
            <w:r>
              <w:rPr>
                <w:rFonts w:hAnsi="宋体"/>
                <w:color w:val="auto"/>
                <w:sz w:val="21"/>
                <w:szCs w:val="21"/>
              </w:rPr>
              <w:t>用</w:t>
            </w:r>
            <w:r>
              <w:rPr>
                <w:color w:val="auto"/>
                <w:sz w:val="21"/>
                <w:szCs w:val="21"/>
              </w:rPr>
              <w:t>1</w:t>
            </w:r>
            <w:r>
              <w:rPr>
                <w:rFonts w:hAnsi="宋体"/>
                <w:color w:val="auto"/>
                <w:sz w:val="21"/>
                <w:szCs w:val="21"/>
              </w:rPr>
              <w:t>备，均变频控制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NaClO</w:t>
            </w:r>
            <w:r>
              <w:rPr>
                <w:rFonts w:hAnsi="宋体"/>
                <w:color w:val="auto"/>
                <w:sz w:val="21"/>
                <w:szCs w:val="21"/>
              </w:rPr>
              <w:t>存储罐</w:t>
            </w:r>
          </w:p>
        </w:tc>
        <w:tc>
          <w:tcPr>
            <w:tcW w:w="2409" w:type="dxa"/>
            <w:vAlign w:val="center"/>
          </w:tcPr>
          <w:p>
            <w:pPr>
              <w:jc w:val="center"/>
              <w:rPr>
                <w:color w:val="auto"/>
                <w:sz w:val="21"/>
                <w:szCs w:val="21"/>
              </w:rPr>
            </w:pPr>
            <w:r>
              <w:rPr>
                <w:rFonts w:hAnsi="宋体"/>
                <w:color w:val="auto"/>
                <w:sz w:val="21"/>
                <w:szCs w:val="21"/>
              </w:rPr>
              <w:t>有效容积</w:t>
            </w:r>
            <w:r>
              <w:rPr>
                <w:color w:val="auto"/>
                <w:sz w:val="21"/>
                <w:szCs w:val="21"/>
              </w:rPr>
              <w:t>20m</w:t>
            </w:r>
            <w:r>
              <w:rPr>
                <w:color w:val="auto"/>
                <w:sz w:val="21"/>
                <w:szCs w:val="21"/>
                <w:vertAlign w:val="superscript"/>
              </w:rPr>
              <w:t>3</w:t>
            </w:r>
            <w:r>
              <w:rPr>
                <w:rFonts w:hAnsi="宋体"/>
                <w:color w:val="auto"/>
                <w:sz w:val="21"/>
                <w:szCs w:val="21"/>
              </w:rPr>
              <w:t>；</w:t>
            </w:r>
            <w:r>
              <w:rPr>
                <w:rFonts w:hAnsi="MS Mincho" w:eastAsia="MS Mincho"/>
                <w:color w:val="auto"/>
                <w:sz w:val="21"/>
                <w:szCs w:val="21"/>
              </w:rPr>
              <w:t>∅</w:t>
            </w:r>
            <w:r>
              <w:rPr>
                <w:color w:val="auto"/>
                <w:sz w:val="21"/>
                <w:szCs w:val="21"/>
              </w:rPr>
              <w:t>3000mm</w:t>
            </w:r>
            <w:r>
              <w:rPr>
                <w:rFonts w:hAnsi="宋体"/>
                <w:color w:val="auto"/>
                <w:sz w:val="21"/>
                <w:szCs w:val="21"/>
              </w:rPr>
              <w:t>；</w:t>
            </w:r>
            <w:r>
              <w:rPr>
                <w:color w:val="auto"/>
                <w:sz w:val="21"/>
                <w:szCs w:val="21"/>
              </w:rPr>
              <w:t>H=3500mm</w:t>
            </w:r>
            <w:r>
              <w:rPr>
                <w:rFonts w:hAnsi="宋体"/>
                <w:color w:val="auto"/>
                <w:sz w:val="21"/>
                <w:szCs w:val="21"/>
              </w:rPr>
              <w:t>；</w:t>
            </w:r>
            <w:r>
              <w:rPr>
                <w:color w:val="auto"/>
                <w:sz w:val="21"/>
                <w:szCs w:val="21"/>
              </w:rPr>
              <w:t>PPH</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NaClO</w:t>
            </w:r>
            <w:r>
              <w:rPr>
                <w:rFonts w:hAnsi="宋体"/>
                <w:color w:val="auto"/>
                <w:sz w:val="21"/>
                <w:szCs w:val="21"/>
              </w:rPr>
              <w:t>加药隔膜泵</w:t>
            </w:r>
          </w:p>
        </w:tc>
        <w:tc>
          <w:tcPr>
            <w:tcW w:w="2409" w:type="dxa"/>
            <w:vAlign w:val="center"/>
          </w:tcPr>
          <w:p>
            <w:pPr>
              <w:jc w:val="center"/>
              <w:rPr>
                <w:color w:val="auto"/>
                <w:sz w:val="21"/>
                <w:szCs w:val="21"/>
              </w:rPr>
            </w:pPr>
            <w:r>
              <w:rPr>
                <w:color w:val="auto"/>
                <w:sz w:val="21"/>
                <w:szCs w:val="21"/>
              </w:rPr>
              <w:t>Q=50L/h</w:t>
            </w:r>
            <w:r>
              <w:rPr>
                <w:rFonts w:hAnsi="宋体"/>
                <w:color w:val="auto"/>
                <w:sz w:val="21"/>
                <w:szCs w:val="21"/>
              </w:rPr>
              <w:t>，</w:t>
            </w:r>
            <w:r>
              <w:rPr>
                <w:color w:val="auto"/>
                <w:sz w:val="21"/>
                <w:szCs w:val="21"/>
              </w:rPr>
              <w:t>H=40m</w:t>
            </w:r>
            <w:r>
              <w:rPr>
                <w:rFonts w:hAnsi="宋体"/>
                <w:color w:val="auto"/>
                <w:sz w:val="21"/>
                <w:szCs w:val="21"/>
              </w:rPr>
              <w:t>，</w:t>
            </w:r>
            <w:r>
              <w:rPr>
                <w:color w:val="auto"/>
                <w:sz w:val="21"/>
                <w:szCs w:val="21"/>
              </w:rPr>
              <w:t>P=1.1kW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备，均变频控制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PAC</w:t>
            </w:r>
            <w:r>
              <w:rPr>
                <w:rFonts w:hAnsi="宋体"/>
                <w:color w:val="auto"/>
                <w:sz w:val="21"/>
                <w:szCs w:val="21"/>
              </w:rPr>
              <w:t>加药隔膜泵</w:t>
            </w:r>
          </w:p>
        </w:tc>
        <w:tc>
          <w:tcPr>
            <w:tcW w:w="2409" w:type="dxa"/>
            <w:vAlign w:val="center"/>
          </w:tcPr>
          <w:p>
            <w:pPr>
              <w:jc w:val="center"/>
              <w:rPr>
                <w:color w:val="auto"/>
                <w:sz w:val="21"/>
                <w:szCs w:val="21"/>
              </w:rPr>
            </w:pPr>
            <w:r>
              <w:rPr>
                <w:color w:val="auto"/>
                <w:sz w:val="21"/>
                <w:szCs w:val="21"/>
              </w:rPr>
              <w:t>Q=50L/h</w:t>
            </w:r>
            <w:r>
              <w:rPr>
                <w:rFonts w:hAnsi="宋体"/>
                <w:color w:val="auto"/>
                <w:sz w:val="21"/>
                <w:szCs w:val="21"/>
              </w:rPr>
              <w:t>，</w:t>
            </w:r>
            <w:r>
              <w:rPr>
                <w:color w:val="auto"/>
                <w:sz w:val="21"/>
                <w:szCs w:val="21"/>
              </w:rPr>
              <w:t>H=40m</w:t>
            </w:r>
            <w:r>
              <w:rPr>
                <w:rFonts w:hAnsi="宋体"/>
                <w:color w:val="auto"/>
                <w:sz w:val="21"/>
                <w:szCs w:val="21"/>
              </w:rPr>
              <w:t>，</w:t>
            </w:r>
            <w:r>
              <w:rPr>
                <w:color w:val="auto"/>
                <w:sz w:val="21"/>
                <w:szCs w:val="21"/>
              </w:rPr>
              <w:t>P=1.1kW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备，均变频控制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PAC</w:t>
            </w:r>
            <w:r>
              <w:rPr>
                <w:rFonts w:hAnsi="宋体"/>
                <w:color w:val="auto"/>
                <w:sz w:val="21"/>
                <w:szCs w:val="21"/>
              </w:rPr>
              <w:t>卸料泵</w:t>
            </w:r>
          </w:p>
        </w:tc>
        <w:tc>
          <w:tcPr>
            <w:tcW w:w="2409" w:type="dxa"/>
            <w:vAlign w:val="center"/>
          </w:tcPr>
          <w:p>
            <w:pPr>
              <w:jc w:val="center"/>
              <w:rPr>
                <w:color w:val="auto"/>
                <w:sz w:val="21"/>
                <w:szCs w:val="21"/>
              </w:rPr>
            </w:pPr>
            <w:r>
              <w:rPr>
                <w:color w:val="auto"/>
                <w:sz w:val="21"/>
                <w:szCs w:val="21"/>
              </w:rPr>
              <w:t>Q=20m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H=20m</w:t>
            </w:r>
            <w:r>
              <w:rPr>
                <w:rFonts w:hAnsi="宋体"/>
                <w:color w:val="auto"/>
                <w:sz w:val="21"/>
                <w:szCs w:val="21"/>
              </w:rPr>
              <w:t>，</w:t>
            </w:r>
            <w:r>
              <w:rPr>
                <w:color w:val="auto"/>
                <w:sz w:val="21"/>
                <w:szCs w:val="21"/>
              </w:rPr>
              <w:t>P=5.5kW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PAC</w:t>
            </w:r>
            <w:r>
              <w:rPr>
                <w:rFonts w:hAnsi="宋体"/>
                <w:color w:val="auto"/>
                <w:sz w:val="21"/>
                <w:szCs w:val="21"/>
              </w:rPr>
              <w:t>储罐</w:t>
            </w:r>
          </w:p>
        </w:tc>
        <w:tc>
          <w:tcPr>
            <w:tcW w:w="2409" w:type="dxa"/>
            <w:vAlign w:val="center"/>
          </w:tcPr>
          <w:p>
            <w:pPr>
              <w:jc w:val="center"/>
              <w:rPr>
                <w:color w:val="auto"/>
                <w:sz w:val="21"/>
                <w:szCs w:val="21"/>
              </w:rPr>
            </w:pPr>
            <w:r>
              <w:rPr>
                <w:rFonts w:hAnsi="宋体"/>
                <w:color w:val="auto"/>
                <w:sz w:val="21"/>
                <w:szCs w:val="21"/>
              </w:rPr>
              <w:t>有效容积</w:t>
            </w:r>
            <w:r>
              <w:rPr>
                <w:color w:val="auto"/>
                <w:sz w:val="21"/>
                <w:szCs w:val="21"/>
              </w:rPr>
              <w:t>20m</w:t>
            </w:r>
            <w:r>
              <w:rPr>
                <w:color w:val="auto"/>
                <w:sz w:val="21"/>
                <w:szCs w:val="21"/>
                <w:vertAlign w:val="superscript"/>
              </w:rPr>
              <w:t>3</w:t>
            </w:r>
            <w:r>
              <w:rPr>
                <w:rFonts w:hAnsi="宋体"/>
                <w:color w:val="auto"/>
                <w:sz w:val="21"/>
                <w:szCs w:val="21"/>
              </w:rPr>
              <w:t>；</w:t>
            </w:r>
            <w:r>
              <w:rPr>
                <w:rFonts w:hAnsi="MS Mincho" w:eastAsia="MS Mincho"/>
                <w:color w:val="auto"/>
                <w:sz w:val="21"/>
                <w:szCs w:val="21"/>
              </w:rPr>
              <w:t>∅</w:t>
            </w:r>
            <w:r>
              <w:rPr>
                <w:color w:val="auto"/>
                <w:sz w:val="21"/>
                <w:szCs w:val="21"/>
              </w:rPr>
              <w:t>3000mm</w:t>
            </w:r>
            <w:r>
              <w:rPr>
                <w:rFonts w:hAnsi="宋体"/>
                <w:color w:val="auto"/>
                <w:sz w:val="21"/>
                <w:szCs w:val="21"/>
              </w:rPr>
              <w:t>；</w:t>
            </w:r>
            <w:r>
              <w:rPr>
                <w:color w:val="auto"/>
                <w:sz w:val="21"/>
                <w:szCs w:val="21"/>
              </w:rPr>
              <w:t>H=3500mm,PPA</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含玻璃钢爬梯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NaClO</w:t>
            </w:r>
            <w:r>
              <w:rPr>
                <w:rFonts w:hAnsi="宋体"/>
                <w:color w:val="auto"/>
                <w:sz w:val="21"/>
                <w:szCs w:val="21"/>
              </w:rPr>
              <w:t>卸料泵</w:t>
            </w:r>
          </w:p>
        </w:tc>
        <w:tc>
          <w:tcPr>
            <w:tcW w:w="2409" w:type="dxa"/>
            <w:vAlign w:val="center"/>
          </w:tcPr>
          <w:p>
            <w:pPr>
              <w:jc w:val="center"/>
              <w:rPr>
                <w:color w:val="auto"/>
                <w:sz w:val="21"/>
                <w:szCs w:val="21"/>
              </w:rPr>
            </w:pPr>
            <w:r>
              <w:rPr>
                <w:color w:val="auto"/>
                <w:sz w:val="21"/>
                <w:szCs w:val="21"/>
              </w:rPr>
              <w:t>Q=20m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H=20m</w:t>
            </w:r>
            <w:r>
              <w:rPr>
                <w:rFonts w:hAnsi="宋体"/>
                <w:color w:val="auto"/>
                <w:sz w:val="21"/>
                <w:szCs w:val="21"/>
              </w:rPr>
              <w:t>，</w:t>
            </w:r>
            <w:r>
              <w:rPr>
                <w:color w:val="auto"/>
                <w:sz w:val="21"/>
                <w:szCs w:val="21"/>
              </w:rPr>
              <w:t>P=5.5kW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乙酸钠卸料泵</w:t>
            </w:r>
          </w:p>
        </w:tc>
        <w:tc>
          <w:tcPr>
            <w:tcW w:w="2409" w:type="dxa"/>
            <w:vAlign w:val="center"/>
          </w:tcPr>
          <w:p>
            <w:pPr>
              <w:jc w:val="center"/>
              <w:rPr>
                <w:color w:val="auto"/>
                <w:sz w:val="21"/>
                <w:szCs w:val="21"/>
              </w:rPr>
            </w:pPr>
            <w:r>
              <w:rPr>
                <w:color w:val="auto"/>
                <w:sz w:val="21"/>
                <w:szCs w:val="21"/>
              </w:rPr>
              <w:t>Q=20m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H=20m</w:t>
            </w:r>
            <w:r>
              <w:rPr>
                <w:rFonts w:hAnsi="宋体"/>
                <w:color w:val="auto"/>
                <w:sz w:val="21"/>
                <w:szCs w:val="21"/>
              </w:rPr>
              <w:t>，</w:t>
            </w:r>
            <w:r>
              <w:rPr>
                <w:color w:val="auto"/>
                <w:sz w:val="21"/>
                <w:szCs w:val="21"/>
              </w:rPr>
              <w:t>P=5.5kW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安全喷淋</w:t>
            </w:r>
          </w:p>
        </w:tc>
        <w:tc>
          <w:tcPr>
            <w:tcW w:w="2409" w:type="dxa"/>
            <w:vAlign w:val="center"/>
          </w:tcPr>
          <w:p>
            <w:pPr>
              <w:jc w:val="center"/>
              <w:rPr>
                <w:color w:val="auto"/>
                <w:sz w:val="21"/>
                <w:szCs w:val="21"/>
              </w:rPr>
            </w:pPr>
            <w:r>
              <w:rPr>
                <w:rFonts w:hAnsi="宋体"/>
                <w:color w:val="auto"/>
                <w:sz w:val="21"/>
                <w:szCs w:val="21"/>
              </w:rPr>
              <w:t>自带加热装置，恒温</w:t>
            </w:r>
            <w:r>
              <w:rPr>
                <w:color w:val="auto"/>
                <w:sz w:val="21"/>
                <w:szCs w:val="21"/>
              </w:rPr>
              <w:t>30%%DC</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聚合物制备单元</w:t>
            </w:r>
          </w:p>
        </w:tc>
        <w:tc>
          <w:tcPr>
            <w:tcW w:w="2409" w:type="dxa"/>
            <w:vAlign w:val="center"/>
          </w:tcPr>
          <w:p>
            <w:pPr>
              <w:jc w:val="center"/>
              <w:rPr>
                <w:color w:val="auto"/>
                <w:sz w:val="21"/>
                <w:szCs w:val="21"/>
              </w:rPr>
            </w:pPr>
            <w:r>
              <w:rPr>
                <w:rFonts w:hAnsi="宋体"/>
                <w:color w:val="auto"/>
                <w:sz w:val="21"/>
                <w:szCs w:val="21"/>
              </w:rPr>
              <w:t>制备能力：</w:t>
            </w:r>
            <w:r>
              <w:rPr>
                <w:color w:val="auto"/>
                <w:sz w:val="21"/>
                <w:szCs w:val="21"/>
              </w:rPr>
              <w:t>3m</w:t>
            </w:r>
            <w:r>
              <w:rPr>
                <w:color w:val="auto"/>
                <w:sz w:val="21"/>
                <w:szCs w:val="21"/>
                <w:vertAlign w:val="superscript"/>
              </w:rPr>
              <w:t>3</w:t>
            </w:r>
            <w:r>
              <w:rPr>
                <w:color w:val="auto"/>
                <w:sz w:val="21"/>
                <w:szCs w:val="21"/>
              </w:rPr>
              <w:t>/h</w:t>
            </w:r>
            <w:r>
              <w:rPr>
                <w:rFonts w:hAnsi="宋体"/>
                <w:color w:val="auto"/>
                <w:sz w:val="21"/>
                <w:szCs w:val="21"/>
              </w:rPr>
              <w:t>，箱体材质：</w:t>
            </w:r>
            <w:r>
              <w:rPr>
                <w:color w:val="auto"/>
                <w:sz w:val="21"/>
                <w:szCs w:val="21"/>
              </w:rPr>
              <w:t>PP,</w:t>
            </w:r>
            <w:r>
              <w:rPr>
                <w:rFonts w:hAnsi="宋体"/>
                <w:color w:val="auto"/>
                <w:sz w:val="21"/>
                <w:szCs w:val="21"/>
              </w:rPr>
              <w:t>电源：</w:t>
            </w:r>
            <w:r>
              <w:rPr>
                <w:color w:val="auto"/>
                <w:sz w:val="21"/>
                <w:szCs w:val="21"/>
              </w:rPr>
              <w:t>380V,50Hz</w:t>
            </w:r>
            <w:r>
              <w:rPr>
                <w:rFonts w:hAnsi="宋体"/>
                <w:color w:val="auto"/>
                <w:sz w:val="21"/>
                <w:szCs w:val="21"/>
              </w:rPr>
              <w:t>，</w:t>
            </w:r>
            <w:r>
              <w:rPr>
                <w:color w:val="auto"/>
                <w:sz w:val="21"/>
                <w:szCs w:val="21"/>
              </w:rPr>
              <w:t>3</w:t>
            </w:r>
            <w:r>
              <w:rPr>
                <w:rFonts w:hAnsi="宋体"/>
                <w:color w:val="auto"/>
                <w:sz w:val="21"/>
                <w:szCs w:val="21"/>
              </w:rPr>
              <w:t>相，保护等级：</w:t>
            </w:r>
            <w:r>
              <w:rPr>
                <w:color w:val="auto"/>
                <w:sz w:val="21"/>
                <w:szCs w:val="21"/>
              </w:rPr>
              <w:t>IP55</w:t>
            </w:r>
            <w:r>
              <w:rPr>
                <w:rFonts w:hAnsi="宋体"/>
                <w:color w:val="auto"/>
                <w:sz w:val="21"/>
                <w:szCs w:val="21"/>
              </w:rPr>
              <w:t>，</w:t>
            </w:r>
            <w:r>
              <w:rPr>
                <w:color w:val="auto"/>
                <w:sz w:val="21"/>
                <w:szCs w:val="21"/>
              </w:rPr>
              <w:t>N=5kw</w:t>
            </w:r>
            <w:r>
              <w:rPr>
                <w:rFonts w:hAnsi="宋体"/>
                <w:color w:val="auto"/>
                <w:sz w:val="21"/>
                <w:szCs w:val="21"/>
              </w:rPr>
              <w:t>包括：一个粉末投加斗、</w:t>
            </w:r>
            <w:r>
              <w:rPr>
                <w:color w:val="auto"/>
                <w:sz w:val="21"/>
                <w:szCs w:val="21"/>
              </w:rPr>
              <w:t>1</w:t>
            </w:r>
            <w:r>
              <w:rPr>
                <w:rFonts w:hAnsi="宋体"/>
                <w:color w:val="auto"/>
                <w:sz w:val="21"/>
                <w:szCs w:val="21"/>
              </w:rPr>
              <w:t>个料斗低液位开关、一套分散、湿润装置、带搅拌器的药液箱</w:t>
            </w:r>
            <w:r>
              <w:rPr>
                <w:color w:val="auto"/>
                <w:sz w:val="21"/>
                <w:szCs w:val="21"/>
              </w:rPr>
              <w:t>.</w:t>
            </w:r>
            <w:r>
              <w:rPr>
                <w:rFonts w:hAnsi="宋体"/>
                <w:color w:val="auto"/>
                <w:sz w:val="21"/>
                <w:szCs w:val="21"/>
              </w:rPr>
              <w:t>、一个控制箱</w:t>
            </w:r>
          </w:p>
        </w:tc>
        <w:tc>
          <w:tcPr>
            <w:tcW w:w="709" w:type="dxa"/>
            <w:vAlign w:val="center"/>
          </w:tcPr>
          <w:p>
            <w:pPr>
              <w:jc w:val="center"/>
              <w:rPr>
                <w:color w:val="auto"/>
                <w:sz w:val="21"/>
                <w:szCs w:val="21"/>
              </w:rPr>
            </w:pPr>
            <w:r>
              <w:rPr>
                <w:color w:val="auto"/>
                <w:sz w:val="21"/>
                <w:szCs w:val="21"/>
              </w:rPr>
              <w:t>1</w:t>
            </w:r>
            <w:r>
              <w:rPr>
                <w:rFonts w:hAnsi="宋体"/>
                <w:color w:val="auto"/>
                <w:sz w:val="21"/>
                <w:szCs w:val="21"/>
              </w:rPr>
              <w:t>套</w:t>
            </w:r>
          </w:p>
        </w:tc>
        <w:tc>
          <w:tcPr>
            <w:tcW w:w="709" w:type="dxa"/>
            <w:vAlign w:val="center"/>
          </w:tcPr>
          <w:p>
            <w:pPr>
              <w:jc w:val="center"/>
              <w:rPr>
                <w:color w:val="auto"/>
                <w:sz w:val="21"/>
                <w:szCs w:val="21"/>
              </w:rPr>
            </w:pP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PAM</w:t>
            </w:r>
            <w:r>
              <w:rPr>
                <w:rFonts w:hAnsi="宋体"/>
                <w:color w:val="auto"/>
                <w:sz w:val="21"/>
                <w:szCs w:val="21"/>
              </w:rPr>
              <w:t>加药螺杆泵</w:t>
            </w:r>
          </w:p>
        </w:tc>
        <w:tc>
          <w:tcPr>
            <w:tcW w:w="2409" w:type="dxa"/>
            <w:vAlign w:val="center"/>
          </w:tcPr>
          <w:p>
            <w:pPr>
              <w:jc w:val="center"/>
              <w:rPr>
                <w:color w:val="auto"/>
                <w:sz w:val="21"/>
                <w:szCs w:val="21"/>
              </w:rPr>
            </w:pPr>
            <w:r>
              <w:rPr>
                <w:color w:val="auto"/>
                <w:sz w:val="21"/>
                <w:szCs w:val="21"/>
              </w:rPr>
              <w:t>Q=230L/h,</w:t>
            </w:r>
            <w:r>
              <w:rPr>
                <w:rFonts w:hAnsi="宋体"/>
                <w:color w:val="auto"/>
                <w:sz w:val="21"/>
                <w:szCs w:val="21"/>
              </w:rPr>
              <w:t>扬程</w:t>
            </w:r>
            <w:r>
              <w:rPr>
                <w:color w:val="auto"/>
                <w:sz w:val="21"/>
                <w:szCs w:val="21"/>
              </w:rPr>
              <w:t>2bar</w:t>
            </w:r>
            <w:r>
              <w:rPr>
                <w:rFonts w:hAnsi="宋体"/>
                <w:color w:val="auto"/>
                <w:sz w:val="21"/>
                <w:szCs w:val="21"/>
              </w:rPr>
              <w:t>，</w:t>
            </w:r>
            <w:r>
              <w:rPr>
                <w:color w:val="auto"/>
                <w:sz w:val="21"/>
                <w:szCs w:val="21"/>
              </w:rPr>
              <w:t>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备，均变频控制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在线稀释系统</w:t>
            </w:r>
          </w:p>
        </w:tc>
        <w:tc>
          <w:tcPr>
            <w:tcW w:w="2409" w:type="dxa"/>
            <w:vAlign w:val="center"/>
          </w:tcPr>
          <w:p>
            <w:pPr>
              <w:jc w:val="center"/>
              <w:rPr>
                <w:color w:val="auto"/>
                <w:sz w:val="21"/>
                <w:szCs w:val="21"/>
              </w:rPr>
            </w:pPr>
            <w:r>
              <w:rPr>
                <w:color w:val="auto"/>
                <w:sz w:val="21"/>
                <w:szCs w:val="21"/>
              </w:rPr>
              <w:t>Q=4.6m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0.01kw</w:t>
            </w:r>
            <w:r>
              <w:rPr>
                <w:rFonts w:hAnsi="宋体"/>
                <w:color w:val="auto"/>
                <w:sz w:val="21"/>
                <w:szCs w:val="21"/>
              </w:rPr>
              <w:t>，包括电磁阀，静态混合</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rFonts w:hAnsi="宋体"/>
                <w:color w:val="auto"/>
                <w:sz w:val="21"/>
                <w:szCs w:val="21"/>
              </w:rPr>
              <w:t>稀释药剂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稀释水箱</w:t>
            </w:r>
          </w:p>
        </w:tc>
        <w:tc>
          <w:tcPr>
            <w:tcW w:w="2409" w:type="dxa"/>
            <w:vAlign w:val="center"/>
          </w:tcPr>
          <w:p>
            <w:pPr>
              <w:jc w:val="center"/>
              <w:rPr>
                <w:color w:val="auto"/>
                <w:sz w:val="21"/>
                <w:szCs w:val="21"/>
              </w:rPr>
            </w:pPr>
            <w:r>
              <w:rPr>
                <w:rFonts w:hAnsi="宋体"/>
                <w:color w:val="auto"/>
                <w:sz w:val="21"/>
                <w:szCs w:val="21"/>
              </w:rPr>
              <w:t>有效容积</w:t>
            </w:r>
            <w:r>
              <w:rPr>
                <w:color w:val="auto"/>
                <w:sz w:val="21"/>
                <w:szCs w:val="21"/>
              </w:rPr>
              <w:t>V=2m</w:t>
            </w:r>
            <w:r>
              <w:rPr>
                <w:color w:val="auto"/>
                <w:sz w:val="21"/>
                <w:szCs w:val="21"/>
                <w:vertAlign w:val="superscript"/>
              </w:rPr>
              <w:t>3</w:t>
            </w:r>
            <w:r>
              <w:rPr>
                <w:rFonts w:hAnsi="宋体"/>
                <w:color w:val="auto"/>
                <w:sz w:val="21"/>
                <w:szCs w:val="21"/>
              </w:rPr>
              <w:t>，</w:t>
            </w:r>
            <w:r>
              <w:rPr>
                <w:color w:val="auto"/>
                <w:sz w:val="21"/>
                <w:szCs w:val="21"/>
              </w:rPr>
              <w:t>SS304</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稀释水泵</w:t>
            </w:r>
          </w:p>
        </w:tc>
        <w:tc>
          <w:tcPr>
            <w:tcW w:w="2409" w:type="dxa"/>
            <w:vAlign w:val="center"/>
          </w:tcPr>
          <w:p>
            <w:pPr>
              <w:jc w:val="center"/>
              <w:rPr>
                <w:color w:val="auto"/>
                <w:sz w:val="21"/>
                <w:szCs w:val="21"/>
              </w:rPr>
            </w:pPr>
            <w:r>
              <w:rPr>
                <w:color w:val="auto"/>
                <w:sz w:val="21"/>
                <w:szCs w:val="21"/>
              </w:rPr>
              <w:t>Q=4.6m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H=20m</w:t>
            </w:r>
            <w:r>
              <w:rPr>
                <w:rFonts w:hAnsi="宋体"/>
                <w:color w:val="auto"/>
                <w:sz w:val="21"/>
                <w:szCs w:val="21"/>
              </w:rPr>
              <w:t>，</w:t>
            </w:r>
            <w:r>
              <w:rPr>
                <w:color w:val="auto"/>
                <w:sz w:val="21"/>
                <w:szCs w:val="21"/>
              </w:rPr>
              <w:t>1.1kw</w:t>
            </w:r>
          </w:p>
        </w:tc>
        <w:tc>
          <w:tcPr>
            <w:tcW w:w="709" w:type="dxa"/>
            <w:vAlign w:val="center"/>
          </w:tcPr>
          <w:p>
            <w:pPr>
              <w:jc w:val="center"/>
              <w:rPr>
                <w:color w:val="auto"/>
                <w:sz w:val="21"/>
                <w:szCs w:val="21"/>
              </w:rPr>
            </w:pPr>
            <w:r>
              <w:rPr>
                <w:color w:val="auto"/>
                <w:sz w:val="21"/>
                <w:szCs w:val="21"/>
              </w:rPr>
              <w:t xml:space="preserve">2 </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r>
              <w:rPr>
                <w:color w:val="auto"/>
                <w:sz w:val="21"/>
                <w:szCs w:val="21"/>
              </w:rPr>
              <w:t>1</w:t>
            </w:r>
            <w:r>
              <w:rPr>
                <w:rFonts w:hAnsi="宋体"/>
                <w:color w:val="auto"/>
                <w:sz w:val="21"/>
                <w:szCs w:val="21"/>
              </w:rPr>
              <w:t>用</w:t>
            </w:r>
            <w:r>
              <w:rPr>
                <w:color w:val="auto"/>
                <w:sz w:val="21"/>
                <w:szCs w:val="21"/>
              </w:rPr>
              <w:t>1</w:t>
            </w:r>
            <w:r>
              <w:rPr>
                <w:rFonts w:hAnsi="宋体"/>
                <w:color w:val="auto"/>
                <w:sz w:val="21"/>
                <w:szCs w:val="21"/>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电动葫芦</w:t>
            </w:r>
          </w:p>
        </w:tc>
        <w:tc>
          <w:tcPr>
            <w:tcW w:w="2409" w:type="dxa"/>
            <w:vAlign w:val="center"/>
          </w:tcPr>
          <w:p>
            <w:pPr>
              <w:jc w:val="center"/>
              <w:rPr>
                <w:color w:val="auto"/>
                <w:sz w:val="21"/>
                <w:szCs w:val="21"/>
              </w:rPr>
            </w:pPr>
            <w:r>
              <w:rPr>
                <w:color w:val="auto"/>
                <w:sz w:val="21"/>
                <w:szCs w:val="21"/>
              </w:rPr>
              <w:t>T=1t</w:t>
            </w:r>
            <w:r>
              <w:rPr>
                <w:rFonts w:hAnsi="宋体"/>
                <w:color w:val="auto"/>
                <w:sz w:val="21"/>
                <w:szCs w:val="21"/>
              </w:rPr>
              <w:t>，起吊高度</w:t>
            </w:r>
            <w:r>
              <w:rPr>
                <w:color w:val="auto"/>
                <w:sz w:val="21"/>
                <w:szCs w:val="21"/>
              </w:rPr>
              <w:t>6m</w:t>
            </w:r>
            <w:r>
              <w:rPr>
                <w:rFonts w:hAnsi="宋体"/>
                <w:color w:val="auto"/>
                <w:sz w:val="21"/>
                <w:szCs w:val="21"/>
              </w:rPr>
              <w:t>，</w:t>
            </w:r>
            <w:r>
              <w:rPr>
                <w:color w:val="auto"/>
                <w:sz w:val="21"/>
                <w:szCs w:val="21"/>
              </w:rPr>
              <w:t>P=1.5+0.2kW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restart"/>
            <w:vAlign w:val="center"/>
          </w:tcPr>
          <w:p>
            <w:pPr>
              <w:jc w:val="center"/>
              <w:rPr>
                <w:color w:val="auto"/>
                <w:sz w:val="21"/>
                <w:szCs w:val="21"/>
              </w:rPr>
            </w:pPr>
            <w:r>
              <w:rPr>
                <w:rFonts w:hAnsi="宋体"/>
                <w:color w:val="auto"/>
                <w:sz w:val="21"/>
                <w:szCs w:val="21"/>
              </w:rPr>
              <w:t>除臭装置</w:t>
            </w:r>
          </w:p>
        </w:tc>
        <w:tc>
          <w:tcPr>
            <w:tcW w:w="2167" w:type="dxa"/>
            <w:vAlign w:val="center"/>
          </w:tcPr>
          <w:p>
            <w:pPr>
              <w:jc w:val="center"/>
              <w:rPr>
                <w:color w:val="auto"/>
                <w:sz w:val="21"/>
                <w:szCs w:val="21"/>
              </w:rPr>
            </w:pPr>
            <w:r>
              <w:rPr>
                <w:rFonts w:hAnsi="宋体"/>
                <w:color w:val="auto"/>
                <w:sz w:val="21"/>
                <w:szCs w:val="21"/>
              </w:rPr>
              <w:t>化学除臭塔</w:t>
            </w:r>
          </w:p>
        </w:tc>
        <w:tc>
          <w:tcPr>
            <w:tcW w:w="2409" w:type="dxa"/>
            <w:vAlign w:val="center"/>
          </w:tcPr>
          <w:p>
            <w:pPr>
              <w:jc w:val="center"/>
              <w:rPr>
                <w:color w:val="auto"/>
                <w:sz w:val="21"/>
                <w:szCs w:val="21"/>
              </w:rPr>
            </w:pPr>
            <w:r>
              <w:rPr>
                <w:color w:val="auto"/>
                <w:sz w:val="21"/>
                <w:szCs w:val="21"/>
              </w:rPr>
              <w:t>3.0m×4.0m×6.0m(H)</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座</w:t>
            </w:r>
          </w:p>
        </w:tc>
        <w:tc>
          <w:tcPr>
            <w:tcW w:w="1938" w:type="dxa"/>
            <w:vAlign w:val="center"/>
          </w:tcPr>
          <w:p>
            <w:pPr>
              <w:jc w:val="center"/>
              <w:rPr>
                <w:color w:val="auto"/>
                <w:sz w:val="21"/>
                <w:szCs w:val="21"/>
              </w:rPr>
            </w:pPr>
            <w:r>
              <w:rPr>
                <w:color w:val="auto"/>
                <w:sz w:val="21"/>
                <w:szCs w:val="21"/>
              </w:rPr>
              <w:t>FRP</w:t>
            </w:r>
            <w:r>
              <w:rPr>
                <w:rFonts w:hAnsi="宋体"/>
                <w:color w:val="auto"/>
                <w:sz w:val="21"/>
                <w:szCs w:val="21"/>
              </w:rPr>
              <w:t>及其他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洗涤填料</w:t>
            </w:r>
          </w:p>
        </w:tc>
        <w:tc>
          <w:tcPr>
            <w:tcW w:w="2409" w:type="dxa"/>
            <w:vAlign w:val="center"/>
          </w:tcPr>
          <w:p>
            <w:pPr>
              <w:jc w:val="center"/>
              <w:rPr>
                <w:color w:val="auto"/>
                <w:sz w:val="21"/>
                <w:szCs w:val="21"/>
              </w:rPr>
            </w:pPr>
            <w:r>
              <w:rPr>
                <w:rFonts w:hAnsi="宋体"/>
                <w:color w:val="auto"/>
                <w:sz w:val="21"/>
                <w:szCs w:val="21"/>
              </w:rPr>
              <w:t>塑料球</w:t>
            </w:r>
          </w:p>
        </w:tc>
        <w:tc>
          <w:tcPr>
            <w:tcW w:w="709" w:type="dxa"/>
            <w:vAlign w:val="center"/>
          </w:tcPr>
          <w:p>
            <w:pPr>
              <w:jc w:val="center"/>
              <w:rPr>
                <w:color w:val="auto"/>
                <w:sz w:val="21"/>
                <w:szCs w:val="21"/>
              </w:rPr>
            </w:pPr>
            <w:r>
              <w:rPr>
                <w:color w:val="auto"/>
                <w:sz w:val="21"/>
                <w:szCs w:val="21"/>
              </w:rPr>
              <w:t>16</w:t>
            </w:r>
          </w:p>
        </w:tc>
        <w:tc>
          <w:tcPr>
            <w:tcW w:w="709" w:type="dxa"/>
            <w:vAlign w:val="center"/>
          </w:tcPr>
          <w:p>
            <w:pPr>
              <w:jc w:val="center"/>
              <w:rPr>
                <w:color w:val="auto"/>
                <w:sz w:val="21"/>
                <w:szCs w:val="21"/>
              </w:rPr>
            </w:pPr>
            <w:r>
              <w:rPr>
                <w:color w:val="auto"/>
                <w:sz w:val="21"/>
                <w:szCs w:val="21"/>
              </w:rPr>
              <w:t>m</w:t>
            </w:r>
            <w:r>
              <w:rPr>
                <w:color w:val="auto"/>
                <w:sz w:val="21"/>
                <w:szCs w:val="21"/>
                <w:vertAlign w:val="superscript"/>
              </w:rPr>
              <w:t>3</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氧化剂储罐</w:t>
            </w:r>
          </w:p>
        </w:tc>
        <w:tc>
          <w:tcPr>
            <w:tcW w:w="2409" w:type="dxa"/>
            <w:vAlign w:val="center"/>
          </w:tcPr>
          <w:p>
            <w:pPr>
              <w:jc w:val="center"/>
              <w:rPr>
                <w:color w:val="auto"/>
                <w:sz w:val="21"/>
                <w:szCs w:val="21"/>
              </w:rPr>
            </w:pPr>
            <w:r>
              <w:rPr>
                <w:color w:val="auto"/>
                <w:sz w:val="21"/>
                <w:szCs w:val="21"/>
              </w:rPr>
              <w:t>1.5m×1.5m×1.5m(H)</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FRP</w:t>
            </w:r>
            <w:r>
              <w:rPr>
                <w:rFonts w:hAnsi="宋体"/>
                <w:color w:val="auto"/>
                <w:sz w:val="21"/>
                <w:szCs w:val="21"/>
              </w:rPr>
              <w:t>及其他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碱液储罐</w:t>
            </w:r>
          </w:p>
        </w:tc>
        <w:tc>
          <w:tcPr>
            <w:tcW w:w="2409" w:type="dxa"/>
            <w:vAlign w:val="center"/>
          </w:tcPr>
          <w:p>
            <w:pPr>
              <w:jc w:val="center"/>
              <w:rPr>
                <w:color w:val="auto"/>
                <w:sz w:val="21"/>
                <w:szCs w:val="21"/>
              </w:rPr>
            </w:pPr>
            <w:r>
              <w:rPr>
                <w:color w:val="auto"/>
                <w:sz w:val="21"/>
                <w:szCs w:val="21"/>
              </w:rPr>
              <w:t>1.5m×1.5m×1.5m(H)</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color w:val="auto"/>
                <w:sz w:val="21"/>
                <w:szCs w:val="21"/>
              </w:rPr>
              <w:t>FRP</w:t>
            </w:r>
            <w:r>
              <w:rPr>
                <w:rFonts w:hAnsi="宋体"/>
                <w:color w:val="auto"/>
                <w:sz w:val="21"/>
                <w:szCs w:val="21"/>
              </w:rPr>
              <w:t>及其他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循环水泵</w:t>
            </w:r>
          </w:p>
        </w:tc>
        <w:tc>
          <w:tcPr>
            <w:tcW w:w="2409" w:type="dxa"/>
            <w:vAlign w:val="center"/>
          </w:tcPr>
          <w:p>
            <w:pPr>
              <w:jc w:val="center"/>
              <w:rPr>
                <w:color w:val="auto"/>
                <w:sz w:val="21"/>
                <w:szCs w:val="21"/>
              </w:rPr>
            </w:pPr>
            <w:r>
              <w:rPr>
                <w:color w:val="auto"/>
                <w:sz w:val="21"/>
                <w:szCs w:val="21"/>
              </w:rPr>
              <w:t>SZ65-50-125/4</w:t>
            </w:r>
            <w:r>
              <w:rPr>
                <w:rFonts w:hAnsi="宋体"/>
                <w:color w:val="auto"/>
                <w:sz w:val="21"/>
                <w:szCs w:val="21"/>
              </w:rPr>
              <w:t>，</w:t>
            </w:r>
            <w:r>
              <w:rPr>
                <w:color w:val="auto"/>
                <w:sz w:val="21"/>
                <w:szCs w:val="21"/>
              </w:rPr>
              <w:t>35m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18m</w:t>
            </w:r>
            <w:r>
              <w:rPr>
                <w:rFonts w:hAnsi="宋体"/>
                <w:color w:val="auto"/>
                <w:sz w:val="21"/>
                <w:szCs w:val="21"/>
              </w:rPr>
              <w:t>，</w:t>
            </w:r>
            <w:r>
              <w:rPr>
                <w:color w:val="auto"/>
                <w:sz w:val="21"/>
                <w:szCs w:val="21"/>
              </w:rPr>
              <w:t>4kw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碱液计量泵</w:t>
            </w:r>
          </w:p>
        </w:tc>
        <w:tc>
          <w:tcPr>
            <w:tcW w:w="2409" w:type="dxa"/>
            <w:vAlign w:val="center"/>
          </w:tcPr>
          <w:p>
            <w:pPr>
              <w:jc w:val="center"/>
              <w:rPr>
                <w:color w:val="auto"/>
                <w:sz w:val="21"/>
                <w:szCs w:val="21"/>
              </w:rPr>
            </w:pPr>
            <w:r>
              <w:rPr>
                <w:color w:val="auto"/>
                <w:sz w:val="21"/>
                <w:szCs w:val="21"/>
              </w:rPr>
              <w:t>120L/H</w:t>
            </w:r>
            <w:r>
              <w:rPr>
                <w:rFonts w:hAnsi="宋体"/>
                <w:color w:val="auto"/>
                <w:sz w:val="21"/>
                <w:szCs w:val="21"/>
              </w:rPr>
              <w:t>，</w:t>
            </w:r>
            <w:r>
              <w:rPr>
                <w:color w:val="auto"/>
                <w:sz w:val="21"/>
                <w:szCs w:val="21"/>
              </w:rPr>
              <w:t>3.5bar</w:t>
            </w:r>
            <w:r>
              <w:rPr>
                <w:rFonts w:hAnsi="宋体"/>
                <w:color w:val="auto"/>
                <w:sz w:val="21"/>
                <w:szCs w:val="21"/>
              </w:rPr>
              <w:t>，</w:t>
            </w:r>
            <w:r>
              <w:rPr>
                <w:color w:val="auto"/>
                <w:sz w:val="21"/>
                <w:szCs w:val="21"/>
              </w:rPr>
              <w:t>0.09kw</w:t>
            </w:r>
            <w:r>
              <w:rPr>
                <w:rFonts w:hAnsi="宋体"/>
                <w:color w:val="auto"/>
                <w:sz w:val="21"/>
                <w:szCs w:val="21"/>
              </w:rPr>
              <w:t>，</w:t>
            </w:r>
            <w:r>
              <w:rPr>
                <w:color w:val="auto"/>
                <w:sz w:val="21"/>
                <w:szCs w:val="21"/>
              </w:rPr>
              <w:t>380V</w:t>
            </w:r>
            <w:r>
              <w:rPr>
                <w:rFonts w:hAnsi="宋体"/>
                <w:color w:val="auto"/>
                <w:sz w:val="21"/>
                <w:szCs w:val="21"/>
              </w:rPr>
              <w:t>，</w:t>
            </w:r>
            <w:r>
              <w:rPr>
                <w:color w:val="auto"/>
                <w:sz w:val="21"/>
                <w:szCs w:val="21"/>
              </w:rPr>
              <w:t>PVC</w:t>
            </w:r>
            <w:r>
              <w:rPr>
                <w:rFonts w:hAnsi="宋体"/>
                <w:color w:val="auto"/>
                <w:sz w:val="21"/>
                <w:szCs w:val="21"/>
              </w:rPr>
              <w:t>泵头，安全阀、</w:t>
            </w:r>
            <w:r>
              <w:rPr>
                <w:color w:val="auto"/>
                <w:sz w:val="21"/>
                <w:szCs w:val="21"/>
              </w:rPr>
              <w:t>Y</w:t>
            </w:r>
            <w:r>
              <w:rPr>
                <w:rFonts w:hAnsi="宋体"/>
                <w:color w:val="auto"/>
                <w:sz w:val="21"/>
                <w:szCs w:val="21"/>
              </w:rPr>
              <w:t>型过滤器、背压阀、脉冲阻尼器、底阀</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氧化剂计量泵</w:t>
            </w:r>
          </w:p>
        </w:tc>
        <w:tc>
          <w:tcPr>
            <w:tcW w:w="2409" w:type="dxa"/>
            <w:vAlign w:val="center"/>
          </w:tcPr>
          <w:p>
            <w:pPr>
              <w:jc w:val="center"/>
              <w:rPr>
                <w:color w:val="auto"/>
                <w:sz w:val="21"/>
                <w:szCs w:val="21"/>
              </w:rPr>
            </w:pPr>
            <w:r>
              <w:rPr>
                <w:color w:val="auto"/>
                <w:sz w:val="21"/>
                <w:szCs w:val="21"/>
              </w:rPr>
              <w:t>300L/H</w:t>
            </w:r>
            <w:r>
              <w:rPr>
                <w:rFonts w:hAnsi="宋体"/>
                <w:color w:val="auto"/>
                <w:sz w:val="21"/>
                <w:szCs w:val="21"/>
              </w:rPr>
              <w:t>，</w:t>
            </w:r>
            <w:r>
              <w:rPr>
                <w:color w:val="auto"/>
                <w:sz w:val="21"/>
                <w:szCs w:val="21"/>
              </w:rPr>
              <w:t>5bar</w:t>
            </w:r>
            <w:r>
              <w:rPr>
                <w:rFonts w:hAnsi="宋体"/>
                <w:color w:val="auto"/>
                <w:sz w:val="21"/>
                <w:szCs w:val="21"/>
              </w:rPr>
              <w:t>，</w:t>
            </w:r>
            <w:r>
              <w:rPr>
                <w:color w:val="auto"/>
                <w:sz w:val="21"/>
                <w:szCs w:val="21"/>
              </w:rPr>
              <w:t>0.37kw</w:t>
            </w:r>
            <w:r>
              <w:rPr>
                <w:rFonts w:hAnsi="宋体"/>
                <w:color w:val="auto"/>
                <w:sz w:val="21"/>
                <w:szCs w:val="21"/>
              </w:rPr>
              <w:t>，</w:t>
            </w:r>
            <w:r>
              <w:rPr>
                <w:color w:val="auto"/>
                <w:sz w:val="21"/>
                <w:szCs w:val="21"/>
              </w:rPr>
              <w:t>PVC</w:t>
            </w:r>
            <w:r>
              <w:rPr>
                <w:rFonts w:hAnsi="宋体"/>
                <w:color w:val="auto"/>
                <w:sz w:val="21"/>
                <w:szCs w:val="21"/>
              </w:rPr>
              <w:t>泵头，</w:t>
            </w:r>
            <w:r>
              <w:rPr>
                <w:color w:val="auto"/>
                <w:sz w:val="21"/>
                <w:szCs w:val="21"/>
              </w:rPr>
              <w:t>380V</w:t>
            </w:r>
            <w:r>
              <w:rPr>
                <w:rFonts w:hAnsi="宋体"/>
                <w:color w:val="auto"/>
                <w:sz w:val="21"/>
                <w:szCs w:val="21"/>
              </w:rPr>
              <w:t>，安全阀、</w:t>
            </w:r>
            <w:r>
              <w:rPr>
                <w:color w:val="auto"/>
                <w:sz w:val="21"/>
                <w:szCs w:val="21"/>
              </w:rPr>
              <w:t>Y</w:t>
            </w:r>
            <w:r>
              <w:rPr>
                <w:rFonts w:hAnsi="宋体"/>
                <w:color w:val="auto"/>
                <w:sz w:val="21"/>
                <w:szCs w:val="21"/>
              </w:rPr>
              <w:t>型过滤器、背压阀、脉冲阻尼器、底阀</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喷淋电动阀</w:t>
            </w:r>
          </w:p>
        </w:tc>
        <w:tc>
          <w:tcPr>
            <w:tcW w:w="2409" w:type="dxa"/>
            <w:vAlign w:val="center"/>
          </w:tcPr>
          <w:p>
            <w:pPr>
              <w:jc w:val="center"/>
              <w:rPr>
                <w:color w:val="auto"/>
                <w:sz w:val="21"/>
                <w:szCs w:val="21"/>
              </w:rPr>
            </w:pPr>
            <w:r>
              <w:rPr>
                <w:color w:val="auto"/>
                <w:sz w:val="21"/>
                <w:szCs w:val="21"/>
              </w:rPr>
              <w:t>DN80</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排水电动阀</w:t>
            </w:r>
          </w:p>
        </w:tc>
        <w:tc>
          <w:tcPr>
            <w:tcW w:w="2409" w:type="dxa"/>
            <w:vAlign w:val="center"/>
          </w:tcPr>
          <w:p>
            <w:pPr>
              <w:jc w:val="center"/>
              <w:rPr>
                <w:color w:val="auto"/>
                <w:sz w:val="21"/>
                <w:szCs w:val="21"/>
              </w:rPr>
            </w:pPr>
            <w:r>
              <w:rPr>
                <w:color w:val="auto"/>
                <w:sz w:val="21"/>
                <w:szCs w:val="21"/>
              </w:rPr>
              <w:t>DN80</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补水电动阀</w:t>
            </w:r>
          </w:p>
        </w:tc>
        <w:tc>
          <w:tcPr>
            <w:tcW w:w="2409" w:type="dxa"/>
            <w:vAlign w:val="center"/>
          </w:tcPr>
          <w:p>
            <w:pPr>
              <w:jc w:val="center"/>
              <w:rPr>
                <w:color w:val="auto"/>
                <w:sz w:val="21"/>
                <w:szCs w:val="21"/>
              </w:rPr>
            </w:pPr>
            <w:r>
              <w:rPr>
                <w:color w:val="auto"/>
                <w:sz w:val="21"/>
                <w:szCs w:val="21"/>
              </w:rPr>
              <w:t>DN65</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SS304</w:t>
            </w:r>
            <w:r>
              <w:rPr>
                <w:rFonts w:hAnsi="宋体"/>
                <w:color w:val="auto"/>
                <w:sz w:val="21"/>
                <w:szCs w:val="21"/>
              </w:rPr>
              <w:t>搅拌器</w:t>
            </w:r>
          </w:p>
        </w:tc>
        <w:tc>
          <w:tcPr>
            <w:tcW w:w="2409" w:type="dxa"/>
            <w:vAlign w:val="center"/>
          </w:tcPr>
          <w:p>
            <w:pPr>
              <w:jc w:val="center"/>
              <w:rPr>
                <w:color w:val="auto"/>
                <w:sz w:val="21"/>
                <w:szCs w:val="21"/>
              </w:rPr>
            </w:pPr>
            <w:r>
              <w:rPr>
                <w:rFonts w:hAnsi="宋体"/>
                <w:color w:val="auto"/>
                <w:sz w:val="21"/>
                <w:szCs w:val="21"/>
              </w:rPr>
              <w:t>叶轮</w:t>
            </w:r>
            <w:r>
              <w:rPr>
                <w:color w:val="auto"/>
                <w:sz w:val="21"/>
                <w:szCs w:val="21"/>
              </w:rPr>
              <w:t>Φ500</w:t>
            </w:r>
            <w:r>
              <w:rPr>
                <w:rFonts w:hAnsi="宋体"/>
                <w:color w:val="auto"/>
                <w:sz w:val="21"/>
                <w:szCs w:val="21"/>
              </w:rPr>
              <w:t>、轴长</w:t>
            </w:r>
            <w:r>
              <w:rPr>
                <w:color w:val="auto"/>
                <w:sz w:val="21"/>
                <w:szCs w:val="21"/>
              </w:rPr>
              <w:t>1.6m</w:t>
            </w:r>
            <w:r>
              <w:rPr>
                <w:rFonts w:hAnsi="宋体"/>
                <w:color w:val="auto"/>
                <w:sz w:val="21"/>
                <w:szCs w:val="21"/>
              </w:rPr>
              <w:t>，</w:t>
            </w:r>
            <w:r>
              <w:rPr>
                <w:color w:val="auto"/>
                <w:sz w:val="21"/>
                <w:szCs w:val="21"/>
              </w:rPr>
              <w:t>380V</w:t>
            </w:r>
            <w:r>
              <w:rPr>
                <w:rFonts w:hAnsi="宋体"/>
                <w:color w:val="auto"/>
                <w:sz w:val="21"/>
                <w:szCs w:val="21"/>
              </w:rPr>
              <w:t>，</w:t>
            </w:r>
            <w:r>
              <w:rPr>
                <w:color w:val="auto"/>
                <w:sz w:val="21"/>
                <w:szCs w:val="21"/>
              </w:rPr>
              <w:t>N=1.1kw</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磁性翻板液位计</w:t>
            </w:r>
          </w:p>
        </w:tc>
        <w:tc>
          <w:tcPr>
            <w:tcW w:w="2409" w:type="dxa"/>
            <w:vAlign w:val="center"/>
          </w:tcPr>
          <w:p>
            <w:pPr>
              <w:jc w:val="center"/>
              <w:rPr>
                <w:color w:val="auto"/>
                <w:sz w:val="21"/>
                <w:szCs w:val="21"/>
              </w:rPr>
            </w:pPr>
            <w:r>
              <w:rPr>
                <w:color w:val="auto"/>
                <w:sz w:val="21"/>
                <w:szCs w:val="21"/>
              </w:rPr>
              <w:t>SS304</w:t>
            </w:r>
          </w:p>
        </w:tc>
        <w:tc>
          <w:tcPr>
            <w:tcW w:w="709" w:type="dxa"/>
            <w:vAlign w:val="center"/>
          </w:tcPr>
          <w:p>
            <w:pPr>
              <w:jc w:val="center"/>
              <w:rPr>
                <w:color w:val="auto"/>
                <w:sz w:val="21"/>
                <w:szCs w:val="21"/>
              </w:rPr>
            </w:pPr>
            <w:r>
              <w:rPr>
                <w:color w:val="auto"/>
                <w:sz w:val="21"/>
                <w:szCs w:val="21"/>
              </w:rPr>
              <w:t>4</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加药系统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pH</w:t>
            </w:r>
            <w:r>
              <w:rPr>
                <w:rFonts w:hAnsi="宋体"/>
                <w:color w:val="auto"/>
                <w:sz w:val="21"/>
                <w:szCs w:val="21"/>
              </w:rPr>
              <w:t>计</w:t>
            </w:r>
          </w:p>
        </w:tc>
        <w:tc>
          <w:tcPr>
            <w:tcW w:w="2409" w:type="dxa"/>
            <w:vAlign w:val="center"/>
          </w:tcPr>
          <w:p>
            <w:pPr>
              <w:jc w:val="center"/>
              <w:rPr>
                <w:color w:val="auto"/>
                <w:sz w:val="21"/>
                <w:szCs w:val="21"/>
              </w:rPr>
            </w:pP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color w:val="auto"/>
                <w:sz w:val="21"/>
                <w:szCs w:val="21"/>
              </w:rPr>
              <w:t>ORP</w:t>
            </w:r>
            <w:r>
              <w:rPr>
                <w:rFonts w:hAnsi="宋体"/>
                <w:color w:val="auto"/>
                <w:sz w:val="21"/>
                <w:szCs w:val="21"/>
              </w:rPr>
              <w:t>计</w:t>
            </w:r>
          </w:p>
        </w:tc>
        <w:tc>
          <w:tcPr>
            <w:tcW w:w="2409" w:type="dxa"/>
            <w:vAlign w:val="center"/>
          </w:tcPr>
          <w:p>
            <w:pPr>
              <w:jc w:val="center"/>
              <w:rPr>
                <w:color w:val="auto"/>
                <w:sz w:val="21"/>
                <w:szCs w:val="21"/>
              </w:rPr>
            </w:pP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电磁流量计</w:t>
            </w:r>
          </w:p>
        </w:tc>
        <w:tc>
          <w:tcPr>
            <w:tcW w:w="2409" w:type="dxa"/>
            <w:vAlign w:val="center"/>
          </w:tcPr>
          <w:p>
            <w:pPr>
              <w:jc w:val="center"/>
              <w:rPr>
                <w:color w:val="auto"/>
                <w:sz w:val="21"/>
                <w:szCs w:val="21"/>
              </w:rPr>
            </w:pPr>
            <w:r>
              <w:rPr>
                <w:color w:val="auto"/>
                <w:sz w:val="21"/>
                <w:szCs w:val="21"/>
              </w:rPr>
              <w:t>LDG-80S</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生物滤池</w:t>
            </w:r>
          </w:p>
        </w:tc>
        <w:tc>
          <w:tcPr>
            <w:tcW w:w="2409" w:type="dxa"/>
            <w:vAlign w:val="center"/>
          </w:tcPr>
          <w:p>
            <w:pPr>
              <w:jc w:val="center"/>
              <w:rPr>
                <w:color w:val="auto"/>
                <w:sz w:val="21"/>
                <w:szCs w:val="21"/>
              </w:rPr>
            </w:pPr>
            <w:r>
              <w:rPr>
                <w:color w:val="auto"/>
                <w:sz w:val="21"/>
                <w:szCs w:val="21"/>
              </w:rPr>
              <w:t>5.0m×6.5m×4.0m(H)</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座</w:t>
            </w:r>
          </w:p>
        </w:tc>
        <w:tc>
          <w:tcPr>
            <w:tcW w:w="1938" w:type="dxa"/>
            <w:vAlign w:val="center"/>
          </w:tcPr>
          <w:p>
            <w:pPr>
              <w:jc w:val="center"/>
              <w:rPr>
                <w:color w:val="auto"/>
                <w:sz w:val="21"/>
                <w:szCs w:val="21"/>
              </w:rPr>
            </w:pPr>
            <w:r>
              <w:rPr>
                <w:color w:val="auto"/>
                <w:sz w:val="21"/>
                <w:szCs w:val="21"/>
              </w:rPr>
              <w:t>FRP</w:t>
            </w:r>
            <w:r>
              <w:rPr>
                <w:rFonts w:hAnsi="宋体"/>
                <w:color w:val="auto"/>
                <w:sz w:val="21"/>
                <w:szCs w:val="21"/>
              </w:rPr>
              <w:t>及其他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生物填料</w:t>
            </w:r>
          </w:p>
        </w:tc>
        <w:tc>
          <w:tcPr>
            <w:tcW w:w="2409" w:type="dxa"/>
            <w:vAlign w:val="center"/>
          </w:tcPr>
          <w:p>
            <w:pPr>
              <w:jc w:val="center"/>
              <w:rPr>
                <w:color w:val="auto"/>
                <w:sz w:val="21"/>
                <w:szCs w:val="21"/>
              </w:rPr>
            </w:pPr>
            <w:r>
              <w:rPr>
                <w:color w:val="auto"/>
                <w:sz w:val="21"/>
                <w:szCs w:val="21"/>
              </w:rPr>
              <w:t>5-15mm</w:t>
            </w:r>
          </w:p>
        </w:tc>
        <w:tc>
          <w:tcPr>
            <w:tcW w:w="709" w:type="dxa"/>
            <w:vAlign w:val="center"/>
          </w:tcPr>
          <w:p>
            <w:pPr>
              <w:jc w:val="center"/>
              <w:rPr>
                <w:color w:val="auto"/>
                <w:sz w:val="21"/>
                <w:szCs w:val="21"/>
              </w:rPr>
            </w:pPr>
            <w:r>
              <w:rPr>
                <w:color w:val="auto"/>
                <w:sz w:val="21"/>
                <w:szCs w:val="21"/>
              </w:rPr>
              <w:t>59</w:t>
            </w:r>
          </w:p>
        </w:tc>
        <w:tc>
          <w:tcPr>
            <w:tcW w:w="709" w:type="dxa"/>
            <w:vAlign w:val="center"/>
          </w:tcPr>
          <w:p>
            <w:pPr>
              <w:jc w:val="center"/>
              <w:rPr>
                <w:color w:val="auto"/>
                <w:sz w:val="21"/>
                <w:szCs w:val="21"/>
              </w:rPr>
            </w:pPr>
            <w:r>
              <w:rPr>
                <w:color w:val="auto"/>
                <w:sz w:val="21"/>
                <w:szCs w:val="21"/>
              </w:rPr>
              <w:t>m</w:t>
            </w:r>
            <w:r>
              <w:rPr>
                <w:color w:val="auto"/>
                <w:sz w:val="21"/>
                <w:szCs w:val="21"/>
                <w:vertAlign w:val="superscript"/>
              </w:rPr>
              <w:t>3</w:t>
            </w:r>
          </w:p>
        </w:tc>
        <w:tc>
          <w:tcPr>
            <w:tcW w:w="1938" w:type="dxa"/>
            <w:vAlign w:val="center"/>
          </w:tcPr>
          <w:p>
            <w:pPr>
              <w:jc w:val="center"/>
              <w:rPr>
                <w:color w:val="auto"/>
                <w:sz w:val="21"/>
                <w:szCs w:val="21"/>
              </w:rPr>
            </w:pPr>
            <w:r>
              <w:rPr>
                <w:rFonts w:hAnsi="宋体"/>
                <w:color w:val="auto"/>
                <w:sz w:val="21"/>
                <w:szCs w:val="21"/>
              </w:rPr>
              <w:t>炭质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喷淋泵</w:t>
            </w:r>
          </w:p>
        </w:tc>
        <w:tc>
          <w:tcPr>
            <w:tcW w:w="2409" w:type="dxa"/>
            <w:vAlign w:val="center"/>
          </w:tcPr>
          <w:p>
            <w:pPr>
              <w:jc w:val="center"/>
              <w:rPr>
                <w:color w:val="auto"/>
                <w:sz w:val="21"/>
                <w:szCs w:val="21"/>
              </w:rPr>
            </w:pPr>
            <w:r>
              <w:rPr>
                <w:color w:val="auto"/>
                <w:sz w:val="21"/>
                <w:szCs w:val="21"/>
              </w:rPr>
              <w:t>SZ65-50-125/4</w:t>
            </w:r>
            <w:r>
              <w:rPr>
                <w:rFonts w:hAnsi="宋体"/>
                <w:color w:val="auto"/>
                <w:sz w:val="21"/>
                <w:szCs w:val="21"/>
              </w:rPr>
              <w:t>，</w:t>
            </w:r>
            <w:r>
              <w:rPr>
                <w:color w:val="auto"/>
                <w:sz w:val="21"/>
                <w:szCs w:val="21"/>
              </w:rPr>
              <w:t>35m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18m</w:t>
            </w:r>
            <w:r>
              <w:rPr>
                <w:rFonts w:hAnsi="宋体"/>
                <w:color w:val="auto"/>
                <w:sz w:val="21"/>
                <w:szCs w:val="21"/>
              </w:rPr>
              <w:t>，</w:t>
            </w:r>
            <w:r>
              <w:rPr>
                <w:color w:val="auto"/>
                <w:sz w:val="21"/>
                <w:szCs w:val="21"/>
              </w:rPr>
              <w:t>4kw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排水电动阀</w:t>
            </w:r>
          </w:p>
        </w:tc>
        <w:tc>
          <w:tcPr>
            <w:tcW w:w="2409" w:type="dxa"/>
            <w:vAlign w:val="center"/>
          </w:tcPr>
          <w:p>
            <w:pPr>
              <w:jc w:val="center"/>
              <w:rPr>
                <w:color w:val="auto"/>
                <w:sz w:val="21"/>
                <w:szCs w:val="21"/>
              </w:rPr>
            </w:pPr>
            <w:r>
              <w:rPr>
                <w:color w:val="auto"/>
                <w:sz w:val="21"/>
                <w:szCs w:val="21"/>
              </w:rPr>
              <w:t>DN100</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补水电动阀</w:t>
            </w:r>
          </w:p>
        </w:tc>
        <w:tc>
          <w:tcPr>
            <w:tcW w:w="2409" w:type="dxa"/>
            <w:vAlign w:val="center"/>
          </w:tcPr>
          <w:p>
            <w:pPr>
              <w:jc w:val="center"/>
              <w:rPr>
                <w:color w:val="auto"/>
                <w:sz w:val="21"/>
                <w:szCs w:val="21"/>
              </w:rPr>
            </w:pPr>
            <w:r>
              <w:rPr>
                <w:color w:val="auto"/>
                <w:sz w:val="21"/>
                <w:szCs w:val="21"/>
              </w:rPr>
              <w:t>DN65</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排放烟囱</w:t>
            </w:r>
          </w:p>
        </w:tc>
        <w:tc>
          <w:tcPr>
            <w:tcW w:w="2409" w:type="dxa"/>
            <w:vAlign w:val="center"/>
          </w:tcPr>
          <w:p>
            <w:pPr>
              <w:jc w:val="center"/>
              <w:rPr>
                <w:color w:val="auto"/>
                <w:sz w:val="21"/>
                <w:szCs w:val="21"/>
              </w:rPr>
            </w:pPr>
            <w:r>
              <w:rPr>
                <w:color w:val="auto"/>
                <w:sz w:val="21"/>
                <w:szCs w:val="21"/>
              </w:rPr>
              <w:t>DN600</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座</w:t>
            </w:r>
          </w:p>
        </w:tc>
        <w:tc>
          <w:tcPr>
            <w:tcW w:w="1938" w:type="dxa"/>
            <w:vAlign w:val="center"/>
          </w:tcPr>
          <w:p>
            <w:pPr>
              <w:jc w:val="center"/>
              <w:rPr>
                <w:color w:val="auto"/>
                <w:sz w:val="21"/>
                <w:szCs w:val="21"/>
              </w:rPr>
            </w:pPr>
            <w:r>
              <w:rPr>
                <w:rFonts w:hAnsi="宋体"/>
                <w:color w:val="auto"/>
                <w:sz w:val="21"/>
                <w:szCs w:val="21"/>
              </w:rPr>
              <w:t>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除臭风机</w:t>
            </w:r>
          </w:p>
        </w:tc>
        <w:tc>
          <w:tcPr>
            <w:tcW w:w="2409" w:type="dxa"/>
            <w:vAlign w:val="center"/>
          </w:tcPr>
          <w:p>
            <w:pPr>
              <w:jc w:val="center"/>
              <w:rPr>
                <w:color w:val="auto"/>
                <w:sz w:val="21"/>
                <w:szCs w:val="21"/>
              </w:rPr>
            </w:pPr>
            <w:r>
              <w:rPr>
                <w:color w:val="auto"/>
                <w:sz w:val="21"/>
                <w:szCs w:val="21"/>
              </w:rPr>
              <w:t>HF301</w:t>
            </w:r>
            <w:r>
              <w:rPr>
                <w:rFonts w:hAnsi="宋体"/>
                <w:color w:val="auto"/>
                <w:sz w:val="21"/>
                <w:szCs w:val="21"/>
              </w:rPr>
              <w:t>，</w:t>
            </w:r>
            <w:r>
              <w:rPr>
                <w:color w:val="auto"/>
                <w:sz w:val="21"/>
                <w:szCs w:val="21"/>
              </w:rPr>
              <w:t>E\F</w:t>
            </w:r>
            <w:r>
              <w:rPr>
                <w:rFonts w:hAnsi="宋体"/>
                <w:color w:val="auto"/>
                <w:sz w:val="21"/>
                <w:szCs w:val="21"/>
              </w:rPr>
              <w:t>向各</w:t>
            </w:r>
            <w:r>
              <w:rPr>
                <w:color w:val="auto"/>
                <w:sz w:val="21"/>
                <w:szCs w:val="21"/>
              </w:rPr>
              <w:t>1</w:t>
            </w:r>
            <w:r>
              <w:rPr>
                <w:rFonts w:hAnsi="宋体"/>
                <w:color w:val="auto"/>
                <w:sz w:val="21"/>
                <w:szCs w:val="21"/>
              </w:rPr>
              <w:t>台，</w:t>
            </w:r>
            <w:r>
              <w:rPr>
                <w:color w:val="auto"/>
                <w:sz w:val="21"/>
                <w:szCs w:val="21"/>
              </w:rPr>
              <w:t>7000m</w:t>
            </w:r>
            <w:r>
              <w:rPr>
                <w:color w:val="auto"/>
                <w:sz w:val="21"/>
                <w:szCs w:val="21"/>
                <w:vertAlign w:val="superscript"/>
              </w:rPr>
              <w:t>3</w:t>
            </w:r>
            <w:r>
              <w:rPr>
                <w:color w:val="auto"/>
                <w:sz w:val="21"/>
                <w:szCs w:val="21"/>
              </w:rPr>
              <w:t>/h</w:t>
            </w:r>
            <w:r>
              <w:rPr>
                <w:rFonts w:hAnsi="宋体"/>
                <w:color w:val="auto"/>
                <w:sz w:val="21"/>
                <w:szCs w:val="21"/>
              </w:rPr>
              <w:t>，</w:t>
            </w:r>
            <w:r>
              <w:rPr>
                <w:color w:val="auto"/>
                <w:sz w:val="21"/>
                <w:szCs w:val="21"/>
              </w:rPr>
              <w:t>4000Pa</w:t>
            </w:r>
            <w:r>
              <w:rPr>
                <w:rFonts w:hAnsi="宋体"/>
                <w:color w:val="auto"/>
                <w:sz w:val="21"/>
                <w:szCs w:val="21"/>
              </w:rPr>
              <w:t>，</w:t>
            </w:r>
            <w:r>
              <w:rPr>
                <w:color w:val="auto"/>
                <w:sz w:val="21"/>
                <w:szCs w:val="21"/>
              </w:rPr>
              <w:t>15kw</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r>
              <w:rPr>
                <w:rFonts w:hAnsi="宋体"/>
                <w:color w:val="auto"/>
                <w:sz w:val="21"/>
                <w:szCs w:val="21"/>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电控系统</w:t>
            </w:r>
          </w:p>
        </w:tc>
        <w:tc>
          <w:tcPr>
            <w:tcW w:w="2409" w:type="dxa"/>
            <w:vAlign w:val="center"/>
          </w:tcPr>
          <w:p>
            <w:pPr>
              <w:jc w:val="center"/>
              <w:rPr>
                <w:color w:val="auto"/>
                <w:sz w:val="21"/>
                <w:szCs w:val="21"/>
              </w:rPr>
            </w:pPr>
            <w:r>
              <w:rPr>
                <w:rFonts w:hAnsi="宋体"/>
                <w:color w:val="auto"/>
                <w:sz w:val="21"/>
                <w:szCs w:val="21"/>
              </w:rPr>
              <w:t>配套</w:t>
            </w:r>
          </w:p>
        </w:tc>
        <w:tc>
          <w:tcPr>
            <w:tcW w:w="709" w:type="dxa"/>
            <w:vAlign w:val="center"/>
          </w:tcPr>
          <w:p>
            <w:pPr>
              <w:jc w:val="center"/>
              <w:rPr>
                <w:color w:val="auto"/>
                <w:sz w:val="21"/>
                <w:szCs w:val="21"/>
              </w:rPr>
            </w:pPr>
            <w:r>
              <w:rPr>
                <w:color w:val="auto"/>
                <w:sz w:val="21"/>
                <w:szCs w:val="21"/>
              </w:rPr>
              <w:t>1</w:t>
            </w:r>
          </w:p>
        </w:tc>
        <w:tc>
          <w:tcPr>
            <w:tcW w:w="709" w:type="dxa"/>
            <w:vAlign w:val="center"/>
          </w:tcPr>
          <w:p>
            <w:pPr>
              <w:jc w:val="center"/>
              <w:rPr>
                <w:color w:val="auto"/>
                <w:sz w:val="21"/>
                <w:szCs w:val="21"/>
              </w:rPr>
            </w:pPr>
            <w:r>
              <w:rPr>
                <w:rFonts w:hAnsi="宋体"/>
                <w:color w:val="auto"/>
                <w:sz w:val="21"/>
                <w:szCs w:val="21"/>
              </w:rPr>
              <w:t>套</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硫化氢检测仪表</w:t>
            </w:r>
          </w:p>
        </w:tc>
        <w:tc>
          <w:tcPr>
            <w:tcW w:w="2409" w:type="dxa"/>
            <w:vAlign w:val="center"/>
          </w:tcPr>
          <w:p>
            <w:pPr>
              <w:jc w:val="center"/>
              <w:rPr>
                <w:color w:val="auto"/>
                <w:sz w:val="21"/>
                <w:szCs w:val="21"/>
              </w:rPr>
            </w:pPr>
            <w:r>
              <w:rPr>
                <w:color w:val="auto"/>
                <w:sz w:val="21"/>
                <w:szCs w:val="21"/>
              </w:rPr>
              <w:t>0-300ppm\0-1000ppm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pPr>
              <w:jc w:val="center"/>
              <w:rPr>
                <w:color w:val="auto"/>
                <w:sz w:val="21"/>
                <w:szCs w:val="21"/>
              </w:rPr>
            </w:pPr>
          </w:p>
        </w:tc>
        <w:tc>
          <w:tcPr>
            <w:tcW w:w="2167" w:type="dxa"/>
            <w:vAlign w:val="center"/>
          </w:tcPr>
          <w:p>
            <w:pPr>
              <w:jc w:val="center"/>
              <w:rPr>
                <w:color w:val="auto"/>
                <w:sz w:val="21"/>
                <w:szCs w:val="21"/>
              </w:rPr>
            </w:pPr>
            <w:r>
              <w:rPr>
                <w:rFonts w:hAnsi="宋体"/>
                <w:color w:val="auto"/>
                <w:sz w:val="21"/>
                <w:szCs w:val="21"/>
              </w:rPr>
              <w:t>氨气检测仪表</w:t>
            </w:r>
          </w:p>
        </w:tc>
        <w:tc>
          <w:tcPr>
            <w:tcW w:w="2409" w:type="dxa"/>
            <w:vAlign w:val="center"/>
          </w:tcPr>
          <w:p>
            <w:pPr>
              <w:jc w:val="center"/>
              <w:rPr>
                <w:color w:val="auto"/>
                <w:sz w:val="21"/>
                <w:szCs w:val="21"/>
              </w:rPr>
            </w:pPr>
            <w:r>
              <w:rPr>
                <w:color w:val="auto"/>
                <w:sz w:val="21"/>
                <w:szCs w:val="21"/>
              </w:rPr>
              <w:t>0-100ppm</w:t>
            </w:r>
          </w:p>
        </w:tc>
        <w:tc>
          <w:tcPr>
            <w:tcW w:w="709" w:type="dxa"/>
            <w:vAlign w:val="center"/>
          </w:tcPr>
          <w:p>
            <w:pPr>
              <w:jc w:val="center"/>
              <w:rPr>
                <w:color w:val="auto"/>
                <w:sz w:val="21"/>
                <w:szCs w:val="21"/>
              </w:rPr>
            </w:pPr>
            <w:r>
              <w:rPr>
                <w:color w:val="auto"/>
                <w:sz w:val="21"/>
                <w:szCs w:val="21"/>
              </w:rPr>
              <w:t>2</w:t>
            </w:r>
          </w:p>
        </w:tc>
        <w:tc>
          <w:tcPr>
            <w:tcW w:w="709" w:type="dxa"/>
            <w:vAlign w:val="center"/>
          </w:tcPr>
          <w:p>
            <w:pPr>
              <w:jc w:val="center"/>
              <w:rPr>
                <w:color w:val="auto"/>
                <w:sz w:val="21"/>
                <w:szCs w:val="21"/>
              </w:rPr>
            </w:pPr>
            <w:r>
              <w:rPr>
                <w:rFonts w:hAnsi="宋体"/>
                <w:color w:val="auto"/>
                <w:sz w:val="21"/>
                <w:szCs w:val="21"/>
              </w:rPr>
              <w:t>台</w:t>
            </w:r>
          </w:p>
        </w:tc>
        <w:tc>
          <w:tcPr>
            <w:tcW w:w="1938" w:type="dxa"/>
            <w:vAlign w:val="center"/>
          </w:tcPr>
          <w:p>
            <w:pPr>
              <w:jc w:val="center"/>
              <w:rPr>
                <w:color w:val="auto"/>
                <w:sz w:val="21"/>
                <w:szCs w:val="21"/>
              </w:rPr>
            </w:pPr>
          </w:p>
        </w:tc>
      </w:tr>
    </w:tbl>
    <w:p>
      <w:pPr>
        <w:pStyle w:val="4"/>
        <w:rPr>
          <w:color w:val="auto"/>
        </w:rPr>
      </w:pPr>
      <w:bookmarkStart w:id="86" w:name="_Toc26276818"/>
      <w:r>
        <w:rPr>
          <w:rFonts w:hint="eastAsia"/>
          <w:color w:val="auto"/>
        </w:rPr>
        <w:t>3.4.4主要原辅材料及能源消耗情况</w:t>
      </w:r>
      <w:bookmarkEnd w:id="86"/>
    </w:p>
    <w:p>
      <w:pPr>
        <w:spacing w:line="360" w:lineRule="auto"/>
        <w:ind w:firstLine="480" w:firstLineChars="200"/>
        <w:rPr>
          <w:color w:val="auto"/>
          <w:sz w:val="24"/>
          <w:szCs w:val="24"/>
        </w:rPr>
      </w:pPr>
      <w:r>
        <w:rPr>
          <w:rFonts w:hint="eastAsia"/>
          <w:color w:val="auto"/>
          <w:sz w:val="24"/>
          <w:szCs w:val="24"/>
        </w:rPr>
        <w:t>本项目使用的主要原辅材料如下表所示。</w:t>
      </w:r>
    </w:p>
    <w:p>
      <w:pPr>
        <w:spacing w:line="360" w:lineRule="auto"/>
        <w:jc w:val="center"/>
        <w:rPr>
          <w:b/>
          <w:color w:val="auto"/>
          <w:sz w:val="24"/>
          <w:szCs w:val="24"/>
        </w:rPr>
      </w:pPr>
      <w:r>
        <w:rPr>
          <w:rFonts w:hint="eastAsia"/>
          <w:b/>
          <w:color w:val="auto"/>
          <w:sz w:val="24"/>
          <w:szCs w:val="24"/>
        </w:rPr>
        <w:t>表3-4-3   主要原辅材料一览表</w:t>
      </w:r>
    </w:p>
    <w:tbl>
      <w:tblPr>
        <w:tblStyle w:val="29"/>
        <w:tblW w:w="8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701"/>
        <w:gridCol w:w="1560"/>
        <w:gridCol w:w="992"/>
        <w:gridCol w:w="1134"/>
        <w:gridCol w:w="992"/>
        <w:gridCol w:w="709"/>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22" w:type="dxa"/>
            <w:vAlign w:val="center"/>
          </w:tcPr>
          <w:p>
            <w:pPr>
              <w:jc w:val="center"/>
              <w:rPr>
                <w:b/>
                <w:color w:val="auto"/>
                <w:sz w:val="21"/>
                <w:szCs w:val="21"/>
              </w:rPr>
            </w:pPr>
            <w:r>
              <w:rPr>
                <w:b/>
                <w:color w:val="auto"/>
                <w:sz w:val="21"/>
                <w:szCs w:val="21"/>
              </w:rPr>
              <w:t>序号</w:t>
            </w:r>
          </w:p>
        </w:tc>
        <w:tc>
          <w:tcPr>
            <w:tcW w:w="1701" w:type="dxa"/>
            <w:vAlign w:val="center"/>
          </w:tcPr>
          <w:p>
            <w:pPr>
              <w:jc w:val="center"/>
              <w:rPr>
                <w:b/>
                <w:color w:val="auto"/>
                <w:sz w:val="21"/>
                <w:szCs w:val="21"/>
              </w:rPr>
            </w:pPr>
            <w:r>
              <w:rPr>
                <w:b/>
                <w:color w:val="auto"/>
                <w:sz w:val="21"/>
                <w:szCs w:val="21"/>
              </w:rPr>
              <w:t>原辅材料名称</w:t>
            </w:r>
          </w:p>
        </w:tc>
        <w:tc>
          <w:tcPr>
            <w:tcW w:w="1560" w:type="dxa"/>
            <w:vAlign w:val="center"/>
          </w:tcPr>
          <w:p>
            <w:pPr>
              <w:jc w:val="center"/>
              <w:rPr>
                <w:b/>
                <w:color w:val="auto"/>
                <w:sz w:val="21"/>
                <w:szCs w:val="21"/>
              </w:rPr>
            </w:pPr>
            <w:r>
              <w:rPr>
                <w:rFonts w:hint="eastAsia"/>
                <w:b/>
                <w:color w:val="auto"/>
                <w:sz w:val="21"/>
                <w:szCs w:val="21"/>
              </w:rPr>
              <w:t>储存规格</w:t>
            </w:r>
          </w:p>
        </w:tc>
        <w:tc>
          <w:tcPr>
            <w:tcW w:w="992" w:type="dxa"/>
            <w:vAlign w:val="center"/>
          </w:tcPr>
          <w:p>
            <w:pPr>
              <w:jc w:val="center"/>
              <w:rPr>
                <w:b/>
                <w:color w:val="auto"/>
                <w:sz w:val="21"/>
                <w:szCs w:val="21"/>
              </w:rPr>
            </w:pPr>
            <w:r>
              <w:rPr>
                <w:b/>
                <w:color w:val="auto"/>
                <w:sz w:val="21"/>
                <w:szCs w:val="21"/>
              </w:rPr>
              <w:t>最大储存量</w:t>
            </w:r>
          </w:p>
        </w:tc>
        <w:tc>
          <w:tcPr>
            <w:tcW w:w="1134" w:type="dxa"/>
            <w:vAlign w:val="center"/>
          </w:tcPr>
          <w:p>
            <w:pPr>
              <w:jc w:val="center"/>
              <w:rPr>
                <w:b/>
                <w:color w:val="auto"/>
                <w:sz w:val="21"/>
                <w:szCs w:val="21"/>
              </w:rPr>
            </w:pPr>
            <w:r>
              <w:rPr>
                <w:b/>
                <w:color w:val="auto"/>
                <w:sz w:val="21"/>
                <w:szCs w:val="21"/>
              </w:rPr>
              <w:t>年用量</w:t>
            </w:r>
          </w:p>
        </w:tc>
        <w:tc>
          <w:tcPr>
            <w:tcW w:w="992" w:type="dxa"/>
            <w:vAlign w:val="center"/>
          </w:tcPr>
          <w:p>
            <w:pPr>
              <w:jc w:val="center"/>
              <w:rPr>
                <w:b/>
                <w:color w:val="auto"/>
                <w:sz w:val="21"/>
                <w:szCs w:val="21"/>
              </w:rPr>
            </w:pPr>
            <w:r>
              <w:rPr>
                <w:b/>
                <w:color w:val="auto"/>
                <w:sz w:val="21"/>
                <w:szCs w:val="21"/>
              </w:rPr>
              <w:t>存放位置</w:t>
            </w:r>
          </w:p>
        </w:tc>
        <w:tc>
          <w:tcPr>
            <w:tcW w:w="709" w:type="dxa"/>
            <w:vAlign w:val="center"/>
          </w:tcPr>
          <w:p>
            <w:pPr>
              <w:jc w:val="center"/>
              <w:rPr>
                <w:b/>
                <w:color w:val="auto"/>
                <w:sz w:val="21"/>
                <w:szCs w:val="21"/>
              </w:rPr>
            </w:pPr>
            <w:r>
              <w:rPr>
                <w:b/>
                <w:color w:val="auto"/>
                <w:sz w:val="21"/>
                <w:szCs w:val="21"/>
              </w:rPr>
              <w:t>性质状态</w:t>
            </w:r>
          </w:p>
        </w:tc>
        <w:tc>
          <w:tcPr>
            <w:tcW w:w="806" w:type="dxa"/>
            <w:vAlign w:val="center"/>
          </w:tcPr>
          <w:p>
            <w:pPr>
              <w:jc w:val="center"/>
              <w:rPr>
                <w:b/>
                <w:color w:val="auto"/>
                <w:sz w:val="21"/>
                <w:szCs w:val="21"/>
              </w:rPr>
            </w:pPr>
            <w:r>
              <w:rPr>
                <w:b/>
                <w:color w:val="auto"/>
                <w:sz w:val="21"/>
                <w:szCs w:val="21"/>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22" w:type="dxa"/>
            <w:vAlign w:val="center"/>
          </w:tcPr>
          <w:p>
            <w:pPr>
              <w:jc w:val="center"/>
              <w:rPr>
                <w:color w:val="auto"/>
                <w:sz w:val="21"/>
                <w:szCs w:val="21"/>
              </w:rPr>
            </w:pPr>
            <w:r>
              <w:rPr>
                <w:color w:val="auto"/>
                <w:sz w:val="21"/>
                <w:szCs w:val="21"/>
              </w:rPr>
              <w:t>1</w:t>
            </w:r>
          </w:p>
        </w:tc>
        <w:tc>
          <w:tcPr>
            <w:tcW w:w="1701"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cs="Times New Roman"/>
                <w:color w:val="auto"/>
              </w:rPr>
              <w:t>10% NaClO</w:t>
            </w:r>
            <w:r>
              <w:rPr>
                <w:rFonts w:ascii="Times New Roman" w:cs="Times New Roman"/>
                <w:color w:val="auto"/>
              </w:rPr>
              <w:t>溶液</w:t>
            </w:r>
          </w:p>
        </w:tc>
        <w:tc>
          <w:tcPr>
            <w:tcW w:w="1560" w:type="dxa"/>
            <w:vAlign w:val="center"/>
          </w:tcPr>
          <w:p>
            <w:pPr>
              <w:pStyle w:val="52"/>
              <w:ind w:firstLine="0" w:firstLineChars="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桶装，5kg/桶</w:t>
            </w:r>
          </w:p>
        </w:tc>
        <w:tc>
          <w:tcPr>
            <w:tcW w:w="992"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20 t</w:t>
            </w:r>
          </w:p>
        </w:tc>
        <w:tc>
          <w:tcPr>
            <w:tcW w:w="1134"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273.5 t</w:t>
            </w:r>
          </w:p>
        </w:tc>
        <w:tc>
          <w:tcPr>
            <w:tcW w:w="992" w:type="dxa"/>
            <w:vMerge w:val="restart"/>
            <w:vAlign w:val="center"/>
          </w:tcPr>
          <w:p>
            <w:pPr>
              <w:jc w:val="center"/>
              <w:rPr>
                <w:color w:val="auto"/>
                <w:sz w:val="21"/>
                <w:szCs w:val="21"/>
              </w:rPr>
            </w:pPr>
            <w:r>
              <w:rPr>
                <w:color w:val="auto"/>
                <w:sz w:val="21"/>
                <w:szCs w:val="21"/>
              </w:rPr>
              <w:t>加药间</w:t>
            </w:r>
          </w:p>
        </w:tc>
        <w:tc>
          <w:tcPr>
            <w:tcW w:w="709"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液</w:t>
            </w:r>
          </w:p>
        </w:tc>
        <w:tc>
          <w:tcPr>
            <w:tcW w:w="806" w:type="dxa"/>
            <w:vMerge w:val="restart"/>
            <w:vAlign w:val="center"/>
          </w:tcPr>
          <w:p>
            <w:pPr>
              <w:jc w:val="center"/>
              <w:rPr>
                <w:color w:val="auto"/>
                <w:sz w:val="21"/>
                <w:szCs w:val="21"/>
              </w:rPr>
            </w:pPr>
            <w:r>
              <w:rPr>
                <w:color w:val="auto"/>
                <w:sz w:val="21"/>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22" w:type="dxa"/>
            <w:vAlign w:val="center"/>
          </w:tcPr>
          <w:p>
            <w:pPr>
              <w:jc w:val="center"/>
              <w:rPr>
                <w:color w:val="auto"/>
                <w:sz w:val="21"/>
                <w:szCs w:val="21"/>
              </w:rPr>
            </w:pPr>
            <w:r>
              <w:rPr>
                <w:color w:val="auto"/>
                <w:sz w:val="21"/>
                <w:szCs w:val="21"/>
              </w:rPr>
              <w:t>2</w:t>
            </w:r>
          </w:p>
        </w:tc>
        <w:tc>
          <w:tcPr>
            <w:tcW w:w="1701"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cs="Times New Roman"/>
                <w:color w:val="auto"/>
              </w:rPr>
              <w:t>10% PAC</w:t>
            </w:r>
            <w:r>
              <w:rPr>
                <w:rFonts w:ascii="Times New Roman" w:cs="Times New Roman"/>
                <w:color w:val="auto"/>
              </w:rPr>
              <w:t>溶液</w:t>
            </w:r>
          </w:p>
        </w:tc>
        <w:tc>
          <w:tcPr>
            <w:tcW w:w="1560" w:type="dxa"/>
            <w:vAlign w:val="center"/>
          </w:tcPr>
          <w:p>
            <w:pPr>
              <w:pStyle w:val="52"/>
              <w:ind w:firstLine="0" w:firstLineChars="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桶装，25L/桶</w:t>
            </w:r>
          </w:p>
        </w:tc>
        <w:tc>
          <w:tcPr>
            <w:tcW w:w="992"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20 t</w:t>
            </w:r>
          </w:p>
        </w:tc>
        <w:tc>
          <w:tcPr>
            <w:tcW w:w="1134"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273.5 t</w:t>
            </w:r>
          </w:p>
        </w:tc>
        <w:tc>
          <w:tcPr>
            <w:tcW w:w="992" w:type="dxa"/>
            <w:vMerge w:val="continue"/>
            <w:vAlign w:val="center"/>
          </w:tcPr>
          <w:p>
            <w:pPr>
              <w:jc w:val="center"/>
              <w:rPr>
                <w:color w:val="auto"/>
                <w:sz w:val="21"/>
                <w:szCs w:val="21"/>
              </w:rPr>
            </w:pPr>
          </w:p>
        </w:tc>
        <w:tc>
          <w:tcPr>
            <w:tcW w:w="709"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液</w:t>
            </w:r>
          </w:p>
        </w:tc>
        <w:tc>
          <w:tcPr>
            <w:tcW w:w="806"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22" w:type="dxa"/>
            <w:vAlign w:val="center"/>
          </w:tcPr>
          <w:p>
            <w:pPr>
              <w:jc w:val="center"/>
              <w:rPr>
                <w:color w:val="auto"/>
                <w:sz w:val="21"/>
                <w:szCs w:val="21"/>
              </w:rPr>
            </w:pPr>
            <w:r>
              <w:rPr>
                <w:color w:val="auto"/>
                <w:sz w:val="21"/>
                <w:szCs w:val="21"/>
              </w:rPr>
              <w:t>3</w:t>
            </w:r>
          </w:p>
        </w:tc>
        <w:tc>
          <w:tcPr>
            <w:tcW w:w="1701" w:type="dxa"/>
            <w:vAlign w:val="center"/>
          </w:tcPr>
          <w:p>
            <w:pPr>
              <w:pStyle w:val="52"/>
              <w:ind w:firstLine="0" w:firstLineChars="0"/>
              <w:jc w:val="center"/>
              <w:rPr>
                <w:rFonts w:ascii="Times New Roman" w:hAnsi="Times New Roman" w:cs="Times New Roman"/>
                <w:color w:val="auto"/>
              </w:rPr>
            </w:pPr>
            <w:r>
              <w:rPr>
                <w:rFonts w:ascii="Times New Roman" w:hAnsi="Times New Roman" w:cs="Times New Roman"/>
                <w:color w:val="auto"/>
              </w:rPr>
              <w:t>20%</w:t>
            </w:r>
            <w:r>
              <w:rPr>
                <w:rFonts w:ascii="Times New Roman" w:cs="Times New Roman"/>
                <w:color w:val="auto"/>
              </w:rPr>
              <w:t>乙酸钠</w:t>
            </w:r>
          </w:p>
        </w:tc>
        <w:tc>
          <w:tcPr>
            <w:tcW w:w="1560" w:type="dxa"/>
            <w:vAlign w:val="center"/>
          </w:tcPr>
          <w:p>
            <w:pPr>
              <w:pStyle w:val="52"/>
              <w:ind w:firstLine="0" w:firstLineChars="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袋装，25kg/袋</w:t>
            </w:r>
          </w:p>
        </w:tc>
        <w:tc>
          <w:tcPr>
            <w:tcW w:w="992"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14.5 t</w:t>
            </w:r>
          </w:p>
        </w:tc>
        <w:tc>
          <w:tcPr>
            <w:tcW w:w="1134"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90 t</w:t>
            </w:r>
          </w:p>
        </w:tc>
        <w:tc>
          <w:tcPr>
            <w:tcW w:w="992" w:type="dxa"/>
            <w:vMerge w:val="continue"/>
            <w:vAlign w:val="center"/>
          </w:tcPr>
          <w:p>
            <w:pPr>
              <w:jc w:val="center"/>
              <w:rPr>
                <w:color w:val="auto"/>
                <w:sz w:val="21"/>
                <w:szCs w:val="21"/>
              </w:rPr>
            </w:pPr>
          </w:p>
        </w:tc>
        <w:tc>
          <w:tcPr>
            <w:tcW w:w="709"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液</w:t>
            </w:r>
          </w:p>
        </w:tc>
        <w:tc>
          <w:tcPr>
            <w:tcW w:w="806"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22" w:type="dxa"/>
            <w:vAlign w:val="center"/>
          </w:tcPr>
          <w:p>
            <w:pPr>
              <w:jc w:val="center"/>
              <w:rPr>
                <w:color w:val="auto"/>
                <w:sz w:val="21"/>
                <w:szCs w:val="21"/>
              </w:rPr>
            </w:pPr>
            <w:r>
              <w:rPr>
                <w:color w:val="auto"/>
                <w:sz w:val="21"/>
                <w:szCs w:val="21"/>
              </w:rPr>
              <w:t>4</w:t>
            </w:r>
          </w:p>
        </w:tc>
        <w:tc>
          <w:tcPr>
            <w:tcW w:w="1701"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cs="Times New Roman"/>
                <w:color w:val="auto"/>
              </w:rPr>
              <w:t>PAM</w:t>
            </w:r>
          </w:p>
        </w:tc>
        <w:tc>
          <w:tcPr>
            <w:tcW w:w="1560" w:type="dxa"/>
            <w:vAlign w:val="center"/>
          </w:tcPr>
          <w:p>
            <w:pPr>
              <w:pStyle w:val="52"/>
              <w:ind w:firstLine="0" w:firstLineChars="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袋装，25kg/袋</w:t>
            </w:r>
          </w:p>
        </w:tc>
        <w:tc>
          <w:tcPr>
            <w:tcW w:w="992"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52.5 kg</w:t>
            </w:r>
          </w:p>
        </w:tc>
        <w:tc>
          <w:tcPr>
            <w:tcW w:w="1134"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2737.5 kg</w:t>
            </w:r>
          </w:p>
        </w:tc>
        <w:tc>
          <w:tcPr>
            <w:tcW w:w="992" w:type="dxa"/>
            <w:vMerge w:val="continue"/>
            <w:vAlign w:val="center"/>
          </w:tcPr>
          <w:p>
            <w:pPr>
              <w:jc w:val="center"/>
              <w:rPr>
                <w:color w:val="auto"/>
                <w:sz w:val="21"/>
                <w:szCs w:val="21"/>
              </w:rPr>
            </w:pPr>
          </w:p>
        </w:tc>
        <w:tc>
          <w:tcPr>
            <w:tcW w:w="709"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固</w:t>
            </w:r>
          </w:p>
        </w:tc>
        <w:tc>
          <w:tcPr>
            <w:tcW w:w="806"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22" w:type="dxa"/>
            <w:vAlign w:val="center"/>
          </w:tcPr>
          <w:p>
            <w:pPr>
              <w:jc w:val="center"/>
              <w:rPr>
                <w:color w:val="auto"/>
                <w:sz w:val="21"/>
                <w:szCs w:val="21"/>
              </w:rPr>
            </w:pPr>
            <w:r>
              <w:rPr>
                <w:color w:val="auto"/>
                <w:sz w:val="21"/>
                <w:szCs w:val="21"/>
              </w:rPr>
              <w:t>5</w:t>
            </w:r>
          </w:p>
        </w:tc>
        <w:tc>
          <w:tcPr>
            <w:tcW w:w="1701" w:type="dxa"/>
            <w:vAlign w:val="center"/>
          </w:tcPr>
          <w:p>
            <w:pPr>
              <w:pStyle w:val="52"/>
              <w:ind w:firstLine="0" w:firstLineChars="0"/>
              <w:jc w:val="center"/>
              <w:rPr>
                <w:rFonts w:ascii="Times New Roman" w:hAnsi="Times New Roman" w:eastAsia="宋体" w:cs="Times New Roman"/>
                <w:color w:val="auto"/>
                <w:szCs w:val="21"/>
              </w:rPr>
            </w:pPr>
            <w:r>
              <w:rPr>
                <w:rFonts w:ascii="Times New Roman" w:cs="Times New Roman"/>
                <w:color w:val="auto"/>
              </w:rPr>
              <w:t>石灰</w:t>
            </w:r>
          </w:p>
        </w:tc>
        <w:tc>
          <w:tcPr>
            <w:tcW w:w="1560" w:type="dxa"/>
            <w:vAlign w:val="center"/>
          </w:tcPr>
          <w:p>
            <w:pPr>
              <w:pStyle w:val="52"/>
              <w:ind w:firstLine="0" w:firstLineChars="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袋装，25kg/袋</w:t>
            </w:r>
          </w:p>
        </w:tc>
        <w:tc>
          <w:tcPr>
            <w:tcW w:w="992"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9t</w:t>
            </w:r>
          </w:p>
        </w:tc>
        <w:tc>
          <w:tcPr>
            <w:tcW w:w="1134"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219 t</w:t>
            </w:r>
          </w:p>
        </w:tc>
        <w:tc>
          <w:tcPr>
            <w:tcW w:w="992" w:type="dxa"/>
            <w:vMerge w:val="continue"/>
            <w:vAlign w:val="center"/>
          </w:tcPr>
          <w:p>
            <w:pPr>
              <w:jc w:val="center"/>
              <w:rPr>
                <w:color w:val="auto"/>
                <w:sz w:val="21"/>
                <w:szCs w:val="21"/>
              </w:rPr>
            </w:pPr>
          </w:p>
        </w:tc>
        <w:tc>
          <w:tcPr>
            <w:tcW w:w="709"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固</w:t>
            </w:r>
          </w:p>
        </w:tc>
        <w:tc>
          <w:tcPr>
            <w:tcW w:w="806"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22" w:type="dxa"/>
            <w:vAlign w:val="center"/>
          </w:tcPr>
          <w:p>
            <w:pPr>
              <w:jc w:val="center"/>
              <w:rPr>
                <w:color w:val="auto"/>
                <w:sz w:val="21"/>
                <w:szCs w:val="21"/>
              </w:rPr>
            </w:pPr>
            <w:r>
              <w:rPr>
                <w:color w:val="auto"/>
                <w:sz w:val="21"/>
                <w:szCs w:val="21"/>
              </w:rPr>
              <w:t>6</w:t>
            </w:r>
          </w:p>
        </w:tc>
        <w:tc>
          <w:tcPr>
            <w:tcW w:w="1701"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cs="Times New Roman"/>
                <w:color w:val="auto"/>
              </w:rPr>
              <w:t xml:space="preserve">30% </w:t>
            </w:r>
            <w:r>
              <w:rPr>
                <w:rFonts w:ascii="Times New Roman" w:cs="Times New Roman"/>
                <w:color w:val="auto"/>
              </w:rPr>
              <w:t>铁盐溶液</w:t>
            </w:r>
          </w:p>
        </w:tc>
        <w:tc>
          <w:tcPr>
            <w:tcW w:w="1560" w:type="dxa"/>
            <w:vAlign w:val="center"/>
          </w:tcPr>
          <w:p>
            <w:pPr>
              <w:pStyle w:val="52"/>
              <w:ind w:firstLine="0" w:firstLineChars="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桶装，5kg/桶</w:t>
            </w:r>
          </w:p>
        </w:tc>
        <w:tc>
          <w:tcPr>
            <w:tcW w:w="992"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15 t</w:t>
            </w:r>
          </w:p>
        </w:tc>
        <w:tc>
          <w:tcPr>
            <w:tcW w:w="1134"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109.5 t</w:t>
            </w:r>
          </w:p>
        </w:tc>
        <w:tc>
          <w:tcPr>
            <w:tcW w:w="992" w:type="dxa"/>
            <w:vMerge w:val="continue"/>
            <w:vAlign w:val="center"/>
          </w:tcPr>
          <w:p>
            <w:pPr>
              <w:jc w:val="center"/>
              <w:rPr>
                <w:color w:val="auto"/>
                <w:sz w:val="21"/>
                <w:szCs w:val="21"/>
              </w:rPr>
            </w:pPr>
          </w:p>
        </w:tc>
        <w:tc>
          <w:tcPr>
            <w:tcW w:w="709" w:type="dxa"/>
            <w:vAlign w:val="center"/>
          </w:tcPr>
          <w:p>
            <w:pPr>
              <w:pStyle w:val="52"/>
              <w:ind w:firstLine="0" w:firstLineChars="0"/>
              <w:jc w:val="center"/>
              <w:rPr>
                <w:rFonts w:ascii="Times New Roman" w:hAnsi="Times New Roman" w:eastAsia="宋体" w:cs="Times New Roman"/>
                <w:color w:val="auto"/>
                <w:szCs w:val="21"/>
              </w:rPr>
            </w:pPr>
            <w:r>
              <w:rPr>
                <w:rFonts w:ascii="Times New Roman" w:hAnsi="Times New Roman" w:eastAsia="宋体" w:cs="Times New Roman"/>
                <w:color w:val="auto"/>
                <w:szCs w:val="21"/>
              </w:rPr>
              <w:t>液</w:t>
            </w:r>
          </w:p>
        </w:tc>
        <w:tc>
          <w:tcPr>
            <w:tcW w:w="806" w:type="dxa"/>
            <w:vMerge w:val="continue"/>
            <w:vAlign w:val="center"/>
          </w:tcPr>
          <w:p>
            <w:pPr>
              <w:jc w:val="center"/>
              <w:rPr>
                <w:color w:val="auto"/>
                <w:sz w:val="21"/>
                <w:szCs w:val="21"/>
              </w:rPr>
            </w:pPr>
          </w:p>
        </w:tc>
      </w:tr>
    </w:tbl>
    <w:p>
      <w:pPr>
        <w:spacing w:line="360" w:lineRule="auto"/>
        <w:ind w:firstLine="480" w:firstLineChars="200"/>
        <w:jc w:val="left"/>
        <w:rPr>
          <w:color w:val="auto"/>
          <w:sz w:val="24"/>
          <w:szCs w:val="24"/>
        </w:rPr>
      </w:pPr>
      <w:r>
        <w:rPr>
          <w:rFonts w:hint="eastAsia"/>
          <w:color w:val="auto"/>
          <w:sz w:val="24"/>
          <w:szCs w:val="24"/>
        </w:rPr>
        <w:t>主要原辅材料理化性质简介：</w:t>
      </w:r>
    </w:p>
    <w:p>
      <w:pPr>
        <w:spacing w:line="360" w:lineRule="auto"/>
        <w:jc w:val="center"/>
        <w:rPr>
          <w:b/>
          <w:color w:val="auto"/>
          <w:sz w:val="24"/>
          <w:szCs w:val="24"/>
        </w:rPr>
      </w:pPr>
      <w:r>
        <w:rPr>
          <w:rFonts w:hint="eastAsia"/>
          <w:b/>
          <w:color w:val="auto"/>
          <w:sz w:val="24"/>
          <w:szCs w:val="24"/>
        </w:rPr>
        <w:t>表3-4-4   主要原辅料理化性质一览表</w:t>
      </w:r>
    </w:p>
    <w:tbl>
      <w:tblPr>
        <w:tblStyle w:val="29"/>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536"/>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jc w:val="center"/>
              <w:rPr>
                <w:b/>
                <w:color w:val="auto"/>
                <w:sz w:val="21"/>
                <w:szCs w:val="21"/>
              </w:rPr>
            </w:pPr>
            <w:r>
              <w:rPr>
                <w:rFonts w:hint="eastAsia"/>
                <w:b/>
                <w:color w:val="auto"/>
                <w:sz w:val="21"/>
                <w:szCs w:val="21"/>
              </w:rPr>
              <w:t>名称</w:t>
            </w:r>
          </w:p>
        </w:tc>
        <w:tc>
          <w:tcPr>
            <w:tcW w:w="4536" w:type="dxa"/>
            <w:vAlign w:val="center"/>
          </w:tcPr>
          <w:p>
            <w:pPr>
              <w:jc w:val="center"/>
              <w:rPr>
                <w:b/>
                <w:color w:val="auto"/>
                <w:sz w:val="21"/>
                <w:szCs w:val="21"/>
              </w:rPr>
            </w:pPr>
            <w:r>
              <w:rPr>
                <w:rFonts w:hint="eastAsia"/>
                <w:b/>
                <w:color w:val="auto"/>
                <w:sz w:val="21"/>
                <w:szCs w:val="21"/>
              </w:rPr>
              <w:t>理化性质</w:t>
            </w:r>
          </w:p>
        </w:tc>
        <w:tc>
          <w:tcPr>
            <w:tcW w:w="2552" w:type="dxa"/>
            <w:vAlign w:val="center"/>
          </w:tcPr>
          <w:p>
            <w:pPr>
              <w:jc w:val="center"/>
              <w:rPr>
                <w:b/>
                <w:color w:val="auto"/>
                <w:sz w:val="21"/>
                <w:szCs w:val="21"/>
              </w:rPr>
            </w:pPr>
            <w:r>
              <w:rPr>
                <w:rFonts w:hint="eastAsia"/>
                <w:b/>
                <w:color w:val="auto"/>
                <w:sz w:val="21"/>
                <w:szCs w:val="21"/>
              </w:rPr>
              <w:t>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jc w:val="center"/>
              <w:rPr>
                <w:color w:val="auto"/>
                <w:sz w:val="21"/>
                <w:szCs w:val="21"/>
              </w:rPr>
            </w:pPr>
            <w:r>
              <w:rPr>
                <w:rFonts w:hint="eastAsia"/>
                <w:color w:val="auto"/>
                <w:sz w:val="21"/>
                <w:szCs w:val="21"/>
              </w:rPr>
              <w:t>10%NaClO溶液</w:t>
            </w:r>
          </w:p>
        </w:tc>
        <w:tc>
          <w:tcPr>
            <w:tcW w:w="4536" w:type="dxa"/>
            <w:vAlign w:val="center"/>
          </w:tcPr>
          <w:p>
            <w:pPr>
              <w:jc w:val="center"/>
              <w:rPr>
                <w:color w:val="auto"/>
                <w:sz w:val="21"/>
                <w:szCs w:val="21"/>
              </w:rPr>
            </w:pPr>
            <w:r>
              <w:rPr>
                <w:rFonts w:hint="eastAsia"/>
                <w:color w:val="auto"/>
                <w:sz w:val="21"/>
                <w:szCs w:val="21"/>
              </w:rPr>
              <w:t>外观与性状:微黄色(溶液)或白色粉末(固体)，有似氯气的气味。酸碱性:强碱弱酸盐。相对密度(水=1):1.10。危险性类别:腐蚀品。燃爆危险:本品不燃，具腐蚀性，可致人体灼伤，具有致敏性。稳定性:不稳定，见光分解。禁配物:还原剂、有机物和酸类。避免接触的条件:光照热源。</w:t>
            </w:r>
          </w:p>
        </w:tc>
        <w:tc>
          <w:tcPr>
            <w:tcW w:w="2552" w:type="dxa"/>
            <w:vAlign w:val="center"/>
          </w:tcPr>
          <w:p>
            <w:pPr>
              <w:jc w:val="center"/>
              <w:rPr>
                <w:color w:val="auto"/>
                <w:sz w:val="21"/>
                <w:szCs w:val="21"/>
              </w:rPr>
            </w:pPr>
            <w:r>
              <w:rPr>
                <w:rFonts w:hint="eastAsia"/>
                <w:color w:val="auto"/>
                <w:sz w:val="21"/>
                <w:szCs w:val="21"/>
              </w:rPr>
              <w:t>强氧化剂，用作漂白剂、氧化剂及水净化剂用于造纸、纺织、轻工业等，具有漂白、杀菌、消毒的作用。用于水的净化，以及作消毒剂、纸浆漂白等，医药工业中用制氯胺等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jc w:val="center"/>
              <w:rPr>
                <w:color w:val="auto"/>
                <w:sz w:val="21"/>
                <w:szCs w:val="21"/>
              </w:rPr>
            </w:pPr>
            <w:r>
              <w:rPr>
                <w:rFonts w:hint="eastAsia"/>
                <w:color w:val="auto"/>
                <w:sz w:val="21"/>
                <w:szCs w:val="21"/>
              </w:rPr>
              <w:t>10%PAC溶液</w:t>
            </w:r>
          </w:p>
        </w:tc>
        <w:tc>
          <w:tcPr>
            <w:tcW w:w="4536" w:type="dxa"/>
            <w:vAlign w:val="center"/>
          </w:tcPr>
          <w:p>
            <w:pPr>
              <w:jc w:val="center"/>
              <w:rPr>
                <w:color w:val="auto"/>
                <w:sz w:val="21"/>
                <w:szCs w:val="21"/>
              </w:rPr>
            </w:pPr>
            <w:r>
              <w:rPr>
                <w:rFonts w:hint="eastAsia"/>
                <w:color w:val="auto"/>
                <w:sz w:val="21"/>
                <w:szCs w:val="21"/>
              </w:rPr>
              <w:t>一种新兴净水材料，无机高分子混凝剂，液体产品为无色、淡黄色、淡灰色或棕褐色透明或半透明液体，无沉淀。固体产品是白色、淡灰色、淡黄色或棕褐色晶粒或粉末。具有吸附、凝聚、沉淀等性能，有腐蚀性，对水中胶体和颗粒物具有高度电中和及桥联作用，并可强力去除微有毒物及重金属离子</w:t>
            </w:r>
          </w:p>
        </w:tc>
        <w:tc>
          <w:tcPr>
            <w:tcW w:w="2552" w:type="dxa"/>
            <w:vAlign w:val="center"/>
          </w:tcPr>
          <w:p>
            <w:pPr>
              <w:jc w:val="center"/>
              <w:rPr>
                <w:color w:val="auto"/>
                <w:sz w:val="21"/>
                <w:szCs w:val="21"/>
              </w:rPr>
            </w:pPr>
            <w:r>
              <w:rPr>
                <w:rFonts w:hint="eastAsia"/>
                <w:color w:val="auto"/>
                <w:sz w:val="21"/>
                <w:szCs w:val="21"/>
              </w:rPr>
              <w:t>主要用于生活用水、工业废水处理净化，也用于造纸施胶、铸造成型等领域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jc w:val="center"/>
              <w:rPr>
                <w:color w:val="auto"/>
                <w:sz w:val="21"/>
                <w:szCs w:val="21"/>
              </w:rPr>
            </w:pPr>
            <w:r>
              <w:rPr>
                <w:rFonts w:hint="eastAsia"/>
                <w:color w:val="auto"/>
                <w:sz w:val="21"/>
                <w:szCs w:val="21"/>
              </w:rPr>
              <w:t>20%乙酸钠</w:t>
            </w:r>
          </w:p>
        </w:tc>
        <w:tc>
          <w:tcPr>
            <w:tcW w:w="4536" w:type="dxa"/>
            <w:vAlign w:val="center"/>
          </w:tcPr>
          <w:p>
            <w:pPr>
              <w:jc w:val="center"/>
              <w:rPr>
                <w:color w:val="auto"/>
                <w:sz w:val="21"/>
                <w:szCs w:val="21"/>
              </w:rPr>
            </w:pPr>
            <w:r>
              <w:rPr>
                <w:rFonts w:hint="eastAsia"/>
                <w:color w:val="auto"/>
                <w:sz w:val="21"/>
                <w:szCs w:val="21"/>
              </w:rPr>
              <w:t>无色无味的结晶体或白色颗粒，在空气中可被风化，熔点324℃，折光率1.464，相对密度1.45（散水化合物）、1.528（无水物），可燃，自燃点607.2℃，于123℃时脱去3分子结晶水。易溶于水，微溶于乙醇，不溶于乙醚。123℃时失去结晶水。但是通常湿法制取的有醋酸的味道。水中发生水解，显碱性</w:t>
            </w:r>
          </w:p>
        </w:tc>
        <w:tc>
          <w:tcPr>
            <w:tcW w:w="2552" w:type="dxa"/>
            <w:vAlign w:val="center"/>
          </w:tcPr>
          <w:p>
            <w:pPr>
              <w:jc w:val="center"/>
              <w:rPr>
                <w:color w:val="auto"/>
                <w:sz w:val="21"/>
                <w:szCs w:val="21"/>
              </w:rPr>
            </w:pPr>
            <w:r>
              <w:rPr>
                <w:rFonts w:hint="eastAsia"/>
                <w:color w:val="auto"/>
                <w:sz w:val="21"/>
                <w:szCs w:val="21"/>
              </w:rPr>
              <w:t>无水乙酸钠用作有机组成的酯化剂以及医药，也可用于制造各种化工产品、印染业等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jc w:val="center"/>
              <w:rPr>
                <w:color w:val="auto"/>
                <w:sz w:val="21"/>
                <w:szCs w:val="21"/>
              </w:rPr>
            </w:pPr>
            <w:r>
              <w:rPr>
                <w:color w:val="auto"/>
                <w:sz w:val="21"/>
                <w:szCs w:val="21"/>
              </w:rPr>
              <w:t>PAM</w:t>
            </w:r>
          </w:p>
        </w:tc>
        <w:tc>
          <w:tcPr>
            <w:tcW w:w="4536" w:type="dxa"/>
            <w:vAlign w:val="center"/>
          </w:tcPr>
          <w:p>
            <w:pPr>
              <w:jc w:val="center"/>
              <w:rPr>
                <w:color w:val="auto"/>
                <w:sz w:val="21"/>
                <w:szCs w:val="21"/>
              </w:rPr>
            </w:pPr>
            <w:r>
              <w:rPr>
                <w:rFonts w:hint="eastAsia"/>
                <w:color w:val="auto"/>
                <w:sz w:val="21"/>
                <w:szCs w:val="21"/>
              </w:rPr>
              <w:t>聚丙烯酰胺是一种线型高分子聚合物，白色粉末或者小颗粒状物，无臭，密度为1.32g/cm</w:t>
            </w:r>
            <w:r>
              <w:rPr>
                <w:rFonts w:hint="eastAsia"/>
                <w:color w:val="auto"/>
                <w:sz w:val="21"/>
                <w:szCs w:val="21"/>
                <w:vertAlign w:val="superscript"/>
              </w:rPr>
              <w:t>3</w:t>
            </w:r>
            <w:r>
              <w:rPr>
                <w:rFonts w:hint="eastAsia"/>
                <w:color w:val="auto"/>
                <w:sz w:val="21"/>
                <w:szCs w:val="21"/>
              </w:rPr>
              <w:t>，易溶于水，难溶于有机溶剂。具有良好的絮凝性，可以降低液体之间的摩擦阻力，按离子特性分可分为非离子、阴离子、阳离子和两性型四种类型</w:t>
            </w:r>
          </w:p>
        </w:tc>
        <w:tc>
          <w:tcPr>
            <w:tcW w:w="2552" w:type="dxa"/>
            <w:vAlign w:val="center"/>
          </w:tcPr>
          <w:p>
            <w:pPr>
              <w:jc w:val="center"/>
              <w:rPr>
                <w:color w:val="auto"/>
                <w:sz w:val="21"/>
                <w:szCs w:val="21"/>
              </w:rPr>
            </w:pPr>
            <w:r>
              <w:rPr>
                <w:rFonts w:hint="eastAsia"/>
                <w:color w:val="auto"/>
                <w:sz w:val="21"/>
                <w:szCs w:val="21"/>
              </w:rPr>
              <w:t>聚丙烯酰胺作为润滑剂、悬浮剂、粘土稳定剂、驱油剂、降失水剂和增稠剂应用于石油开采、纺织行业、日用化工、食品行业以及污水处理等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pStyle w:val="52"/>
              <w:ind w:firstLine="0" w:firstLineChars="0"/>
              <w:jc w:val="center"/>
              <w:rPr>
                <w:rFonts w:ascii="Times New Roman" w:hAnsi="Times New Roman" w:eastAsia="宋体" w:cs="Times New Roman"/>
                <w:color w:val="auto"/>
                <w:szCs w:val="21"/>
              </w:rPr>
            </w:pPr>
            <w:r>
              <w:rPr>
                <w:rFonts w:hint="eastAsia"/>
                <w:color w:val="auto"/>
                <w:szCs w:val="21"/>
              </w:rPr>
              <w:t>石灰</w:t>
            </w:r>
          </w:p>
        </w:tc>
        <w:tc>
          <w:tcPr>
            <w:tcW w:w="4536" w:type="dxa"/>
            <w:vAlign w:val="center"/>
          </w:tcPr>
          <w:p>
            <w:pPr>
              <w:jc w:val="center"/>
              <w:rPr>
                <w:color w:val="auto"/>
                <w:sz w:val="21"/>
                <w:szCs w:val="21"/>
              </w:rPr>
            </w:pPr>
            <w:r>
              <w:rPr>
                <w:rFonts w:hint="eastAsia"/>
                <w:color w:val="auto"/>
                <w:sz w:val="21"/>
                <w:szCs w:val="21"/>
              </w:rPr>
              <w:t>是一种以氧化钙为主要成分的气硬性无机胶凝材料。将主要成分为碳酸钙的天然岩石，在适当温度下煅烧，排除分解出的二氧化碳后，所得的以氧化钙(CaO)为主要成分的产品即为石灰，又称生石灰。</w:t>
            </w:r>
          </w:p>
        </w:tc>
        <w:tc>
          <w:tcPr>
            <w:tcW w:w="2552" w:type="dxa"/>
            <w:vAlign w:val="center"/>
          </w:tcPr>
          <w:p>
            <w:pPr>
              <w:jc w:val="center"/>
              <w:rPr>
                <w:color w:val="auto"/>
                <w:sz w:val="21"/>
                <w:szCs w:val="21"/>
              </w:rPr>
            </w:pPr>
            <w:r>
              <w:rPr>
                <w:rFonts w:hint="eastAsia"/>
                <w:color w:val="auto"/>
                <w:sz w:val="21"/>
                <w:szCs w:val="21"/>
              </w:rPr>
              <w:t>在废水处理方面，主要用来调节废水的酸碱度，因为许多混凝剂的反应条件对废水的PH值具有要求，而石灰是强碱性化合物，且石灰具有助凝效果，所以是废水处理常用药剂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pStyle w:val="52"/>
              <w:ind w:firstLine="0" w:firstLineChars="0"/>
              <w:jc w:val="center"/>
              <w:rPr>
                <w:rFonts w:ascii="Times New Roman" w:hAnsi="Times New Roman" w:eastAsia="宋体" w:cs="Times New Roman"/>
                <w:color w:val="auto"/>
                <w:szCs w:val="21"/>
              </w:rPr>
            </w:pPr>
            <w:r>
              <w:rPr>
                <w:rFonts w:hint="eastAsia"/>
                <w:color w:val="auto"/>
                <w:szCs w:val="21"/>
              </w:rPr>
              <w:t>30%铁盐溶液</w:t>
            </w:r>
          </w:p>
        </w:tc>
        <w:tc>
          <w:tcPr>
            <w:tcW w:w="4536" w:type="dxa"/>
            <w:vAlign w:val="center"/>
          </w:tcPr>
          <w:p>
            <w:pPr>
              <w:jc w:val="center"/>
              <w:rPr>
                <w:color w:val="auto"/>
                <w:sz w:val="21"/>
                <w:szCs w:val="21"/>
              </w:rPr>
            </w:pPr>
            <w:r>
              <w:rPr>
                <w:rFonts w:hint="eastAsia"/>
                <w:color w:val="auto"/>
                <w:sz w:val="21"/>
                <w:szCs w:val="21"/>
              </w:rPr>
              <w:t>主要为聚合硫酸铁盐溶液，聚合硫酸铁是一种性能优越的无机高分子絮凝剂，形态性状是淡黄色无定型粉状固体，极易溶于水。聚合硫酸铁自身为酸性药剂，</w:t>
            </w:r>
            <w:r>
              <w:rPr>
                <w:color w:val="auto"/>
                <w:sz w:val="21"/>
                <w:szCs w:val="21"/>
              </w:rPr>
              <w:t>pH</w:t>
            </w:r>
            <w:r>
              <w:rPr>
                <w:rFonts w:hint="eastAsia"/>
                <w:color w:val="auto"/>
                <w:sz w:val="21"/>
                <w:szCs w:val="21"/>
              </w:rPr>
              <w:t>值为</w:t>
            </w:r>
            <w:r>
              <w:rPr>
                <w:color w:val="auto"/>
                <w:sz w:val="21"/>
                <w:szCs w:val="21"/>
              </w:rPr>
              <w:t>2</w:t>
            </w:r>
            <w:r>
              <w:rPr>
                <w:rFonts w:hint="eastAsia"/>
                <w:color w:val="auto"/>
                <w:sz w:val="21"/>
                <w:szCs w:val="21"/>
              </w:rPr>
              <w:t>～</w:t>
            </w:r>
            <w:r>
              <w:rPr>
                <w:color w:val="auto"/>
                <w:sz w:val="21"/>
                <w:szCs w:val="21"/>
              </w:rPr>
              <w:t>3</w:t>
            </w:r>
            <w:r>
              <w:rPr>
                <w:rFonts w:hint="eastAsia"/>
                <w:color w:val="auto"/>
                <w:sz w:val="21"/>
                <w:szCs w:val="21"/>
              </w:rPr>
              <w:t>，除了可在弱酸条件下使用外，其自身的</w:t>
            </w:r>
            <w:r>
              <w:rPr>
                <w:color w:val="auto"/>
                <w:sz w:val="21"/>
                <w:szCs w:val="21"/>
              </w:rPr>
              <w:t>pH</w:t>
            </w:r>
            <w:r>
              <w:rPr>
                <w:rFonts w:hint="eastAsia"/>
                <w:color w:val="auto"/>
                <w:sz w:val="21"/>
                <w:szCs w:val="21"/>
              </w:rPr>
              <w:t>值较低，也适用于碱性条件下。</w:t>
            </w:r>
          </w:p>
        </w:tc>
        <w:tc>
          <w:tcPr>
            <w:tcW w:w="2552" w:type="dxa"/>
            <w:vAlign w:val="center"/>
          </w:tcPr>
          <w:p>
            <w:pPr>
              <w:jc w:val="center"/>
              <w:rPr>
                <w:color w:val="auto"/>
                <w:sz w:val="21"/>
                <w:szCs w:val="21"/>
              </w:rPr>
            </w:pPr>
            <w:r>
              <w:rPr>
                <w:rFonts w:hint="eastAsia"/>
                <w:color w:val="auto"/>
                <w:sz w:val="21"/>
                <w:szCs w:val="21"/>
              </w:rPr>
              <w:t>主要用于自来水、工业给水的净化处理，同时在处理各种工业废水、生活污水方面，按其性价比，在绝大部分水体中要优于传统的铝盐药剂</w:t>
            </w:r>
          </w:p>
        </w:tc>
      </w:tr>
    </w:tbl>
    <w:p>
      <w:pPr>
        <w:spacing w:line="360" w:lineRule="auto"/>
        <w:ind w:firstLine="480" w:firstLineChars="200"/>
        <w:jc w:val="left"/>
        <w:rPr>
          <w:color w:val="auto"/>
          <w:sz w:val="24"/>
          <w:szCs w:val="24"/>
        </w:rPr>
      </w:pPr>
      <w:r>
        <w:rPr>
          <w:rFonts w:hint="eastAsia"/>
          <w:color w:val="auto"/>
          <w:sz w:val="24"/>
          <w:szCs w:val="24"/>
        </w:rPr>
        <w:t>本项目主要能耗如下表所示：</w:t>
      </w:r>
    </w:p>
    <w:p>
      <w:pPr>
        <w:spacing w:line="360" w:lineRule="auto"/>
        <w:jc w:val="center"/>
        <w:rPr>
          <w:color w:val="auto"/>
          <w:sz w:val="24"/>
          <w:szCs w:val="24"/>
        </w:rPr>
      </w:pPr>
      <w:r>
        <w:rPr>
          <w:rFonts w:hint="eastAsia"/>
          <w:b/>
          <w:color w:val="auto"/>
          <w:sz w:val="24"/>
          <w:szCs w:val="24"/>
        </w:rPr>
        <w:t>表3-4-5   主要能源消耗一览表</w:t>
      </w:r>
    </w:p>
    <w:tbl>
      <w:tblPr>
        <w:tblStyle w:val="28"/>
        <w:tblW w:w="7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509"/>
        <w:gridCol w:w="1509"/>
        <w:gridCol w:w="1510"/>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Align w:val="center"/>
          </w:tcPr>
          <w:p>
            <w:pPr>
              <w:jc w:val="center"/>
              <w:rPr>
                <w:b/>
                <w:color w:val="auto"/>
                <w:sz w:val="21"/>
                <w:szCs w:val="21"/>
              </w:rPr>
            </w:pPr>
            <w:r>
              <w:rPr>
                <w:b/>
                <w:color w:val="auto"/>
                <w:sz w:val="21"/>
                <w:szCs w:val="21"/>
              </w:rPr>
              <w:t>类别</w:t>
            </w:r>
          </w:p>
        </w:tc>
        <w:tc>
          <w:tcPr>
            <w:tcW w:w="1509" w:type="dxa"/>
            <w:vAlign w:val="center"/>
          </w:tcPr>
          <w:p>
            <w:pPr>
              <w:jc w:val="center"/>
              <w:rPr>
                <w:b/>
                <w:color w:val="auto"/>
                <w:sz w:val="21"/>
                <w:szCs w:val="21"/>
              </w:rPr>
            </w:pPr>
            <w:r>
              <w:rPr>
                <w:b/>
                <w:color w:val="auto"/>
                <w:sz w:val="21"/>
                <w:szCs w:val="21"/>
              </w:rPr>
              <w:t>名称</w:t>
            </w:r>
          </w:p>
        </w:tc>
        <w:tc>
          <w:tcPr>
            <w:tcW w:w="1509" w:type="dxa"/>
            <w:vAlign w:val="center"/>
          </w:tcPr>
          <w:p>
            <w:pPr>
              <w:jc w:val="center"/>
              <w:rPr>
                <w:b/>
                <w:color w:val="auto"/>
                <w:sz w:val="21"/>
                <w:szCs w:val="21"/>
              </w:rPr>
            </w:pPr>
            <w:r>
              <w:rPr>
                <w:b/>
                <w:color w:val="auto"/>
                <w:sz w:val="21"/>
                <w:szCs w:val="21"/>
              </w:rPr>
              <w:t>年耗量</w:t>
            </w:r>
          </w:p>
        </w:tc>
        <w:tc>
          <w:tcPr>
            <w:tcW w:w="1510" w:type="dxa"/>
            <w:vAlign w:val="center"/>
          </w:tcPr>
          <w:p>
            <w:pPr>
              <w:jc w:val="center"/>
              <w:rPr>
                <w:b/>
                <w:color w:val="auto"/>
                <w:sz w:val="21"/>
                <w:szCs w:val="21"/>
              </w:rPr>
            </w:pPr>
            <w:r>
              <w:rPr>
                <w:b/>
                <w:color w:val="auto"/>
                <w:sz w:val="21"/>
                <w:szCs w:val="21"/>
              </w:rPr>
              <w:t>来源</w:t>
            </w:r>
          </w:p>
        </w:tc>
        <w:tc>
          <w:tcPr>
            <w:tcW w:w="1510" w:type="dxa"/>
            <w:vAlign w:val="center"/>
          </w:tcPr>
          <w:p>
            <w:pPr>
              <w:jc w:val="center"/>
              <w:rPr>
                <w:b/>
                <w:color w:val="auto"/>
                <w:sz w:val="21"/>
                <w:szCs w:val="21"/>
              </w:rPr>
            </w:pPr>
            <w:r>
              <w:rPr>
                <w:b/>
                <w:color w:val="auto"/>
                <w:sz w:val="21"/>
                <w:szCs w:val="21"/>
              </w:rPr>
              <w:t>储运方式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restart"/>
            <w:vAlign w:val="center"/>
          </w:tcPr>
          <w:p>
            <w:pPr>
              <w:jc w:val="center"/>
              <w:rPr>
                <w:color w:val="auto"/>
                <w:sz w:val="21"/>
                <w:szCs w:val="21"/>
              </w:rPr>
            </w:pPr>
            <w:r>
              <w:rPr>
                <w:color w:val="auto"/>
                <w:sz w:val="21"/>
                <w:szCs w:val="21"/>
              </w:rPr>
              <w:t>新鲜水</w:t>
            </w:r>
          </w:p>
        </w:tc>
        <w:tc>
          <w:tcPr>
            <w:tcW w:w="1509" w:type="dxa"/>
            <w:vAlign w:val="center"/>
          </w:tcPr>
          <w:p>
            <w:pPr>
              <w:jc w:val="center"/>
              <w:rPr>
                <w:color w:val="auto"/>
                <w:sz w:val="21"/>
                <w:szCs w:val="21"/>
              </w:rPr>
            </w:pPr>
            <w:r>
              <w:rPr>
                <w:color w:val="auto"/>
                <w:sz w:val="21"/>
                <w:szCs w:val="21"/>
              </w:rPr>
              <w:t>生活用水</w:t>
            </w:r>
          </w:p>
        </w:tc>
        <w:tc>
          <w:tcPr>
            <w:tcW w:w="1509" w:type="dxa"/>
            <w:vAlign w:val="center"/>
          </w:tcPr>
          <w:p>
            <w:pPr>
              <w:jc w:val="center"/>
              <w:rPr>
                <w:color w:val="auto"/>
                <w:sz w:val="21"/>
                <w:szCs w:val="21"/>
              </w:rPr>
            </w:pPr>
            <w:r>
              <w:rPr>
                <w:rStyle w:val="33"/>
                <w:rFonts w:hint="eastAsia"/>
                <w:color w:val="auto"/>
              </w:rPr>
              <w:t>149.65</w:t>
            </w:r>
            <w:r>
              <w:rPr>
                <w:rStyle w:val="33"/>
                <w:color w:val="auto"/>
              </w:rPr>
              <w:t>t</w:t>
            </w:r>
          </w:p>
        </w:tc>
        <w:tc>
          <w:tcPr>
            <w:tcW w:w="1510" w:type="dxa"/>
            <w:vMerge w:val="restart"/>
            <w:vAlign w:val="center"/>
          </w:tcPr>
          <w:p>
            <w:pPr>
              <w:jc w:val="center"/>
              <w:rPr>
                <w:color w:val="auto"/>
                <w:sz w:val="21"/>
                <w:szCs w:val="21"/>
              </w:rPr>
            </w:pPr>
            <w:r>
              <w:rPr>
                <w:color w:val="auto"/>
                <w:sz w:val="21"/>
                <w:szCs w:val="21"/>
              </w:rPr>
              <w:t>市政给水管网</w:t>
            </w:r>
          </w:p>
        </w:tc>
        <w:tc>
          <w:tcPr>
            <w:tcW w:w="1510" w:type="dxa"/>
            <w:vMerge w:val="restart"/>
            <w:vAlign w:val="center"/>
          </w:tcPr>
          <w:p>
            <w:pPr>
              <w:jc w:val="center"/>
              <w:rPr>
                <w:color w:val="auto"/>
                <w:sz w:val="21"/>
                <w:szCs w:val="21"/>
              </w:rPr>
            </w:pPr>
            <w:r>
              <w:rPr>
                <w:color w:val="auto"/>
                <w:sz w:val="21"/>
                <w:szCs w:val="21"/>
              </w:rPr>
              <w:t>管道输送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vMerge w:val="continue"/>
            <w:vAlign w:val="center"/>
          </w:tcPr>
          <w:p>
            <w:pPr>
              <w:jc w:val="center"/>
              <w:rPr>
                <w:color w:val="auto"/>
                <w:sz w:val="21"/>
                <w:szCs w:val="21"/>
              </w:rPr>
            </w:pPr>
          </w:p>
        </w:tc>
        <w:tc>
          <w:tcPr>
            <w:tcW w:w="1509" w:type="dxa"/>
            <w:vAlign w:val="center"/>
          </w:tcPr>
          <w:p>
            <w:pPr>
              <w:jc w:val="center"/>
              <w:rPr>
                <w:color w:val="auto"/>
                <w:sz w:val="21"/>
                <w:szCs w:val="21"/>
              </w:rPr>
            </w:pPr>
            <w:r>
              <w:rPr>
                <w:rFonts w:hint="eastAsia"/>
                <w:color w:val="auto"/>
                <w:sz w:val="21"/>
                <w:szCs w:val="21"/>
              </w:rPr>
              <w:t>生产</w:t>
            </w:r>
            <w:r>
              <w:rPr>
                <w:color w:val="auto"/>
                <w:sz w:val="21"/>
                <w:szCs w:val="21"/>
              </w:rPr>
              <w:t>用水</w:t>
            </w:r>
          </w:p>
        </w:tc>
        <w:tc>
          <w:tcPr>
            <w:tcW w:w="1509" w:type="dxa"/>
            <w:vAlign w:val="center"/>
          </w:tcPr>
          <w:p>
            <w:pPr>
              <w:jc w:val="center"/>
              <w:rPr>
                <w:color w:val="auto"/>
                <w:sz w:val="21"/>
                <w:szCs w:val="21"/>
              </w:rPr>
            </w:pPr>
            <w:r>
              <w:rPr>
                <w:rStyle w:val="33"/>
                <w:rFonts w:hint="eastAsia"/>
                <w:color w:val="auto"/>
              </w:rPr>
              <w:t>0</w:t>
            </w:r>
          </w:p>
        </w:tc>
        <w:tc>
          <w:tcPr>
            <w:tcW w:w="1510" w:type="dxa"/>
            <w:vMerge w:val="continue"/>
            <w:vAlign w:val="center"/>
          </w:tcPr>
          <w:p>
            <w:pPr>
              <w:jc w:val="center"/>
              <w:rPr>
                <w:color w:val="auto"/>
                <w:sz w:val="21"/>
                <w:szCs w:val="21"/>
              </w:rPr>
            </w:pPr>
          </w:p>
        </w:tc>
        <w:tc>
          <w:tcPr>
            <w:tcW w:w="1510"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65" w:type="dxa"/>
            <w:gridSpan w:val="2"/>
            <w:vAlign w:val="center"/>
          </w:tcPr>
          <w:p>
            <w:pPr>
              <w:jc w:val="center"/>
              <w:rPr>
                <w:color w:val="auto"/>
                <w:sz w:val="21"/>
                <w:szCs w:val="21"/>
              </w:rPr>
            </w:pPr>
            <w:r>
              <w:rPr>
                <w:color w:val="auto"/>
                <w:sz w:val="21"/>
                <w:szCs w:val="21"/>
              </w:rPr>
              <w:t>电</w:t>
            </w:r>
          </w:p>
        </w:tc>
        <w:tc>
          <w:tcPr>
            <w:tcW w:w="1509" w:type="dxa"/>
            <w:vAlign w:val="center"/>
          </w:tcPr>
          <w:p>
            <w:pPr>
              <w:jc w:val="center"/>
              <w:rPr>
                <w:color w:val="auto"/>
                <w:sz w:val="21"/>
                <w:szCs w:val="21"/>
              </w:rPr>
            </w:pPr>
            <w:r>
              <w:rPr>
                <w:rFonts w:hint="eastAsia"/>
                <w:color w:val="auto"/>
                <w:sz w:val="21"/>
                <w:szCs w:val="21"/>
              </w:rPr>
              <w:t>57.8万</w:t>
            </w:r>
            <w:r>
              <w:rPr>
                <w:color w:val="auto"/>
                <w:sz w:val="21"/>
                <w:szCs w:val="21"/>
              </w:rPr>
              <w:t>kw▪h</w:t>
            </w:r>
          </w:p>
        </w:tc>
        <w:tc>
          <w:tcPr>
            <w:tcW w:w="1510" w:type="dxa"/>
            <w:vAlign w:val="center"/>
          </w:tcPr>
          <w:p>
            <w:pPr>
              <w:jc w:val="center"/>
              <w:rPr>
                <w:color w:val="auto"/>
                <w:sz w:val="21"/>
                <w:szCs w:val="21"/>
              </w:rPr>
            </w:pPr>
            <w:r>
              <w:rPr>
                <w:color w:val="auto"/>
                <w:sz w:val="21"/>
                <w:szCs w:val="21"/>
              </w:rPr>
              <w:t>市政供电</w:t>
            </w:r>
          </w:p>
        </w:tc>
        <w:tc>
          <w:tcPr>
            <w:tcW w:w="1510" w:type="dxa"/>
            <w:vAlign w:val="center"/>
          </w:tcPr>
          <w:p>
            <w:pPr>
              <w:jc w:val="center"/>
              <w:rPr>
                <w:color w:val="auto"/>
                <w:sz w:val="21"/>
                <w:szCs w:val="21"/>
              </w:rPr>
            </w:pPr>
            <w:r>
              <w:rPr>
                <w:color w:val="auto"/>
                <w:sz w:val="21"/>
                <w:szCs w:val="21"/>
              </w:rPr>
              <w:t>网线输送</w:t>
            </w:r>
          </w:p>
        </w:tc>
      </w:tr>
    </w:tbl>
    <w:p>
      <w:pPr>
        <w:pStyle w:val="3"/>
        <w:rPr>
          <w:color w:val="auto"/>
        </w:rPr>
      </w:pPr>
      <w:bookmarkStart w:id="87" w:name="_Toc26276819"/>
      <w:bookmarkStart w:id="88" w:name="_Toc11965"/>
      <w:r>
        <w:rPr>
          <w:rFonts w:hint="eastAsia"/>
          <w:color w:val="auto"/>
        </w:rPr>
        <w:t>3.5污水处理工艺论证分析</w:t>
      </w:r>
      <w:bookmarkEnd w:id="87"/>
      <w:bookmarkEnd w:id="88"/>
    </w:p>
    <w:p>
      <w:pPr>
        <w:spacing w:line="360" w:lineRule="auto"/>
        <w:ind w:firstLine="480" w:firstLineChars="200"/>
        <w:rPr>
          <w:color w:val="auto"/>
          <w:sz w:val="24"/>
          <w:szCs w:val="24"/>
        </w:rPr>
      </w:pPr>
      <w:r>
        <w:rPr>
          <w:rFonts w:hint="eastAsia"/>
          <w:color w:val="auto"/>
          <w:sz w:val="24"/>
          <w:szCs w:val="24"/>
        </w:rPr>
        <w:t>现代污水处理技术，按处理程度划分，可分为一级、二级和三级处理，一般根据水质状况和处理后的水的去向来确定污水处理程度。①一级处理主要采用物理方法去除污水中呈悬浮状态的固体污染物质，BOD一般可去除30%左右，一级处理属于二级处理的预处理；②二级处理主要采用化学或生物处理法去除污水中呈胶体和溶解状态的有机污染物质(BOD和COD等物质)，去除率可达90%以上；三级处理采用混凝沉淀法，砂滤法，活性炭吸附法，离子交换法和电渗析法等进一步去除难降解的有机物、氮和磷等可溶性无机物。</w:t>
      </w:r>
    </w:p>
    <w:p>
      <w:pPr>
        <w:spacing w:line="360" w:lineRule="auto"/>
        <w:ind w:firstLine="480" w:firstLineChars="200"/>
        <w:rPr>
          <w:color w:val="auto"/>
          <w:sz w:val="24"/>
          <w:szCs w:val="24"/>
        </w:rPr>
      </w:pPr>
      <w:r>
        <w:rPr>
          <w:rFonts w:hint="eastAsia"/>
          <w:color w:val="auto"/>
          <w:sz w:val="24"/>
          <w:szCs w:val="24"/>
        </w:rPr>
        <w:t>本项目主要收集和处理五华河东绿色生态工业小镇南区的大部分污水（包括生活污水和工业废水）及五华河东绿色生态工业小镇南区东边村庄的生活污水。目前，五华河东绿色生态工业小镇还处于招商引资阶段，后期接纳的工业废水具有不确定性，根据园区准入条件及环保要求，五华河东绿色生态工业小镇主要引入符合国家产业政策、无污染或轻污染的一、二类工业，严禁引进排放含有毒有害物质和一类污染物的项目。因此，本项目接纳的废水不属于含重金属污水，污染因子主要为COD</w:t>
      </w:r>
      <w:r>
        <w:rPr>
          <w:rFonts w:hint="eastAsia"/>
          <w:color w:val="auto"/>
          <w:sz w:val="24"/>
          <w:szCs w:val="24"/>
          <w:vertAlign w:val="subscript"/>
        </w:rPr>
        <w:t>Cr</w:t>
      </w:r>
      <w:r>
        <w:rPr>
          <w:rFonts w:hint="eastAsia"/>
          <w:color w:val="auto"/>
          <w:sz w:val="24"/>
          <w:szCs w:val="24"/>
        </w:rPr>
        <w:t>、BOD</w:t>
      </w:r>
      <w:r>
        <w:rPr>
          <w:rFonts w:hint="eastAsia"/>
          <w:color w:val="auto"/>
          <w:sz w:val="24"/>
          <w:szCs w:val="24"/>
          <w:vertAlign w:val="subscript"/>
        </w:rPr>
        <w:t>5</w:t>
      </w:r>
      <w:r>
        <w:rPr>
          <w:rFonts w:hint="eastAsia"/>
          <w:color w:val="auto"/>
          <w:sz w:val="24"/>
          <w:szCs w:val="24"/>
        </w:rPr>
        <w:t>、SS和氨氮，废水成分较为简单，可经生产企业预处理设施处理后接入园区污水管道。</w:t>
      </w:r>
    </w:p>
    <w:p>
      <w:pPr>
        <w:spacing w:line="360" w:lineRule="auto"/>
        <w:ind w:firstLine="480" w:firstLineChars="200"/>
        <w:rPr>
          <w:color w:val="auto"/>
          <w:sz w:val="24"/>
          <w:szCs w:val="24"/>
        </w:rPr>
      </w:pPr>
      <w:r>
        <w:rPr>
          <w:rFonts w:hint="eastAsia"/>
          <w:color w:val="auto"/>
          <w:sz w:val="24"/>
          <w:szCs w:val="24"/>
        </w:rPr>
        <w:t>本项目污水及污泥处理工艺论证分析见下：</w:t>
      </w:r>
    </w:p>
    <w:p>
      <w:pPr>
        <w:pStyle w:val="4"/>
        <w:rPr>
          <w:color w:val="auto"/>
        </w:rPr>
      </w:pPr>
      <w:bookmarkStart w:id="89" w:name="_Toc26276820"/>
      <w:r>
        <w:rPr>
          <w:rFonts w:hint="eastAsia"/>
          <w:color w:val="auto"/>
        </w:rPr>
        <w:t>3.5.1废水预处理工艺的论证</w:t>
      </w:r>
      <w:bookmarkEnd w:id="89"/>
    </w:p>
    <w:p>
      <w:pPr>
        <w:spacing w:line="360" w:lineRule="auto"/>
        <w:ind w:firstLine="480" w:firstLineChars="200"/>
        <w:rPr>
          <w:color w:val="auto"/>
          <w:sz w:val="24"/>
          <w:szCs w:val="24"/>
        </w:rPr>
      </w:pPr>
      <w:r>
        <w:rPr>
          <w:rFonts w:hint="eastAsia"/>
          <w:color w:val="auto"/>
          <w:sz w:val="24"/>
          <w:szCs w:val="24"/>
        </w:rPr>
        <w:t>常用的物化预处理工艺通常有格栅、沉砂、调节、混凝沉淀、气浮等工艺。</w:t>
      </w:r>
    </w:p>
    <w:p>
      <w:pPr>
        <w:spacing w:line="360" w:lineRule="auto"/>
        <w:ind w:firstLine="482" w:firstLineChars="200"/>
        <w:rPr>
          <w:b/>
          <w:color w:val="auto"/>
          <w:sz w:val="24"/>
          <w:szCs w:val="24"/>
        </w:rPr>
      </w:pPr>
      <w:r>
        <w:rPr>
          <w:rFonts w:hint="eastAsia"/>
          <w:b/>
          <w:color w:val="auto"/>
          <w:sz w:val="24"/>
          <w:szCs w:val="24"/>
        </w:rPr>
        <w:t>1、格栅</w:t>
      </w:r>
    </w:p>
    <w:p>
      <w:pPr>
        <w:spacing w:line="360" w:lineRule="auto"/>
        <w:ind w:firstLine="480" w:firstLineChars="200"/>
        <w:rPr>
          <w:color w:val="auto"/>
          <w:sz w:val="24"/>
          <w:szCs w:val="24"/>
        </w:rPr>
      </w:pPr>
      <w:r>
        <w:rPr>
          <w:rFonts w:hint="eastAsia"/>
          <w:color w:val="auto"/>
          <w:sz w:val="24"/>
          <w:szCs w:val="24"/>
        </w:rPr>
        <w:t>用于废水的前处理，一般安装在污水渠道、泵房集水池的进口处，用于截留较大的悬浮物或漂浮物，防止水泵、排水管以及后续处理构筑物的堵塞，保证处理设施和设备的正常运行。格栅按形状可分为平面格栅和曲面格栅；按栅条间隙可分为粗格栅（40mm）、中格栅（15~25mm）和细格栅（4~10mm）三种；按清渣方式可分为人工格栅和机械格栅；按照格栅的构造方式可分为反捞式格栅、回转式格栅、转鼓式格栅、阶梯式格栅、弧形格栅等。</w:t>
      </w:r>
    </w:p>
    <w:p>
      <w:pPr>
        <w:spacing w:line="360" w:lineRule="auto"/>
        <w:ind w:firstLine="482" w:firstLineChars="200"/>
        <w:rPr>
          <w:b/>
          <w:color w:val="auto"/>
          <w:sz w:val="24"/>
          <w:szCs w:val="24"/>
        </w:rPr>
      </w:pPr>
      <w:r>
        <w:rPr>
          <w:rFonts w:hint="eastAsia"/>
          <w:b/>
          <w:color w:val="auto"/>
          <w:sz w:val="24"/>
          <w:szCs w:val="24"/>
        </w:rPr>
        <w:t>2、沉砂</w:t>
      </w:r>
    </w:p>
    <w:p>
      <w:pPr>
        <w:spacing w:line="360" w:lineRule="auto"/>
        <w:ind w:firstLine="480" w:firstLineChars="200"/>
        <w:rPr>
          <w:color w:val="auto"/>
          <w:sz w:val="24"/>
          <w:szCs w:val="24"/>
        </w:rPr>
      </w:pPr>
      <w:r>
        <w:rPr>
          <w:rFonts w:hint="eastAsia"/>
          <w:color w:val="auto"/>
          <w:sz w:val="24"/>
          <w:szCs w:val="24"/>
        </w:rPr>
        <w:t>废水中存在一些密度较大，易沉淀分离下来的颗粒物质，主要包括无机性的沙粒、砾石、炉灰渣和少量较重的有机性颗粒。沉砂池是利用重力分离将砂从废水中分离出来的预处理工艺。沉砂池中一般将水流速度控制到只能使密度大的无机颗粒沉淀，而有机颗粒可随水流出的程度。常见的沉砂池主要有平流式沉砂池、竖流式沉砂池、曝气沉砂池和旋流沉砂池等。</w:t>
      </w:r>
    </w:p>
    <w:p>
      <w:pPr>
        <w:spacing w:line="360" w:lineRule="auto"/>
        <w:ind w:firstLine="482" w:firstLineChars="200"/>
        <w:rPr>
          <w:b/>
          <w:color w:val="auto"/>
          <w:sz w:val="24"/>
          <w:szCs w:val="24"/>
        </w:rPr>
      </w:pPr>
      <w:r>
        <w:rPr>
          <w:rFonts w:hint="eastAsia"/>
          <w:b/>
          <w:color w:val="auto"/>
          <w:sz w:val="24"/>
          <w:szCs w:val="24"/>
        </w:rPr>
        <w:t>3、混凝沉淀</w:t>
      </w:r>
    </w:p>
    <w:p>
      <w:pPr>
        <w:spacing w:line="360" w:lineRule="auto"/>
        <w:ind w:firstLine="480" w:firstLineChars="200"/>
        <w:rPr>
          <w:color w:val="auto"/>
          <w:sz w:val="24"/>
          <w:szCs w:val="24"/>
        </w:rPr>
      </w:pPr>
      <w:r>
        <w:rPr>
          <w:rFonts w:hint="eastAsia"/>
          <w:color w:val="auto"/>
          <w:sz w:val="24"/>
          <w:szCs w:val="24"/>
        </w:rPr>
        <w:t>混凝沉淀包括混凝和沉淀两个工艺过程。混凝是向废水中投加混凝剂（或絮凝剂），通过混凝剂的水解和缩聚反应形成的高聚物的吸附架桥作用，使废水中胶体颗粒被吸附粘结，形成较小的颗粒，再经过絮凝过程形成较大的颗粒，更大大提高沉淀分离性能。在絮粒形成过程中，不但吸附悬浮颗粒，还可以吸附部分溶解性物质。沉淀是利用某些悬浮颗粒的密度大于水的特性，将其从水中去除。沉淀池就其流态和结构形式可分为平流沉淀池、竖流沉淀池、辐流沉淀池和斜管沉淀池。</w:t>
      </w:r>
    </w:p>
    <w:p>
      <w:pPr>
        <w:spacing w:line="360" w:lineRule="auto"/>
        <w:ind w:firstLine="482" w:firstLineChars="200"/>
        <w:rPr>
          <w:b/>
          <w:color w:val="auto"/>
          <w:sz w:val="24"/>
          <w:szCs w:val="24"/>
        </w:rPr>
      </w:pPr>
      <w:r>
        <w:rPr>
          <w:rFonts w:hint="eastAsia"/>
          <w:b/>
          <w:color w:val="auto"/>
          <w:sz w:val="24"/>
          <w:szCs w:val="24"/>
        </w:rPr>
        <w:t>4、均值调节</w:t>
      </w:r>
    </w:p>
    <w:p>
      <w:pPr>
        <w:spacing w:line="360" w:lineRule="auto"/>
        <w:ind w:firstLine="480" w:firstLineChars="200"/>
        <w:rPr>
          <w:color w:val="auto"/>
          <w:sz w:val="24"/>
          <w:szCs w:val="24"/>
        </w:rPr>
      </w:pPr>
      <w:r>
        <w:rPr>
          <w:rFonts w:hint="eastAsia"/>
          <w:color w:val="auto"/>
          <w:sz w:val="24"/>
          <w:szCs w:val="24"/>
        </w:rPr>
        <w:t>一般工业企业排放的废水，水质、水量、酸碱度或温度等水质指标随排水时间大幅度波动，为减少或防止冲击负荷对处理设备的不利影响，保证系统稳定运行，设置均质均量调节池。</w:t>
      </w:r>
    </w:p>
    <w:p>
      <w:pPr>
        <w:spacing w:line="360" w:lineRule="auto"/>
        <w:ind w:firstLine="482" w:firstLineChars="200"/>
        <w:rPr>
          <w:b/>
          <w:color w:val="auto"/>
          <w:sz w:val="24"/>
          <w:szCs w:val="24"/>
        </w:rPr>
      </w:pPr>
      <w:r>
        <w:rPr>
          <w:rFonts w:hint="eastAsia"/>
          <w:b/>
          <w:color w:val="auto"/>
          <w:sz w:val="24"/>
          <w:szCs w:val="24"/>
        </w:rPr>
        <w:t>5、事故池</w:t>
      </w:r>
    </w:p>
    <w:p>
      <w:pPr>
        <w:spacing w:line="360" w:lineRule="auto"/>
        <w:ind w:firstLine="480" w:firstLineChars="200"/>
        <w:rPr>
          <w:color w:val="auto"/>
          <w:sz w:val="24"/>
          <w:szCs w:val="24"/>
        </w:rPr>
      </w:pPr>
      <w:r>
        <w:rPr>
          <w:rFonts w:hint="eastAsia"/>
          <w:color w:val="auto"/>
          <w:sz w:val="24"/>
          <w:szCs w:val="24"/>
        </w:rPr>
        <w:t>为预防紧急事故发生，设置事故池。当事故发生时，污水直接排入事故池暂存，以保护后续处理构筑物稳定运行。对于无法处理的特殊污水，通过吸污车等将事故池污水送至专门的处理机构进行处理；对于可处理，但浓度太高或毒性不太强的污水，采用逐步回流至污水提升池，提升至格栅渠通过稀释后逐步处理。</w:t>
      </w:r>
    </w:p>
    <w:p>
      <w:pPr>
        <w:spacing w:line="360" w:lineRule="auto"/>
        <w:ind w:firstLine="482" w:firstLineChars="200"/>
        <w:rPr>
          <w:b/>
          <w:color w:val="auto"/>
          <w:sz w:val="24"/>
          <w:szCs w:val="24"/>
        </w:rPr>
      </w:pPr>
      <w:r>
        <w:rPr>
          <w:rFonts w:hint="eastAsia"/>
          <w:b/>
          <w:color w:val="auto"/>
          <w:sz w:val="24"/>
          <w:szCs w:val="24"/>
        </w:rPr>
        <w:t>6、气浮</w:t>
      </w:r>
    </w:p>
    <w:p>
      <w:pPr>
        <w:spacing w:line="360" w:lineRule="auto"/>
        <w:ind w:firstLine="480" w:firstLineChars="200"/>
        <w:rPr>
          <w:color w:val="auto"/>
          <w:sz w:val="24"/>
          <w:szCs w:val="24"/>
        </w:rPr>
      </w:pPr>
      <w:r>
        <w:rPr>
          <w:rFonts w:hint="eastAsia"/>
          <w:color w:val="auto"/>
          <w:sz w:val="24"/>
          <w:szCs w:val="24"/>
        </w:rPr>
        <w:t>气浮法是在水中形成高度分散的微小气泡，粘附废水中疏水基的固体或液体颗粒，形成水—气—颗粒三相混合体系，颗粒粘附气泡后，形成表观密度小于水的絮体而上浮到水面，形成浮渣层被刮除，从而实现固液或液液分离的过程。气浮分为高效浅层气浮、涡凹气浮、平流式气浮等。气浮优点在于它固液分离设备具有投资少、占地面积小、自动化程度高、操作管理方便等特点。</w:t>
      </w:r>
    </w:p>
    <w:p>
      <w:pPr>
        <w:spacing w:line="360" w:lineRule="auto"/>
        <w:ind w:firstLine="480" w:firstLineChars="200"/>
        <w:rPr>
          <w:color w:val="auto"/>
          <w:sz w:val="24"/>
          <w:szCs w:val="24"/>
        </w:rPr>
      </w:pPr>
      <w:r>
        <w:rPr>
          <w:rFonts w:hint="eastAsia"/>
          <w:color w:val="auto"/>
          <w:sz w:val="24"/>
          <w:szCs w:val="24"/>
        </w:rPr>
        <w:t>园区管网收集废水进入水质净化厂不可避免地携带浮渣等物质，因此需设置粗、细格栅井。考虑到园区废水的排水不规律，水质的多变等因素，设置应急沉淀池，正常工况下可超越，若发现进水不正常，可接入应急沉淀池加药处理，并有一定缓冲能力，为上游排查争取响应时间。因此通过对本项目收集废水水质特性的分析，再结合实际工程经验，本项目物化预处理工艺采用</w:t>
      </w:r>
      <w:r>
        <w:rPr>
          <w:rFonts w:hint="eastAsia"/>
          <w:b/>
          <w:color w:val="auto"/>
          <w:sz w:val="24"/>
          <w:szCs w:val="24"/>
        </w:rPr>
        <w:t>“粗格栅+细格栅+应急沉淀池”</w:t>
      </w:r>
      <w:r>
        <w:rPr>
          <w:rFonts w:hint="eastAsia"/>
          <w:color w:val="auto"/>
          <w:sz w:val="24"/>
          <w:szCs w:val="24"/>
        </w:rPr>
        <w:t>的处理工艺合理。</w:t>
      </w:r>
    </w:p>
    <w:p>
      <w:pPr>
        <w:pStyle w:val="4"/>
        <w:rPr>
          <w:color w:val="auto"/>
        </w:rPr>
      </w:pPr>
      <w:bookmarkStart w:id="90" w:name="_Toc26276821"/>
      <w:r>
        <w:rPr>
          <w:rFonts w:hint="eastAsia"/>
          <w:color w:val="auto"/>
        </w:rPr>
        <w:t>3.5.2废水二级处理工艺的论证</w:t>
      </w:r>
      <w:bookmarkEnd w:id="90"/>
    </w:p>
    <w:p>
      <w:pPr>
        <w:spacing w:line="360" w:lineRule="auto"/>
        <w:ind w:firstLine="480" w:firstLineChars="200"/>
        <w:rPr>
          <w:color w:val="auto"/>
          <w:sz w:val="24"/>
          <w:szCs w:val="24"/>
        </w:rPr>
      </w:pPr>
      <w:r>
        <w:rPr>
          <w:rFonts w:hint="eastAsia"/>
          <w:color w:val="auto"/>
          <w:sz w:val="24"/>
          <w:szCs w:val="24"/>
        </w:rPr>
        <w:t>水质净化厂的二级处理工艺选择应根据原水水质、出水要求、水质净化厂规模、污泥处置方法、平面布置及当地温度、工程地质等因素作综合评价。常规活性污泥法能满足COD</w:t>
      </w:r>
      <w:r>
        <w:rPr>
          <w:rFonts w:hint="eastAsia"/>
          <w:color w:val="auto"/>
          <w:sz w:val="24"/>
          <w:szCs w:val="24"/>
          <w:vertAlign w:val="subscript"/>
        </w:rPr>
        <w:t>Cr</w:t>
      </w:r>
      <w:r>
        <w:rPr>
          <w:rFonts w:hint="eastAsia"/>
          <w:color w:val="auto"/>
          <w:sz w:val="24"/>
          <w:szCs w:val="24"/>
        </w:rPr>
        <w:t>、BOD</w:t>
      </w:r>
      <w:r>
        <w:rPr>
          <w:rFonts w:hint="eastAsia"/>
          <w:color w:val="auto"/>
          <w:sz w:val="24"/>
          <w:szCs w:val="24"/>
          <w:vertAlign w:val="subscript"/>
        </w:rPr>
        <w:t>5</w:t>
      </w:r>
      <w:r>
        <w:rPr>
          <w:rFonts w:hint="eastAsia"/>
          <w:color w:val="auto"/>
          <w:sz w:val="24"/>
          <w:szCs w:val="24"/>
        </w:rPr>
        <w:t>、SS 的去除率，但对氮、磷的去除率是有一定限度的，仅从常规活性污泥法剩余污泥中排除氮、磷，其去除率为：氮约10～25%，磷约12～20%，达不到出水要求，因此必须对污水采用脱氮除磷工艺。</w:t>
      </w:r>
    </w:p>
    <w:p>
      <w:pPr>
        <w:spacing w:line="360" w:lineRule="auto"/>
        <w:ind w:firstLine="480" w:firstLineChars="200"/>
        <w:rPr>
          <w:color w:val="auto"/>
          <w:sz w:val="24"/>
          <w:szCs w:val="24"/>
        </w:rPr>
      </w:pPr>
      <w:r>
        <w:rPr>
          <w:rFonts w:hint="eastAsia"/>
          <w:color w:val="auto"/>
          <w:sz w:val="24"/>
          <w:szCs w:val="24"/>
        </w:rPr>
        <w:t>污水脱氮除磷可供选择的处理方法通常有生物处理法及物理化学法二大类。物理化学法由于需投加相当数量的化学药剂，运行费用高、残渣量大、难处置，城市污水处理一般不推荐采用。本工程污水进水水质BOD</w:t>
      </w:r>
      <w:r>
        <w:rPr>
          <w:rFonts w:hint="eastAsia"/>
          <w:color w:val="auto"/>
          <w:sz w:val="24"/>
          <w:szCs w:val="24"/>
          <w:vertAlign w:val="subscript"/>
        </w:rPr>
        <w:t>5</w:t>
      </w:r>
      <w:r>
        <w:rPr>
          <w:rFonts w:hint="eastAsia"/>
          <w:color w:val="auto"/>
          <w:sz w:val="24"/>
          <w:szCs w:val="24"/>
        </w:rPr>
        <w:t>/COD</w:t>
      </w:r>
      <w:r>
        <w:rPr>
          <w:rFonts w:hint="eastAsia"/>
          <w:color w:val="auto"/>
          <w:sz w:val="24"/>
          <w:szCs w:val="24"/>
          <w:vertAlign w:val="subscript"/>
        </w:rPr>
        <w:t>Cr</w:t>
      </w:r>
      <w:r>
        <w:rPr>
          <w:rFonts w:hint="eastAsia"/>
          <w:color w:val="auto"/>
          <w:sz w:val="24"/>
          <w:szCs w:val="24"/>
        </w:rPr>
        <w:t>的比值为0.40，属于生化性较好的污水，另外从BOD</w:t>
      </w:r>
      <w:r>
        <w:rPr>
          <w:rFonts w:hint="eastAsia"/>
          <w:color w:val="auto"/>
          <w:sz w:val="24"/>
          <w:szCs w:val="24"/>
          <w:vertAlign w:val="subscript"/>
        </w:rPr>
        <w:t>5</w:t>
      </w:r>
      <w:r>
        <w:rPr>
          <w:rFonts w:hint="eastAsia"/>
          <w:color w:val="auto"/>
          <w:sz w:val="24"/>
          <w:szCs w:val="24"/>
        </w:rPr>
        <w:t>/TN及BOD</w:t>
      </w:r>
      <w:r>
        <w:rPr>
          <w:rFonts w:hint="eastAsia"/>
          <w:color w:val="auto"/>
          <w:sz w:val="24"/>
          <w:szCs w:val="24"/>
          <w:vertAlign w:val="subscript"/>
        </w:rPr>
        <w:t>5</w:t>
      </w:r>
      <w:r>
        <w:rPr>
          <w:rFonts w:hint="eastAsia"/>
          <w:color w:val="auto"/>
          <w:sz w:val="24"/>
          <w:szCs w:val="24"/>
        </w:rPr>
        <w:t>/TP 比值来看，采用生物降解法去除N，P 是可行的，因此宜采用脱氮处理工艺。</w:t>
      </w:r>
    </w:p>
    <w:p>
      <w:pPr>
        <w:spacing w:line="360" w:lineRule="auto"/>
        <w:ind w:firstLine="480" w:firstLineChars="200"/>
        <w:rPr>
          <w:color w:val="auto"/>
          <w:sz w:val="24"/>
          <w:szCs w:val="24"/>
        </w:rPr>
      </w:pPr>
      <w:r>
        <w:rPr>
          <w:rFonts w:hint="eastAsia"/>
          <w:color w:val="auto"/>
          <w:sz w:val="24"/>
          <w:szCs w:val="24"/>
        </w:rPr>
        <w:t>主流的生物除磷脱氮工艺主要有活性污泥法的AAO 工艺，SBR 及其变形工艺、生物膜法如曝气生物滤池、填料生物膜工艺等。根据本工程的规模，从节能、省地、减少运行费用方面考虑，根据污水处理程度的要求，污水处理须采用具有生物强化除磷脱氮功能工艺系统。针对本工程的实际需求，倒置AAO 工艺、曝气生物滤池工艺、IFAS 填料生物膜工艺均适合本工程的需要。三种工艺简介如下：</w:t>
      </w:r>
    </w:p>
    <w:p>
      <w:pPr>
        <w:spacing w:line="360" w:lineRule="auto"/>
        <w:ind w:firstLine="482" w:firstLineChars="200"/>
        <w:rPr>
          <w:b/>
          <w:color w:val="auto"/>
          <w:sz w:val="24"/>
          <w:szCs w:val="24"/>
        </w:rPr>
      </w:pPr>
      <w:r>
        <w:rPr>
          <w:rFonts w:hint="eastAsia"/>
          <w:b/>
          <w:color w:val="auto"/>
          <w:sz w:val="24"/>
          <w:szCs w:val="24"/>
        </w:rPr>
        <w:t>1、倒置A/A/O 工艺</w:t>
      </w:r>
    </w:p>
    <w:p>
      <w:pPr>
        <w:spacing w:line="360" w:lineRule="auto"/>
        <w:ind w:firstLine="480" w:firstLineChars="200"/>
        <w:rPr>
          <w:color w:val="auto"/>
          <w:sz w:val="24"/>
          <w:szCs w:val="24"/>
        </w:rPr>
      </w:pPr>
      <w:r>
        <w:rPr>
          <w:rFonts w:hint="eastAsia"/>
          <w:color w:val="auto"/>
          <w:sz w:val="24"/>
          <w:szCs w:val="24"/>
        </w:rPr>
        <w:t>倒置AAO 工艺是对AAO 工艺的改良，厌氧段和缺氧段倒置是为了保证生物除磷的效果，倒置AAO 工艺中活性污泥回流至缺氧池的前端，以便在缺氧条件下充分去除回流活性污泥中硝酸盐，再将活性污泥回流至厌氧池，完全可以做到硝酸盐的零回流，从而使厌氧池释放磷的效率大大提高，强化了处理系统的除磷效果。并且来水直接进入到缺氧池，使反硝化菌有足够的碳源进行反硝化，增强了反硝化的能力，有利于除氮的进行。</w:t>
      </w:r>
    </w:p>
    <w:p>
      <w:pPr>
        <w:spacing w:line="360" w:lineRule="auto"/>
        <w:jc w:val="center"/>
        <w:rPr>
          <w:color w:val="auto"/>
          <w:sz w:val="24"/>
          <w:szCs w:val="24"/>
        </w:rPr>
      </w:pPr>
      <w:r>
        <w:rPr>
          <w:color w:val="auto"/>
          <w:sz w:val="24"/>
          <w:szCs w:val="24"/>
        </w:rPr>
        <w:drawing>
          <wp:inline distT="0" distB="0" distL="0" distR="0">
            <wp:extent cx="5274310" cy="1588135"/>
            <wp:effectExtent l="19050" t="0" r="2540" b="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noChangeArrowheads="1"/>
                    </pic:cNvPicPr>
                  </pic:nvPicPr>
                  <pic:blipFill>
                    <a:blip r:embed="rId24" cstate="print"/>
                    <a:srcRect/>
                    <a:stretch>
                      <a:fillRect/>
                    </a:stretch>
                  </pic:blipFill>
                  <pic:spPr>
                    <a:xfrm>
                      <a:off x="0" y="0"/>
                      <a:ext cx="5274310" cy="1588219"/>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图3-5-1   多点进水倒置A/A/O 工艺流程图</w:t>
      </w:r>
    </w:p>
    <w:p>
      <w:pPr>
        <w:spacing w:line="360" w:lineRule="auto"/>
        <w:ind w:firstLine="480" w:firstLineChars="200"/>
        <w:jc w:val="left"/>
        <w:rPr>
          <w:color w:val="auto"/>
          <w:sz w:val="24"/>
          <w:szCs w:val="24"/>
        </w:rPr>
      </w:pPr>
      <w:r>
        <w:rPr>
          <w:rFonts w:hint="eastAsia"/>
          <w:color w:val="auto"/>
          <w:sz w:val="24"/>
          <w:szCs w:val="24"/>
        </w:rPr>
        <w:t>从倒置AAO 工艺设计参数和运行方式可以看出，该方法的优点是：</w:t>
      </w:r>
    </w:p>
    <w:p>
      <w:pPr>
        <w:spacing w:line="360" w:lineRule="auto"/>
        <w:ind w:firstLine="480" w:firstLineChars="200"/>
        <w:jc w:val="left"/>
        <w:rPr>
          <w:color w:val="auto"/>
          <w:sz w:val="24"/>
          <w:szCs w:val="24"/>
        </w:rPr>
      </w:pPr>
      <w:r>
        <w:rPr>
          <w:rFonts w:hint="eastAsia"/>
          <w:color w:val="auto"/>
          <w:sz w:val="24"/>
          <w:szCs w:val="24"/>
        </w:rPr>
        <w:t>（1）厌氧、缺氧、好氧三种不同的环境条件和不同种类微生物菌群的有机配合，能同时具有去除有机物、脱氮除磷的功能，污染物去除效率高，运行稳定；</w:t>
      </w:r>
    </w:p>
    <w:p>
      <w:pPr>
        <w:spacing w:line="360" w:lineRule="auto"/>
        <w:ind w:firstLine="480" w:firstLineChars="200"/>
        <w:jc w:val="left"/>
        <w:rPr>
          <w:color w:val="auto"/>
          <w:sz w:val="24"/>
          <w:szCs w:val="24"/>
        </w:rPr>
      </w:pPr>
      <w:r>
        <w:rPr>
          <w:rFonts w:hint="eastAsia"/>
          <w:color w:val="auto"/>
          <w:sz w:val="24"/>
          <w:szCs w:val="24"/>
        </w:rPr>
        <w:t>（2）在同时脱氮除磷去除有机物的工艺中，该工艺流程简单，总的水力停留时间也少于同类其他工艺；</w:t>
      </w:r>
    </w:p>
    <w:p>
      <w:pPr>
        <w:spacing w:line="360" w:lineRule="auto"/>
        <w:ind w:firstLine="480" w:firstLineChars="200"/>
        <w:jc w:val="left"/>
        <w:rPr>
          <w:color w:val="auto"/>
          <w:sz w:val="24"/>
          <w:szCs w:val="24"/>
        </w:rPr>
      </w:pPr>
      <w:r>
        <w:rPr>
          <w:rFonts w:hint="eastAsia"/>
          <w:color w:val="auto"/>
          <w:sz w:val="24"/>
          <w:szCs w:val="24"/>
        </w:rPr>
        <w:t>（3）在厌氧、缺氧、好氧交替运行下，丝状菌不会大量繁殖，SVI一般小于100，污泥沉降性能好，不会发生污泥膨胀；</w:t>
      </w:r>
    </w:p>
    <w:p>
      <w:pPr>
        <w:spacing w:line="360" w:lineRule="auto"/>
        <w:ind w:firstLine="480" w:firstLineChars="200"/>
        <w:jc w:val="left"/>
        <w:rPr>
          <w:color w:val="auto"/>
          <w:sz w:val="24"/>
          <w:szCs w:val="24"/>
        </w:rPr>
      </w:pPr>
      <w:r>
        <w:rPr>
          <w:rFonts w:hint="eastAsia"/>
          <w:color w:val="auto"/>
          <w:sz w:val="24"/>
          <w:szCs w:val="24"/>
        </w:rPr>
        <w:t>（4）污泥中磷含量高，一般为2.5％以上；</w:t>
      </w:r>
    </w:p>
    <w:p>
      <w:pPr>
        <w:spacing w:line="360" w:lineRule="auto"/>
        <w:ind w:firstLine="480" w:firstLineChars="200"/>
        <w:jc w:val="left"/>
        <w:rPr>
          <w:color w:val="auto"/>
          <w:sz w:val="24"/>
          <w:szCs w:val="24"/>
        </w:rPr>
      </w:pPr>
      <w:r>
        <w:rPr>
          <w:rFonts w:hint="eastAsia"/>
          <w:color w:val="auto"/>
          <w:sz w:val="24"/>
          <w:szCs w:val="24"/>
        </w:rPr>
        <w:t>（5）脱氮效果受混合液回流比大小的影响，除磷效果则受回流污泥中央带DO和硝酸态氧的影响，因而脱氮除磷效率较高；</w:t>
      </w:r>
    </w:p>
    <w:p>
      <w:pPr>
        <w:spacing w:line="360" w:lineRule="auto"/>
        <w:ind w:firstLine="480" w:firstLineChars="200"/>
        <w:jc w:val="left"/>
        <w:rPr>
          <w:color w:val="auto"/>
          <w:sz w:val="24"/>
          <w:szCs w:val="24"/>
        </w:rPr>
      </w:pPr>
      <w:r>
        <w:rPr>
          <w:rFonts w:hint="eastAsia"/>
          <w:color w:val="auto"/>
          <w:sz w:val="24"/>
          <w:szCs w:val="24"/>
        </w:rPr>
        <w:t>（6）能较好的耐受冲击负荷，出水水质稳定；</w:t>
      </w:r>
    </w:p>
    <w:p>
      <w:pPr>
        <w:spacing w:line="360" w:lineRule="auto"/>
        <w:ind w:firstLine="480" w:firstLineChars="200"/>
        <w:jc w:val="left"/>
        <w:rPr>
          <w:color w:val="auto"/>
          <w:sz w:val="24"/>
          <w:szCs w:val="24"/>
        </w:rPr>
      </w:pPr>
      <w:r>
        <w:rPr>
          <w:rFonts w:hint="eastAsia"/>
          <w:color w:val="auto"/>
          <w:sz w:val="24"/>
          <w:szCs w:val="24"/>
        </w:rPr>
        <w:t>（7）采用微孔曝气器曝气，充氧效率高，污水处理的电耗省；</w:t>
      </w:r>
    </w:p>
    <w:p>
      <w:pPr>
        <w:spacing w:line="360" w:lineRule="auto"/>
        <w:ind w:firstLine="480" w:firstLineChars="200"/>
        <w:jc w:val="left"/>
        <w:rPr>
          <w:color w:val="auto"/>
          <w:sz w:val="24"/>
          <w:szCs w:val="24"/>
        </w:rPr>
      </w:pPr>
      <w:r>
        <w:rPr>
          <w:rFonts w:hint="eastAsia"/>
          <w:color w:val="auto"/>
          <w:sz w:val="24"/>
          <w:szCs w:val="24"/>
        </w:rPr>
        <w:t>（8）起动运行良好，设备安装简便，自动化成度高；</w:t>
      </w:r>
    </w:p>
    <w:p>
      <w:pPr>
        <w:spacing w:line="360" w:lineRule="auto"/>
        <w:ind w:firstLine="480" w:firstLineChars="200"/>
        <w:jc w:val="left"/>
        <w:rPr>
          <w:color w:val="auto"/>
          <w:sz w:val="24"/>
          <w:szCs w:val="24"/>
        </w:rPr>
      </w:pPr>
      <w:r>
        <w:rPr>
          <w:rFonts w:hint="eastAsia"/>
          <w:color w:val="auto"/>
          <w:sz w:val="24"/>
          <w:szCs w:val="24"/>
        </w:rPr>
        <w:t>（9）曝气池的有效水深大，占地面积省。</w:t>
      </w:r>
    </w:p>
    <w:p>
      <w:pPr>
        <w:spacing w:line="360" w:lineRule="auto"/>
        <w:ind w:firstLine="482" w:firstLineChars="200"/>
        <w:jc w:val="left"/>
        <w:rPr>
          <w:b/>
          <w:color w:val="auto"/>
          <w:sz w:val="24"/>
          <w:szCs w:val="24"/>
        </w:rPr>
      </w:pPr>
      <w:r>
        <w:rPr>
          <w:rFonts w:hint="eastAsia"/>
          <w:b/>
          <w:color w:val="auto"/>
          <w:sz w:val="24"/>
          <w:szCs w:val="24"/>
        </w:rPr>
        <w:t>2、曝气生物滤池工艺</w:t>
      </w:r>
    </w:p>
    <w:p>
      <w:pPr>
        <w:spacing w:line="360" w:lineRule="auto"/>
        <w:ind w:firstLine="480" w:firstLineChars="200"/>
        <w:jc w:val="left"/>
        <w:rPr>
          <w:color w:val="auto"/>
          <w:sz w:val="24"/>
          <w:szCs w:val="24"/>
        </w:rPr>
      </w:pPr>
      <w:r>
        <w:rPr>
          <w:rFonts w:hint="eastAsia"/>
          <w:color w:val="auto"/>
          <w:sz w:val="24"/>
          <w:szCs w:val="24"/>
        </w:rPr>
        <w:t>生物膜法中比较有代表性的工艺是曝气生物滤池。曝气生物滤池广泛用于化学强化一级处理后的二级生物处理段和三级处理段。取得了占地省，效率高，出水好，泥量少的效果。近年来，国外曝气生物滤池发展较快，曝气生物滤池是将接触氧化工艺和悬浮物过滤工艺结合在一起的污水处理工艺，可用于去除污水中的有机物，也可通过硝化和反硝化除氮。</w:t>
      </w:r>
    </w:p>
    <w:p>
      <w:pPr>
        <w:spacing w:line="360" w:lineRule="auto"/>
        <w:ind w:firstLine="480" w:firstLineChars="200"/>
        <w:jc w:val="left"/>
        <w:rPr>
          <w:color w:val="auto"/>
          <w:sz w:val="24"/>
          <w:szCs w:val="24"/>
        </w:rPr>
      </w:pPr>
      <w:r>
        <w:rPr>
          <w:rFonts w:hint="eastAsia"/>
          <w:color w:val="auto"/>
          <w:sz w:val="24"/>
          <w:szCs w:val="24"/>
        </w:rPr>
        <w:t>生物填料是生物膜法处理城市污水的主体，对城市污水的净化效率有直接影响。生物填料要求耐腐蚀、强度高、抗老化、比表面积大、空隙率大、易加工安装、价格便宜。生物填料已从硬性填料、软性填料、半软性填料发展到现在普遍使用的立体弹性填料。立体弹性填料由束状的尼龙丝组成，比表面积大，有较大的空隙率，易挂膜，是一种较为理想的生物填料。近年来，还有一种不需安装，直接投入水中，比重接近于水的悬浮型生物填料，也是一种较好的生物接触氧化填料。</w:t>
      </w:r>
    </w:p>
    <w:p>
      <w:pPr>
        <w:spacing w:line="360" w:lineRule="auto"/>
        <w:ind w:firstLine="480" w:firstLineChars="200"/>
        <w:jc w:val="left"/>
        <w:rPr>
          <w:color w:val="auto"/>
          <w:sz w:val="24"/>
          <w:szCs w:val="24"/>
        </w:rPr>
      </w:pPr>
      <w:r>
        <w:rPr>
          <w:rFonts w:hint="eastAsia"/>
          <w:color w:val="auto"/>
          <w:sz w:val="24"/>
          <w:szCs w:val="24"/>
        </w:rPr>
        <w:t>在生物滤池的滤料上可以发生有机物的代谢过程，还可将生物转化过程产生的剩余污泥和进水带入的悬浮物进一步截流在滤池内，起到生物过滤的作用。所以在生物滤池工艺中不需要再设后沉池，节省了用地。</w:t>
      </w:r>
    </w:p>
    <w:p>
      <w:pPr>
        <w:spacing w:line="360" w:lineRule="auto"/>
        <w:ind w:firstLine="480" w:firstLineChars="200"/>
        <w:jc w:val="left"/>
        <w:rPr>
          <w:color w:val="auto"/>
          <w:sz w:val="24"/>
          <w:szCs w:val="24"/>
        </w:rPr>
      </w:pPr>
      <w:r>
        <w:rPr>
          <w:rFonts w:hint="eastAsia"/>
          <w:color w:val="auto"/>
          <w:sz w:val="24"/>
          <w:szCs w:val="24"/>
        </w:rPr>
        <w:t>曝气生物滤池自从80 年代初出现在欧洲以来，发展势头很快。生物滤池工艺具有以下特点：好氧生物固定床，截留悬浮物，可同时进行硝化和反硝化反应并有过滤的功能。目前，常见的曝气生物滤池工艺有多种技术专利，其原理虽然基本相同，又各有特点。在所用滤料、水流方向(进水与进气同向流、逆向流)以及单个滤池功能(硝化反硝化在同一滤池中进行与硝化反硝化在不同滤池中进行)上均各有千秋。</w:t>
      </w:r>
    </w:p>
    <w:p>
      <w:pPr>
        <w:spacing w:line="360" w:lineRule="auto"/>
        <w:ind w:firstLine="482" w:firstLineChars="200"/>
        <w:jc w:val="left"/>
        <w:rPr>
          <w:b/>
          <w:color w:val="auto"/>
          <w:sz w:val="24"/>
          <w:szCs w:val="24"/>
        </w:rPr>
      </w:pPr>
      <w:r>
        <w:rPr>
          <w:rFonts w:hint="eastAsia"/>
          <w:b/>
          <w:color w:val="auto"/>
          <w:sz w:val="24"/>
          <w:szCs w:val="24"/>
        </w:rPr>
        <w:t>3、填料生物膜(MBBR/FBBR)工艺</w:t>
      </w:r>
    </w:p>
    <w:p>
      <w:pPr>
        <w:spacing w:line="360" w:lineRule="auto"/>
        <w:ind w:firstLine="480" w:firstLineChars="200"/>
        <w:jc w:val="left"/>
        <w:rPr>
          <w:color w:val="auto"/>
          <w:sz w:val="24"/>
          <w:szCs w:val="24"/>
        </w:rPr>
      </w:pPr>
      <w:r>
        <w:rPr>
          <w:rFonts w:hint="eastAsia"/>
          <w:color w:val="auto"/>
          <w:sz w:val="24"/>
          <w:szCs w:val="24"/>
        </w:rPr>
        <w:t>填料生物膜工艺（MBBR/FBBR）是在生物反应池中增加可挂膜的填料，反应器中的填料具有较高的比表面积，生物膜在填料内外表面都能大量生长。通过投加填料于缺氧或好氧反应器中。在缺氧、好氧反应器中，通过曝气或搅拌的作用，推动污水与填料的充分接触；其主要原理是污水连续经过装有填料的反应器时，在填料上形成生物膜，生物膜上微生物大量繁殖，起到净化水质的作用。按照填料的类型可分为流化填料（MBBR）和固定填料（FBBR）两类。</w:t>
      </w:r>
    </w:p>
    <w:p>
      <w:pPr>
        <w:spacing w:line="360" w:lineRule="auto"/>
        <w:jc w:val="center"/>
        <w:rPr>
          <w:color w:val="auto"/>
          <w:sz w:val="24"/>
          <w:szCs w:val="24"/>
        </w:rPr>
      </w:pPr>
      <w:r>
        <w:rPr>
          <w:rFonts w:hint="eastAsia"/>
          <w:color w:val="auto"/>
          <w:sz w:val="24"/>
          <w:szCs w:val="24"/>
        </w:rPr>
        <w:drawing>
          <wp:inline distT="0" distB="0" distL="0" distR="0">
            <wp:extent cx="3376930" cy="1979930"/>
            <wp:effectExtent l="0" t="0" r="6350" b="1270"/>
            <wp:docPr id="4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7"/>
                    <pic:cNvPicPr>
                      <a:picLocks noChangeAspect="1" noChangeArrowheads="1"/>
                    </pic:cNvPicPr>
                  </pic:nvPicPr>
                  <pic:blipFill>
                    <a:blip r:embed="rId25" cstate="print"/>
                    <a:srcRect/>
                    <a:stretch>
                      <a:fillRect/>
                    </a:stretch>
                  </pic:blipFill>
                  <pic:spPr>
                    <a:xfrm>
                      <a:off x="0" y="0"/>
                      <a:ext cx="3376930" cy="1979930"/>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图3-5-2   流化填料生物膜（MBBR）工艺示意图</w:t>
      </w:r>
    </w:p>
    <w:p>
      <w:pPr>
        <w:spacing w:line="360" w:lineRule="auto"/>
        <w:jc w:val="center"/>
        <w:rPr>
          <w:color w:val="auto"/>
          <w:sz w:val="24"/>
          <w:szCs w:val="24"/>
        </w:rPr>
      </w:pPr>
      <w:r>
        <w:rPr>
          <w:color w:val="auto"/>
          <w:sz w:val="24"/>
          <w:szCs w:val="24"/>
        </w:rPr>
        <w:drawing>
          <wp:inline distT="0" distB="0" distL="0" distR="0">
            <wp:extent cx="3206750" cy="2232025"/>
            <wp:effectExtent l="0" t="0" r="8890" b="8255"/>
            <wp:docPr id="4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0"/>
                    <pic:cNvPicPr>
                      <a:picLocks noChangeAspect="1" noChangeArrowheads="1"/>
                    </pic:cNvPicPr>
                  </pic:nvPicPr>
                  <pic:blipFill>
                    <a:blip r:embed="rId26" cstate="print"/>
                    <a:srcRect/>
                    <a:stretch>
                      <a:fillRect/>
                    </a:stretch>
                  </pic:blipFill>
                  <pic:spPr>
                    <a:xfrm>
                      <a:off x="0" y="0"/>
                      <a:ext cx="3206750" cy="2232025"/>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图3-5-3   固定床生物膜(IFAS-FBBR)工艺原理图</w:t>
      </w:r>
    </w:p>
    <w:p>
      <w:pPr>
        <w:spacing w:line="360" w:lineRule="auto"/>
        <w:ind w:firstLine="480" w:firstLineChars="200"/>
        <w:jc w:val="left"/>
        <w:rPr>
          <w:color w:val="auto"/>
          <w:sz w:val="24"/>
          <w:szCs w:val="24"/>
        </w:rPr>
      </w:pPr>
      <w:r>
        <w:rPr>
          <w:rFonts w:hint="eastAsia"/>
          <w:color w:val="auto"/>
          <w:sz w:val="24"/>
          <w:szCs w:val="24"/>
        </w:rPr>
        <w:t>填料生物膜反应器采用的填料多为聚乙烯、聚丙烯塑料等；填料的容积表面积大，可达200～600m</w:t>
      </w:r>
      <w:r>
        <w:rPr>
          <w:rFonts w:hint="eastAsia"/>
          <w:color w:val="auto"/>
          <w:sz w:val="24"/>
          <w:szCs w:val="24"/>
          <w:vertAlign w:val="superscript"/>
        </w:rPr>
        <w:t>2</w:t>
      </w:r>
      <w:r>
        <w:rPr>
          <w:rFonts w:hint="eastAsia"/>
          <w:color w:val="auto"/>
          <w:sz w:val="24"/>
          <w:szCs w:val="24"/>
        </w:rPr>
        <w:t>/m</w:t>
      </w:r>
      <w:r>
        <w:rPr>
          <w:rFonts w:hint="eastAsia"/>
          <w:color w:val="auto"/>
          <w:sz w:val="24"/>
          <w:szCs w:val="24"/>
          <w:vertAlign w:val="superscript"/>
        </w:rPr>
        <w:t>3</w:t>
      </w:r>
      <w:r>
        <w:rPr>
          <w:rFonts w:hint="eastAsia"/>
          <w:color w:val="auto"/>
          <w:sz w:val="24"/>
          <w:szCs w:val="24"/>
        </w:rPr>
        <w:t>。</w:t>
      </w:r>
    </w:p>
    <w:p>
      <w:pPr>
        <w:spacing w:line="360" w:lineRule="auto"/>
        <w:ind w:firstLine="480" w:firstLineChars="200"/>
        <w:jc w:val="left"/>
        <w:rPr>
          <w:color w:val="auto"/>
          <w:sz w:val="24"/>
          <w:szCs w:val="24"/>
        </w:rPr>
      </w:pPr>
      <w:r>
        <w:rPr>
          <w:rFonts w:hint="eastAsia"/>
          <w:color w:val="auto"/>
          <w:sz w:val="24"/>
          <w:szCs w:val="24"/>
        </w:rPr>
        <w:t>生物填料具有诸多的特点：利于细胞分离；反应器中可达到较高的细胞浓度；通过优化载体体积特征，可以达到微生物最大活性；提供了在同一反应器中同时固定不同种微生物的可能性；处理效率高，耐冲击负荷，体积小，便于运行管理，困扰活性污泥法的污泥膨胀问题得以消除，可以维持较高的污泥龄，具有较高微生物量，水力停留时间短等。由于微生物被固定在载体上，硝化菌等增殖速度慢的微生物也可能生长繁殖。生物膜的生物相相当丰富，形成了由细菌、真菌等一系列微生物群体所组成的较为稳定的生态体系。</w:t>
      </w:r>
    </w:p>
    <w:p>
      <w:pPr>
        <w:spacing w:line="360" w:lineRule="auto"/>
        <w:ind w:firstLine="480" w:firstLineChars="200"/>
        <w:rPr>
          <w:color w:val="auto"/>
          <w:sz w:val="24"/>
          <w:szCs w:val="24"/>
        </w:rPr>
      </w:pPr>
      <w:r>
        <w:rPr>
          <w:rFonts w:hint="eastAsia"/>
          <w:color w:val="auto"/>
          <w:sz w:val="24"/>
          <w:szCs w:val="24"/>
        </w:rPr>
        <w:t>针对本工程实际情况，AAO 工艺、曝气生物滤池工艺和填料生物膜工艺均适合于本工程的二级处理。由于油新水质净化厂对节地的需求较低，而对运行维护的便利性需求较高，因此采用</w:t>
      </w:r>
      <w:r>
        <w:rPr>
          <w:rFonts w:hint="eastAsia"/>
          <w:b/>
          <w:color w:val="auto"/>
          <w:sz w:val="24"/>
          <w:szCs w:val="24"/>
        </w:rPr>
        <w:t>倒置AAO 工艺</w:t>
      </w:r>
      <w:r>
        <w:rPr>
          <w:rFonts w:hint="eastAsia"/>
          <w:color w:val="auto"/>
          <w:sz w:val="24"/>
          <w:szCs w:val="24"/>
        </w:rPr>
        <w:t>。</w:t>
      </w:r>
    </w:p>
    <w:p>
      <w:pPr>
        <w:pStyle w:val="4"/>
        <w:rPr>
          <w:color w:val="auto"/>
        </w:rPr>
      </w:pPr>
      <w:bookmarkStart w:id="91" w:name="_Toc26276822"/>
      <w:r>
        <w:rPr>
          <w:rFonts w:hint="eastAsia"/>
          <w:color w:val="auto"/>
        </w:rPr>
        <w:t>3.5.3废水深度处理工艺的论证</w:t>
      </w:r>
      <w:bookmarkEnd w:id="91"/>
    </w:p>
    <w:p>
      <w:pPr>
        <w:spacing w:line="360" w:lineRule="auto"/>
        <w:ind w:firstLine="480" w:firstLineChars="200"/>
        <w:jc w:val="left"/>
        <w:rPr>
          <w:color w:val="auto"/>
          <w:sz w:val="24"/>
          <w:szCs w:val="24"/>
        </w:rPr>
      </w:pPr>
      <w:r>
        <w:rPr>
          <w:rFonts w:hint="eastAsia"/>
          <w:color w:val="auto"/>
          <w:sz w:val="24"/>
          <w:szCs w:val="24"/>
        </w:rPr>
        <w:t>由于本工程出水标准较高，单一生物处理已难以满足出水水质要求，必须采用生物处理和物理化学处理相结合的办法对项目污水进行处理，以满足出水要求。具体分析如下：</w:t>
      </w:r>
    </w:p>
    <w:p>
      <w:pPr>
        <w:pStyle w:val="5"/>
        <w:rPr>
          <w:color w:val="auto"/>
        </w:rPr>
      </w:pPr>
      <w:r>
        <w:rPr>
          <w:rFonts w:hint="eastAsia"/>
          <w:color w:val="auto"/>
        </w:rPr>
        <w:t>3.5.3.1深度生物处理工艺</w:t>
      </w:r>
    </w:p>
    <w:p>
      <w:pPr>
        <w:spacing w:line="360" w:lineRule="auto"/>
        <w:ind w:firstLine="482" w:firstLineChars="200"/>
        <w:jc w:val="left"/>
        <w:rPr>
          <w:b/>
          <w:color w:val="auto"/>
          <w:sz w:val="24"/>
          <w:szCs w:val="24"/>
        </w:rPr>
      </w:pPr>
      <w:r>
        <w:rPr>
          <w:rFonts w:hint="eastAsia"/>
          <w:b/>
          <w:color w:val="auto"/>
          <w:sz w:val="24"/>
          <w:szCs w:val="24"/>
        </w:rPr>
        <w:t>1、曝气生物滤池工艺</w:t>
      </w:r>
    </w:p>
    <w:p>
      <w:pPr>
        <w:spacing w:line="360" w:lineRule="auto"/>
        <w:ind w:firstLine="480" w:firstLineChars="200"/>
        <w:jc w:val="left"/>
        <w:rPr>
          <w:color w:val="auto"/>
          <w:sz w:val="24"/>
          <w:szCs w:val="24"/>
        </w:rPr>
      </w:pPr>
      <w:r>
        <w:rPr>
          <w:rFonts w:hint="eastAsia"/>
          <w:color w:val="auto"/>
          <w:sz w:val="24"/>
          <w:szCs w:val="24"/>
        </w:rPr>
        <w:t>曝气生物滤池自从80 年代初出现在欧洲以来，得到较多的应用。该工艺具有以下特点：占地少、好氧生物固定床、截留悬浮物、可同时进行硝化和反硝化反应并有过滤的功能、避免活性污泥法中污泥沉淀的问题。</w:t>
      </w:r>
    </w:p>
    <w:p>
      <w:pPr>
        <w:spacing w:line="360" w:lineRule="auto"/>
        <w:ind w:firstLine="480" w:firstLineChars="200"/>
        <w:jc w:val="left"/>
        <w:rPr>
          <w:rFonts w:hint="eastAsia"/>
          <w:color w:val="auto"/>
          <w:sz w:val="24"/>
          <w:szCs w:val="24"/>
        </w:rPr>
      </w:pPr>
      <w:r>
        <w:rPr>
          <w:rFonts w:hint="eastAsia"/>
          <w:color w:val="auto"/>
          <w:sz w:val="24"/>
          <w:szCs w:val="24"/>
        </w:rPr>
        <w:t>常见的几种曝气生物滤池工艺流程如下图。图中C 表示去除有机物，N 表示氨氮硝化，DN 表示反硝化。</w:t>
      </w:r>
    </w:p>
    <w:p>
      <w:pPr>
        <w:spacing w:line="360" w:lineRule="auto"/>
        <w:ind w:firstLine="480" w:firstLineChars="200"/>
        <w:jc w:val="left"/>
        <w:rPr>
          <w:rFonts w:hint="eastAsia"/>
          <w:color w:val="auto"/>
          <w:sz w:val="24"/>
          <w:szCs w:val="24"/>
        </w:rPr>
      </w:pPr>
    </w:p>
    <w:p>
      <w:pPr>
        <w:spacing w:line="360" w:lineRule="auto"/>
        <w:jc w:val="center"/>
        <w:rPr>
          <w:color w:val="auto"/>
          <w:sz w:val="24"/>
          <w:szCs w:val="24"/>
        </w:rPr>
      </w:pPr>
      <w:r>
        <w:rPr>
          <w:rFonts w:hint="eastAsia"/>
          <w:color w:val="auto"/>
          <w:sz w:val="24"/>
          <w:szCs w:val="24"/>
        </w:rPr>
        <w:drawing>
          <wp:inline distT="0" distB="0" distL="0" distR="0">
            <wp:extent cx="2282190" cy="1044575"/>
            <wp:effectExtent l="19050" t="0" r="3600" b="0"/>
            <wp:docPr id="5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2"/>
                    <pic:cNvPicPr>
                      <a:picLocks noChangeAspect="1" noChangeArrowheads="1"/>
                    </pic:cNvPicPr>
                  </pic:nvPicPr>
                  <pic:blipFill>
                    <a:blip r:embed="rId27" cstate="print"/>
                    <a:srcRect/>
                    <a:stretch>
                      <a:fillRect/>
                    </a:stretch>
                  </pic:blipFill>
                  <pic:spPr>
                    <a:xfrm>
                      <a:off x="0" y="0"/>
                      <a:ext cx="2282400" cy="1044594"/>
                    </a:xfrm>
                    <a:prstGeom prst="rect">
                      <a:avLst/>
                    </a:prstGeom>
                    <a:noFill/>
                    <a:ln w="9525">
                      <a:noFill/>
                      <a:miter lim="800000"/>
                      <a:headEnd/>
                      <a:tailEnd/>
                    </a:ln>
                  </pic:spPr>
                </pic:pic>
              </a:graphicData>
            </a:graphic>
          </wp:inline>
        </w:drawing>
      </w:r>
      <w:r>
        <w:rPr>
          <w:rFonts w:hint="eastAsia"/>
          <w:color w:val="auto"/>
          <w:sz w:val="24"/>
          <w:szCs w:val="24"/>
        </w:rPr>
        <w:drawing>
          <wp:inline distT="0" distB="0" distL="0" distR="0">
            <wp:extent cx="2638425" cy="862965"/>
            <wp:effectExtent l="19050" t="0" r="9150" b="0"/>
            <wp:docPr id="5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5"/>
                    <pic:cNvPicPr>
                      <a:picLocks noChangeAspect="1" noChangeArrowheads="1"/>
                    </pic:cNvPicPr>
                  </pic:nvPicPr>
                  <pic:blipFill>
                    <a:blip r:embed="rId28" cstate="print"/>
                    <a:srcRect/>
                    <a:stretch>
                      <a:fillRect/>
                    </a:stretch>
                  </pic:blipFill>
                  <pic:spPr>
                    <a:xfrm>
                      <a:off x="0" y="0"/>
                      <a:ext cx="2638800" cy="863062"/>
                    </a:xfrm>
                    <a:prstGeom prst="rect">
                      <a:avLst/>
                    </a:prstGeom>
                    <a:noFill/>
                    <a:ln w="9525">
                      <a:noFill/>
                      <a:miter lim="800000"/>
                      <a:headEnd/>
                      <a:tailEnd/>
                    </a:ln>
                  </pic:spPr>
                </pic:pic>
              </a:graphicData>
            </a:graphic>
          </wp:inline>
        </w:drawing>
      </w:r>
    </w:p>
    <w:p>
      <w:pPr>
        <w:spacing w:line="360" w:lineRule="auto"/>
        <w:ind w:firstLine="480"/>
        <w:jc w:val="center"/>
        <w:rPr>
          <w:b/>
          <w:color w:val="auto"/>
          <w:sz w:val="24"/>
          <w:szCs w:val="24"/>
        </w:rPr>
      </w:pPr>
      <w:r>
        <w:rPr>
          <w:rFonts w:hint="eastAsia"/>
          <w:b/>
          <w:color w:val="auto"/>
          <w:sz w:val="24"/>
          <w:szCs w:val="24"/>
        </w:rPr>
        <w:t>曝气生物滤池流程之一         曝气生物滤池流程之二</w:t>
      </w:r>
    </w:p>
    <w:p>
      <w:pPr>
        <w:spacing w:line="360" w:lineRule="auto"/>
        <w:ind w:firstLine="480"/>
        <w:jc w:val="center"/>
        <w:rPr>
          <w:b/>
          <w:color w:val="auto"/>
          <w:sz w:val="24"/>
          <w:szCs w:val="24"/>
        </w:rPr>
      </w:pPr>
      <w:r>
        <w:rPr>
          <w:rFonts w:hint="eastAsia"/>
          <w:b/>
          <w:color w:val="auto"/>
          <w:sz w:val="24"/>
          <w:szCs w:val="24"/>
        </w:rPr>
        <w:drawing>
          <wp:inline distT="0" distB="0" distL="0" distR="0">
            <wp:extent cx="2375535" cy="797560"/>
            <wp:effectExtent l="19050" t="0" r="5250" b="0"/>
            <wp:docPr id="5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8"/>
                    <pic:cNvPicPr>
                      <a:picLocks noChangeAspect="1" noChangeArrowheads="1"/>
                    </pic:cNvPicPr>
                  </pic:nvPicPr>
                  <pic:blipFill>
                    <a:blip r:embed="rId29" cstate="print"/>
                    <a:srcRect/>
                    <a:stretch>
                      <a:fillRect/>
                    </a:stretch>
                  </pic:blipFill>
                  <pic:spPr>
                    <a:xfrm>
                      <a:off x="0" y="0"/>
                      <a:ext cx="2376000" cy="797709"/>
                    </a:xfrm>
                    <a:prstGeom prst="rect">
                      <a:avLst/>
                    </a:prstGeom>
                    <a:noFill/>
                    <a:ln w="9525">
                      <a:noFill/>
                      <a:miter lim="800000"/>
                      <a:headEnd/>
                      <a:tailEnd/>
                    </a:ln>
                  </pic:spPr>
                </pic:pic>
              </a:graphicData>
            </a:graphic>
          </wp:inline>
        </w:drawing>
      </w:r>
      <w:r>
        <w:rPr>
          <w:rFonts w:hint="eastAsia"/>
          <w:b/>
          <w:color w:val="auto"/>
          <w:sz w:val="24"/>
          <w:szCs w:val="24"/>
        </w:rPr>
        <w:drawing>
          <wp:inline distT="0" distB="0" distL="0" distR="0">
            <wp:extent cx="2519680" cy="831850"/>
            <wp:effectExtent l="19050" t="0" r="0" b="0"/>
            <wp:docPr id="5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1"/>
                    <pic:cNvPicPr>
                      <a:picLocks noChangeAspect="1" noChangeArrowheads="1"/>
                    </pic:cNvPicPr>
                  </pic:nvPicPr>
                  <pic:blipFill>
                    <a:blip r:embed="rId30" cstate="print"/>
                    <a:srcRect/>
                    <a:stretch>
                      <a:fillRect/>
                    </a:stretch>
                  </pic:blipFill>
                  <pic:spPr>
                    <a:xfrm>
                      <a:off x="0" y="0"/>
                      <a:ext cx="2520000" cy="832099"/>
                    </a:xfrm>
                    <a:prstGeom prst="rect">
                      <a:avLst/>
                    </a:prstGeom>
                    <a:noFill/>
                    <a:ln w="9525">
                      <a:noFill/>
                      <a:miter lim="800000"/>
                      <a:headEnd/>
                      <a:tailEnd/>
                    </a:ln>
                  </pic:spPr>
                </pic:pic>
              </a:graphicData>
            </a:graphic>
          </wp:inline>
        </w:drawing>
      </w:r>
    </w:p>
    <w:p>
      <w:pPr>
        <w:spacing w:line="360" w:lineRule="auto"/>
        <w:ind w:firstLine="480"/>
        <w:jc w:val="center"/>
        <w:rPr>
          <w:b/>
          <w:color w:val="auto"/>
          <w:sz w:val="24"/>
          <w:szCs w:val="24"/>
        </w:rPr>
      </w:pPr>
      <w:r>
        <w:rPr>
          <w:rFonts w:hint="eastAsia"/>
          <w:b/>
          <w:color w:val="auto"/>
          <w:sz w:val="24"/>
          <w:szCs w:val="24"/>
        </w:rPr>
        <w:t xml:space="preserve">     曝气生物滤池流程之三         曝气生物滤池流程之四</w:t>
      </w:r>
    </w:p>
    <w:p>
      <w:pPr>
        <w:spacing w:line="360" w:lineRule="auto"/>
        <w:ind w:firstLine="480" w:firstLineChars="200"/>
        <w:jc w:val="left"/>
        <w:rPr>
          <w:color w:val="auto"/>
          <w:sz w:val="24"/>
          <w:szCs w:val="24"/>
        </w:rPr>
      </w:pPr>
      <w:r>
        <w:rPr>
          <w:rFonts w:hint="eastAsia"/>
          <w:color w:val="auto"/>
          <w:sz w:val="24"/>
          <w:szCs w:val="24"/>
        </w:rPr>
        <w:t>流程一、二为出水无总氮要求，不需反硝化的处理流程；流程三、四为出水有总氮要求，需反硝化时的处理流程。</w:t>
      </w:r>
    </w:p>
    <w:p>
      <w:pPr>
        <w:spacing w:line="360" w:lineRule="auto"/>
        <w:ind w:firstLine="482" w:firstLineChars="200"/>
        <w:jc w:val="left"/>
        <w:rPr>
          <w:b/>
          <w:color w:val="auto"/>
          <w:sz w:val="24"/>
          <w:szCs w:val="24"/>
        </w:rPr>
      </w:pPr>
      <w:r>
        <w:rPr>
          <w:rFonts w:hint="eastAsia"/>
          <w:b/>
          <w:color w:val="auto"/>
          <w:sz w:val="24"/>
          <w:szCs w:val="24"/>
        </w:rPr>
        <w:t>2、MBBR 工艺</w:t>
      </w:r>
    </w:p>
    <w:p>
      <w:pPr>
        <w:spacing w:line="360" w:lineRule="auto"/>
        <w:ind w:firstLine="480" w:firstLineChars="200"/>
        <w:jc w:val="left"/>
        <w:rPr>
          <w:color w:val="auto"/>
          <w:sz w:val="24"/>
          <w:szCs w:val="24"/>
        </w:rPr>
      </w:pPr>
      <w:r>
        <w:rPr>
          <w:rFonts w:hint="eastAsia"/>
          <w:color w:val="auto"/>
          <w:sz w:val="24"/>
          <w:szCs w:val="24"/>
        </w:rPr>
        <w:t>MBBR 工艺是将活性污泥法与生物膜法相结合，将人工合成填料材料，悬浮或固定安装在曝气池中，进行除磷脱氮，利用系统中的活性污泥来除碳、除磷和反硝化脱氮，利用系统中的生物膜来进行硝化。</w:t>
      </w:r>
    </w:p>
    <w:p>
      <w:pPr>
        <w:spacing w:line="360" w:lineRule="auto"/>
        <w:ind w:firstLine="480" w:firstLineChars="200"/>
        <w:jc w:val="left"/>
        <w:rPr>
          <w:color w:val="auto"/>
          <w:sz w:val="24"/>
          <w:szCs w:val="24"/>
        </w:rPr>
      </w:pPr>
      <w:r>
        <w:rPr>
          <w:rFonts w:hint="eastAsia"/>
          <w:color w:val="auto"/>
          <w:sz w:val="24"/>
          <w:szCs w:val="24"/>
        </w:rPr>
        <w:t>生化反应池采用“厌氧A－缺氧A－好氧O”的工艺布置形式。在厌氧段，聚磷菌进行厌氧释磷，在缺氧段，反硝化菌优先利用进水有机物为碳源进行反硝化，达到脱氮的目的，在好氧段完成有机物的降解，硝化和吸磷过程。在好氧段后不投加的悬浮填料在好氧和低有机物的环境条件下可以富集大量的硝化菌，强化了工艺的硝化功能。使活性污泥和生物膜系统可以发挥出各自的优势，实现了功能上的合理分工。由于好氧池后部的悬浮填料富集大量的硝化菌，使工艺中的硝化菌始终处于良好的生长环境中，不参与活性污泥的回流与排泥，从而使新工艺活性污泥的泥龄可以根据除磷的需要进行控制。因此投料A/A/O 工艺很好的解决了泥龄矛盾。</w:t>
      </w:r>
    </w:p>
    <w:p>
      <w:pPr>
        <w:spacing w:line="360" w:lineRule="auto"/>
        <w:ind w:firstLine="480" w:firstLineChars="200"/>
        <w:jc w:val="left"/>
        <w:rPr>
          <w:color w:val="auto"/>
          <w:sz w:val="24"/>
          <w:szCs w:val="24"/>
        </w:rPr>
      </w:pPr>
      <w:r>
        <w:rPr>
          <w:rFonts w:hint="eastAsia"/>
          <w:color w:val="auto"/>
          <w:sz w:val="24"/>
          <w:szCs w:val="24"/>
        </w:rPr>
        <w:t>曝气生物滤池工艺和MBBR 工艺均属于生物膜法。相比较常规活性污泥法，生物膜法具有更高的硝化脱氮效率。曝气生物滤池可利用厂区用地建设，MBBR 则通过在AAO 池内增加填料，悬浮或固定在曝气池内，但MBBR工艺受制于填料的质量，运行初期可获得较好的处理效果，但随着时间推移，填料存在流失、破损的风险，处理效果随之下降，不如曝气生物滤池处理效果稳定，且曝气生物滤池作为深度处理单元可提升SS 的去除效果，因此本项目采用</w:t>
      </w:r>
      <w:r>
        <w:rPr>
          <w:rFonts w:hint="eastAsia"/>
          <w:b/>
          <w:color w:val="auto"/>
          <w:sz w:val="24"/>
          <w:szCs w:val="24"/>
        </w:rPr>
        <w:t>曝气生物滤池</w:t>
      </w:r>
      <w:r>
        <w:rPr>
          <w:rFonts w:hint="eastAsia"/>
          <w:color w:val="auto"/>
          <w:sz w:val="24"/>
          <w:szCs w:val="24"/>
        </w:rPr>
        <w:t>作为深度生物处理工艺。</w:t>
      </w:r>
    </w:p>
    <w:p>
      <w:pPr>
        <w:pStyle w:val="5"/>
        <w:rPr>
          <w:color w:val="auto"/>
        </w:rPr>
      </w:pPr>
      <w:r>
        <w:rPr>
          <w:rFonts w:hint="eastAsia"/>
          <w:color w:val="auto"/>
        </w:rPr>
        <w:t>3.5.3.2混合、絮凝、沉淀工艺</w:t>
      </w:r>
    </w:p>
    <w:p>
      <w:pPr>
        <w:spacing w:line="360" w:lineRule="auto"/>
        <w:ind w:firstLine="480" w:firstLineChars="200"/>
        <w:jc w:val="left"/>
        <w:rPr>
          <w:color w:val="auto"/>
          <w:sz w:val="24"/>
          <w:szCs w:val="24"/>
        </w:rPr>
      </w:pPr>
      <w:r>
        <w:rPr>
          <w:rFonts w:hint="eastAsia"/>
          <w:color w:val="auto"/>
          <w:sz w:val="24"/>
          <w:szCs w:val="24"/>
        </w:rPr>
        <w:t>混合、絮凝和沉淀的目的是去除水中悬浮物，以使出水达到过滤的水质要求。根据进水水质特点和水质净化厂规模，结合目前国内新出现的工艺形式，本工程混合、絮凝、沉淀的工艺形式主要在机械混合折板絮凝平流沉淀池与高效沉淀池、微絮凝过滤这三种工艺形式进行比较选择。</w:t>
      </w:r>
    </w:p>
    <w:p>
      <w:pPr>
        <w:spacing w:line="360" w:lineRule="auto"/>
        <w:ind w:firstLine="482" w:firstLineChars="200"/>
        <w:jc w:val="left"/>
        <w:rPr>
          <w:b/>
          <w:color w:val="auto"/>
          <w:sz w:val="24"/>
          <w:szCs w:val="24"/>
        </w:rPr>
      </w:pPr>
      <w:r>
        <w:rPr>
          <w:rFonts w:hint="eastAsia"/>
          <w:b/>
          <w:color w:val="auto"/>
          <w:sz w:val="24"/>
          <w:szCs w:val="24"/>
        </w:rPr>
        <w:t>1、 机械混合折板絮凝平流沉淀池工艺</w:t>
      </w:r>
    </w:p>
    <w:p>
      <w:pPr>
        <w:spacing w:line="360" w:lineRule="auto"/>
        <w:ind w:firstLine="480" w:firstLineChars="200"/>
        <w:jc w:val="left"/>
        <w:rPr>
          <w:color w:val="auto"/>
          <w:sz w:val="24"/>
          <w:szCs w:val="24"/>
        </w:rPr>
      </w:pPr>
      <w:r>
        <w:rPr>
          <w:rFonts w:hint="eastAsia"/>
          <w:color w:val="auto"/>
          <w:sz w:val="24"/>
          <w:szCs w:val="24"/>
        </w:rPr>
        <w:t>本工艺以机械混合、折板絮凝和静态沉淀为特征，对去除泥性颗粒具有良好的效果。该工艺池型结构简单，池深较浅，操作管理方便，对进水水质变化适应性较强，处理效果稳定，在国内已得到了很好的应用，且在国内自来水厂中已有广泛成功的应用实例，但该工艺占用土地面积较大。</w:t>
      </w:r>
    </w:p>
    <w:p>
      <w:pPr>
        <w:spacing w:line="360" w:lineRule="auto"/>
        <w:ind w:firstLine="482" w:firstLineChars="200"/>
        <w:jc w:val="left"/>
        <w:rPr>
          <w:b/>
          <w:color w:val="auto"/>
          <w:sz w:val="24"/>
          <w:szCs w:val="24"/>
        </w:rPr>
      </w:pPr>
      <w:r>
        <w:rPr>
          <w:rFonts w:hint="eastAsia"/>
          <w:b/>
          <w:color w:val="auto"/>
          <w:sz w:val="24"/>
          <w:szCs w:val="24"/>
        </w:rPr>
        <w:t>2、高效沉淀池工艺</w:t>
      </w:r>
    </w:p>
    <w:p>
      <w:pPr>
        <w:spacing w:line="360" w:lineRule="auto"/>
        <w:ind w:firstLine="480" w:firstLineChars="200"/>
        <w:jc w:val="left"/>
        <w:rPr>
          <w:color w:val="auto"/>
          <w:sz w:val="24"/>
          <w:szCs w:val="24"/>
        </w:rPr>
      </w:pPr>
      <w:r>
        <w:rPr>
          <w:rFonts w:hint="eastAsia"/>
          <w:color w:val="auto"/>
          <w:sz w:val="24"/>
          <w:szCs w:val="24"/>
        </w:rPr>
        <w:t>高效沉淀池是近年来由国外引进，在国内部分地区（如上海、乌鲁木齐）开始应用的工艺。其集混合、絮凝、沉淀和污泥浓缩等功能于一体，非常适合场地条件紧张的水质净化厂和水质净化厂改造工程。由于采用了投加助凝剂和污泥循环回流措施，可提高絮凝效果，大幅度地改善污泥沉降性能，为此泥水分离区的上升流速可达20m/h 以上，同时，由于沉淀区域具有较大的浓缩空间，其排泥水含固浓度可高达3%以上。因此，该工艺具有处理负荷高、占地少和排泥水可直接脱水的特点，同时又可以省去浓缩池的建设用地，由此可大大减少沉淀池和排泥水处理中污泥浓缩池的占地面积。</w:t>
      </w:r>
    </w:p>
    <w:p>
      <w:pPr>
        <w:spacing w:line="360" w:lineRule="auto"/>
        <w:ind w:firstLine="482" w:firstLineChars="200"/>
        <w:jc w:val="left"/>
        <w:rPr>
          <w:b/>
          <w:color w:val="auto"/>
          <w:sz w:val="24"/>
          <w:szCs w:val="24"/>
        </w:rPr>
      </w:pPr>
      <w:r>
        <w:rPr>
          <w:rFonts w:hint="eastAsia"/>
          <w:b/>
          <w:color w:val="auto"/>
          <w:sz w:val="24"/>
          <w:szCs w:val="24"/>
        </w:rPr>
        <w:t>3、微絮凝过滤</w:t>
      </w:r>
    </w:p>
    <w:p>
      <w:pPr>
        <w:spacing w:line="360" w:lineRule="auto"/>
        <w:ind w:firstLine="480" w:firstLineChars="200"/>
        <w:jc w:val="left"/>
        <w:rPr>
          <w:color w:val="auto"/>
          <w:sz w:val="24"/>
          <w:szCs w:val="24"/>
        </w:rPr>
      </w:pPr>
      <w:r>
        <w:rPr>
          <w:rFonts w:hint="eastAsia"/>
          <w:color w:val="auto"/>
          <w:sz w:val="24"/>
          <w:szCs w:val="24"/>
        </w:rPr>
        <w:t>滤池前设一简易微絮凝池，原水加药混合后先经微絮凝池，形成粒径相近的微絮粒后（粒径大致在40~60μｍ左右）即刻进入滤池过滤，这种过滤方式称“微絮凝过滤”。过滤机理为：通过脱稳颗粒或微絮粒与滤料的充分碰撞接触和粘附，被滤层截留下来，滤料也是接触凝聚介质。之所以称为“微絮凝池”，系指絮凝条件和要求不同于一般絮凝池。前者要求形成的絮凝体尺寸较小，便于深入滤层深处以提高滤层含污能力；后者要求絮凝体尺寸愈大愈好，以便于在沉淀池内下沉。故微絮凝时间一般较短，通常在几分钟之内。其特点是：进水SS 值应小于30mg/L，一般在20mg/L左右，高SS 值的进水会造成滤池反冲洗过于频繁，产水量大大降低。</w:t>
      </w:r>
    </w:p>
    <w:p>
      <w:pPr>
        <w:spacing w:line="360" w:lineRule="auto"/>
        <w:ind w:firstLine="480" w:firstLineChars="200"/>
        <w:jc w:val="left"/>
        <w:rPr>
          <w:color w:val="auto"/>
          <w:sz w:val="24"/>
          <w:szCs w:val="24"/>
        </w:rPr>
      </w:pPr>
      <w:r>
        <w:rPr>
          <w:rFonts w:hint="eastAsia"/>
          <w:color w:val="auto"/>
          <w:sz w:val="24"/>
          <w:szCs w:val="24"/>
        </w:rPr>
        <w:t>根据对三种工艺的特点分析及经济技术比较，折板絮凝平流沉淀池占地面积大，且排泥水含固率低，对污泥处理工艺带来较大影响。与折板絮凝平流沉淀池相比，高效沉淀池虽然具有占地较少和排泥水不须浓缩可直接脱水等特点，但其初期投资较大，机械设备多、控制管理复杂。微絮凝过滤工艺可完全省却沉淀池，适用于除磷要求不高加药量少的情况，可减少占地，节省投资，唯一的缺点是增加了过滤系统的负荷，但是可以通过增加滤池反洗频率来解决。考虑到本工程对SS 和TP 的去除要求高，故采用</w:t>
      </w:r>
      <w:r>
        <w:rPr>
          <w:rFonts w:hint="eastAsia"/>
          <w:b/>
          <w:color w:val="auto"/>
          <w:sz w:val="24"/>
          <w:szCs w:val="24"/>
        </w:rPr>
        <w:t>高效沉淀池</w:t>
      </w:r>
      <w:r>
        <w:rPr>
          <w:rFonts w:hint="eastAsia"/>
          <w:color w:val="auto"/>
          <w:sz w:val="24"/>
          <w:szCs w:val="24"/>
        </w:rPr>
        <w:t>作为深度处理混凝沉淀工艺。</w:t>
      </w:r>
    </w:p>
    <w:p>
      <w:pPr>
        <w:pStyle w:val="5"/>
        <w:rPr>
          <w:color w:val="auto"/>
        </w:rPr>
      </w:pPr>
      <w:r>
        <w:rPr>
          <w:rFonts w:hint="eastAsia"/>
          <w:color w:val="auto"/>
        </w:rPr>
        <w:t>3.5.3.3过滤工艺</w:t>
      </w:r>
    </w:p>
    <w:p>
      <w:pPr>
        <w:spacing w:line="360" w:lineRule="auto"/>
        <w:ind w:firstLine="480" w:firstLineChars="200"/>
        <w:jc w:val="left"/>
        <w:rPr>
          <w:color w:val="auto"/>
          <w:sz w:val="24"/>
          <w:szCs w:val="24"/>
        </w:rPr>
      </w:pPr>
      <w:r>
        <w:rPr>
          <w:rFonts w:hint="eastAsia"/>
          <w:color w:val="auto"/>
          <w:sz w:val="24"/>
          <w:szCs w:val="24"/>
        </w:rPr>
        <w:t>过滤工艺是保证出水水质的重要环节，而影响过滤处理效果的主要因素是滤料级配的选择以及为保证滤料清洁所采用的冲洗方式。过滤装置的类型很多，一般有普通快滤池、双阀滤池、无阀滤池和单阀滤池、虹吸滤池、移动冲洗罩滤池等形式，近年来，国外在这些传统过滤装置的基础上又发展形成了均质滤料滤池、转盘过滤、滤布滤池等，与普通滤池相比，具有土建造价低、施工简便、建设周期短、技术先进和处理效果稳定等特点，在国内外的工程实践中已逐步得到推广应用。以下针对我国使用较多的几种滤池进行介绍：</w:t>
      </w:r>
    </w:p>
    <w:p>
      <w:pPr>
        <w:spacing w:line="360" w:lineRule="auto"/>
        <w:ind w:firstLine="482" w:firstLineChars="200"/>
        <w:jc w:val="left"/>
        <w:rPr>
          <w:b/>
          <w:color w:val="auto"/>
          <w:sz w:val="24"/>
          <w:szCs w:val="24"/>
        </w:rPr>
      </w:pPr>
      <w:r>
        <w:rPr>
          <w:rFonts w:hint="eastAsia"/>
          <w:b/>
          <w:color w:val="auto"/>
          <w:sz w:val="24"/>
          <w:szCs w:val="24"/>
        </w:rPr>
        <w:t>1、均质滤料气水反冲快滤池（气水反冲洗滤池）</w:t>
      </w:r>
    </w:p>
    <w:p>
      <w:pPr>
        <w:spacing w:line="360" w:lineRule="auto"/>
        <w:ind w:firstLine="480" w:firstLineChars="200"/>
        <w:jc w:val="left"/>
        <w:rPr>
          <w:color w:val="auto"/>
          <w:sz w:val="24"/>
          <w:szCs w:val="24"/>
        </w:rPr>
      </w:pPr>
      <w:r>
        <w:rPr>
          <w:rFonts w:hint="eastAsia"/>
          <w:color w:val="auto"/>
          <w:sz w:val="24"/>
          <w:szCs w:val="24"/>
        </w:rPr>
        <w:t>该滤池型式采用粒径较为一致的石英砂作为过滤介质，粒径和滤料厚度都大于我们原来的级配滤料，使滤床的纳污能力强，滤后水质好，反冲洗周期长，反冲洗采用气、水联合冲洗，分为单气冲洗，由约55m</w:t>
      </w:r>
      <w:r>
        <w:rPr>
          <w:rFonts w:hint="eastAsia"/>
          <w:color w:val="auto"/>
          <w:sz w:val="24"/>
          <w:szCs w:val="24"/>
          <w:vertAlign w:val="superscript"/>
        </w:rPr>
        <w:t>3</w:t>
      </w:r>
      <w:r>
        <w:rPr>
          <w:rFonts w:hint="eastAsia"/>
          <w:color w:val="auto"/>
          <w:sz w:val="24"/>
          <w:szCs w:val="24"/>
        </w:rPr>
        <w:t>/m</w:t>
      </w:r>
      <w:r>
        <w:rPr>
          <w:rFonts w:hint="eastAsia"/>
          <w:color w:val="auto"/>
          <w:sz w:val="24"/>
          <w:szCs w:val="24"/>
          <w:vertAlign w:val="superscript"/>
        </w:rPr>
        <w:t>2</w:t>
      </w:r>
      <w:r>
        <w:rPr>
          <w:rFonts w:hint="eastAsia"/>
          <w:color w:val="auto"/>
          <w:sz w:val="24"/>
          <w:szCs w:val="24"/>
        </w:rPr>
        <w:t>·h 强度的空气，使砂层在不膨胀的情况下，全面沸腾擦洗，使整个滤池不可能产生积泥死角，然后气水同时冲洗，料层微膨胀，砂中污泥在气体擦洗的同时由小流量(约10m</w:t>
      </w:r>
      <w:r>
        <w:rPr>
          <w:rFonts w:hint="eastAsia"/>
          <w:color w:val="auto"/>
          <w:sz w:val="24"/>
          <w:szCs w:val="24"/>
          <w:vertAlign w:val="superscript"/>
        </w:rPr>
        <w:t>3</w:t>
      </w:r>
      <w:r>
        <w:rPr>
          <w:rFonts w:hint="eastAsia"/>
          <w:color w:val="auto"/>
          <w:sz w:val="24"/>
          <w:szCs w:val="24"/>
        </w:rPr>
        <w:t>/m</w:t>
      </w:r>
      <w:r>
        <w:rPr>
          <w:rFonts w:hint="eastAsia"/>
          <w:color w:val="auto"/>
          <w:sz w:val="24"/>
          <w:szCs w:val="24"/>
          <w:vertAlign w:val="superscript"/>
        </w:rPr>
        <w:t>2</w:t>
      </w:r>
      <w:r>
        <w:rPr>
          <w:rFonts w:hint="eastAsia"/>
          <w:color w:val="auto"/>
          <w:sz w:val="24"/>
          <w:szCs w:val="24"/>
        </w:rPr>
        <w:t>·h)的反冲水浮出滤层，后单独由约17m</w:t>
      </w:r>
      <w:r>
        <w:rPr>
          <w:rFonts w:hint="eastAsia"/>
          <w:color w:val="auto"/>
          <w:sz w:val="24"/>
          <w:szCs w:val="24"/>
          <w:vertAlign w:val="superscript"/>
        </w:rPr>
        <w:t>3</w:t>
      </w:r>
      <w:r>
        <w:rPr>
          <w:rFonts w:hint="eastAsia"/>
          <w:color w:val="auto"/>
          <w:sz w:val="24"/>
          <w:szCs w:val="24"/>
        </w:rPr>
        <w:t>/m</w:t>
      </w:r>
      <w:r>
        <w:rPr>
          <w:rFonts w:hint="eastAsia"/>
          <w:color w:val="auto"/>
          <w:sz w:val="24"/>
          <w:szCs w:val="24"/>
          <w:vertAlign w:val="superscript"/>
        </w:rPr>
        <w:t>2</w:t>
      </w:r>
      <w:r>
        <w:rPr>
          <w:rFonts w:hint="eastAsia"/>
          <w:color w:val="auto"/>
          <w:sz w:val="24"/>
          <w:szCs w:val="24"/>
        </w:rPr>
        <w:t>·h 强度的清水漂洗滤层至滤层彻底干净，最后采用减速过滤技术，在整个反冲洗过程中，由一股V 型槽流出的侧向水流将反冲洗表面浮渣冲向中央排水渠，布气布水采用长柄滤头。</w:t>
      </w:r>
    </w:p>
    <w:p>
      <w:pPr>
        <w:spacing w:line="360" w:lineRule="auto"/>
        <w:ind w:firstLine="482" w:firstLineChars="200"/>
        <w:jc w:val="left"/>
        <w:rPr>
          <w:b/>
          <w:color w:val="auto"/>
          <w:sz w:val="24"/>
          <w:szCs w:val="24"/>
        </w:rPr>
      </w:pPr>
      <w:r>
        <w:rPr>
          <w:rFonts w:hint="eastAsia"/>
          <w:b/>
          <w:color w:val="auto"/>
          <w:sz w:val="24"/>
          <w:szCs w:val="24"/>
        </w:rPr>
        <w:t>2、转盘过滤器</w:t>
      </w:r>
    </w:p>
    <w:p>
      <w:pPr>
        <w:spacing w:line="360" w:lineRule="auto"/>
        <w:ind w:firstLine="480" w:firstLineChars="200"/>
        <w:jc w:val="left"/>
        <w:rPr>
          <w:color w:val="auto"/>
          <w:sz w:val="24"/>
          <w:szCs w:val="24"/>
        </w:rPr>
      </w:pPr>
      <w:r>
        <w:rPr>
          <w:rFonts w:hint="eastAsia"/>
          <w:color w:val="auto"/>
          <w:sz w:val="24"/>
          <w:szCs w:val="24"/>
        </w:rPr>
        <w:t>转盘过滤器（DF）是由用于支撑滤网的两块垂直安装于中央给水管上的平行圆盘形成的一个个滤盘串联起来组成的废水过滤设备。滤前水通过中央给水渠进入转盘过滤器内，向外侧流动通过滤网。在正常操作条件下，DF的表面面积60%~70%浸没于水中，并根据水头损失的不同，以1~8.5r/min 转速不断旋转。DF 可采用间歇或连续反洗两种模式操作。当以连续反洗模式操作时，DF的滤盘在生产滤过水的同时进行反洗。在转动开始时，给水进入中央进水管并通过此管分配到各滤盘内，尽管转盘过滤器浸于水中，但水和小于滤网孔眼的颗粒则通过滤网进入出水收集槽内，大于滤网孔径的颗粒被截留在滤盘内。</w:t>
      </w:r>
    </w:p>
    <w:p>
      <w:pPr>
        <w:spacing w:line="360" w:lineRule="auto"/>
        <w:ind w:firstLine="482" w:firstLineChars="200"/>
        <w:jc w:val="left"/>
        <w:rPr>
          <w:b/>
          <w:color w:val="auto"/>
          <w:sz w:val="24"/>
          <w:szCs w:val="24"/>
        </w:rPr>
      </w:pPr>
      <w:r>
        <w:rPr>
          <w:rFonts w:hint="eastAsia"/>
          <w:b/>
          <w:color w:val="auto"/>
          <w:sz w:val="24"/>
          <w:szCs w:val="24"/>
        </w:rPr>
        <w:t>3、滤布过滤器</w:t>
      </w:r>
    </w:p>
    <w:p>
      <w:pPr>
        <w:spacing w:line="360" w:lineRule="auto"/>
        <w:ind w:firstLine="480" w:firstLineChars="200"/>
        <w:jc w:val="left"/>
        <w:rPr>
          <w:color w:val="auto"/>
          <w:sz w:val="24"/>
          <w:szCs w:val="24"/>
        </w:rPr>
      </w:pPr>
      <w:r>
        <w:rPr>
          <w:rFonts w:hint="eastAsia"/>
          <w:color w:val="auto"/>
          <w:sz w:val="24"/>
          <w:szCs w:val="24"/>
        </w:rPr>
        <w:t>滤布过滤器是近几年出现的一种新型过滤器，主要用于废水的深度处理与中水回用。其主要特征为处理效果好，出水水质高，出水稳定，连续运行，承受高水力及悬浮物负荷能力强，全自动运行，操作及保养简便，运行费用低，土建费用低及占地极小等。滤布滤池用于污水的深度处理，可去除总悬浮固体，结合投加药剂可去除P、色度等，同时对藻类的去除也有相当的功能。滤盘数量根据滤池设计流量而定，一般为1~14 片，每片滤盘分成6 小块。滤盘由防腐性材料组成，滤盘连接件均为ASTM304不锈钢。每片滤盘外包有高强度滤布，滤布的密实度及厚度根据污水性质选定。滤盘设在中空管上，通过中空管收集滤后水。滤布过滤器占地面积比其他滤池小，由于滤盘垂直中空管设计，使小的占地面积可保证大的过滤面积，从而减少了池容，减少了材料量及土方量，降低了土建工程造价。</w:t>
      </w:r>
    </w:p>
    <w:p>
      <w:pPr>
        <w:spacing w:line="360" w:lineRule="auto"/>
        <w:ind w:firstLine="480" w:firstLineChars="200"/>
        <w:rPr>
          <w:color w:val="auto"/>
          <w:sz w:val="24"/>
          <w:szCs w:val="24"/>
        </w:rPr>
      </w:pPr>
      <w:r>
        <w:rPr>
          <w:rFonts w:hint="eastAsia"/>
          <w:color w:val="auto"/>
          <w:sz w:val="24"/>
          <w:szCs w:val="24"/>
        </w:rPr>
        <w:t>气水反冲洗滤池技术成熟，在给水领域已得到了广泛的应用。滤布滤池为模块化设备，应用在小规模水质净化厂中也有很大优势。根据本工程的处理规模，限于现场的条件综合考虑，本工程选择</w:t>
      </w:r>
      <w:r>
        <w:rPr>
          <w:rFonts w:hint="eastAsia"/>
          <w:b/>
          <w:color w:val="auto"/>
          <w:sz w:val="24"/>
          <w:szCs w:val="24"/>
        </w:rPr>
        <w:t>转盘滤池</w:t>
      </w:r>
      <w:r>
        <w:rPr>
          <w:rFonts w:hint="eastAsia"/>
          <w:color w:val="auto"/>
          <w:sz w:val="24"/>
          <w:szCs w:val="24"/>
        </w:rPr>
        <w:t>作为过滤工艺。</w:t>
      </w:r>
    </w:p>
    <w:p>
      <w:pPr>
        <w:pStyle w:val="5"/>
        <w:rPr>
          <w:color w:val="auto"/>
        </w:rPr>
      </w:pPr>
      <w:r>
        <w:rPr>
          <w:rFonts w:hint="eastAsia"/>
          <w:color w:val="auto"/>
        </w:rPr>
        <w:t>3.5.3.4消毒方案</w:t>
      </w:r>
    </w:p>
    <w:p>
      <w:pPr>
        <w:spacing w:line="360" w:lineRule="auto"/>
        <w:ind w:firstLine="480" w:firstLineChars="200"/>
        <w:rPr>
          <w:color w:val="auto"/>
          <w:sz w:val="24"/>
          <w:szCs w:val="24"/>
        </w:rPr>
      </w:pPr>
      <w:r>
        <w:rPr>
          <w:rFonts w:hint="eastAsia"/>
          <w:color w:val="auto"/>
          <w:sz w:val="24"/>
          <w:szCs w:val="24"/>
        </w:rPr>
        <w:t>在水处理中常用的消毒剂有液氯、臭氧、二氧化氯、次氯酸钠和紫外线等，应用较多的是液氯、次氯酸钠和二氧化氯。目前在我国液氯仍然是水处理过程中应用最多的消毒剂，但随着全球环境污染的加剧，在对一些遭受污染的水源进行处理时，氯化处理常需投加过量的氯气，研究证明这往往易生成大量的有机卤化物（如三氯甲烷）而造成水体的二次污染，对人体的健康产生潜在危害。另外，一些中小型水厂或水质净化厂采用氯气消毒，不仅占地面积大，而且由于管理不善等原因常产生一些人身伤害事故。近年来各国都在研究替代氯气进行消毒的新一代消毒剂。</w:t>
      </w:r>
    </w:p>
    <w:p>
      <w:pPr>
        <w:spacing w:line="360" w:lineRule="auto"/>
        <w:ind w:firstLine="482" w:firstLineChars="200"/>
        <w:rPr>
          <w:color w:val="auto"/>
          <w:sz w:val="24"/>
          <w:szCs w:val="24"/>
        </w:rPr>
      </w:pPr>
      <w:r>
        <w:rPr>
          <w:rFonts w:hint="eastAsia"/>
          <w:b/>
          <w:color w:val="auto"/>
          <w:sz w:val="24"/>
          <w:szCs w:val="24"/>
        </w:rPr>
        <w:t>1、臭氧</w:t>
      </w:r>
    </w:p>
    <w:p>
      <w:pPr>
        <w:spacing w:line="360" w:lineRule="auto"/>
        <w:ind w:firstLine="480" w:firstLineChars="200"/>
        <w:rPr>
          <w:color w:val="auto"/>
          <w:sz w:val="24"/>
          <w:szCs w:val="24"/>
        </w:rPr>
      </w:pPr>
      <w:r>
        <w:rPr>
          <w:rFonts w:hint="eastAsia"/>
          <w:color w:val="auto"/>
          <w:sz w:val="24"/>
          <w:szCs w:val="24"/>
        </w:rPr>
        <w:t>是一种优良的消毒剂，其杀菌效果好，且一般无有害副产物生成。但目前臭氧发生装置的产率通常较低，设备昂贵，安装管理复杂，运行费用高，而且臭氧在水中溶解度低，衰减速度快，为保证管网内持续的杀菌作用，必须和其他消毒方法协同进行。</w:t>
      </w:r>
    </w:p>
    <w:p>
      <w:pPr>
        <w:spacing w:line="360" w:lineRule="auto"/>
        <w:ind w:firstLine="482" w:firstLineChars="200"/>
        <w:rPr>
          <w:b/>
          <w:color w:val="auto"/>
          <w:sz w:val="24"/>
          <w:szCs w:val="24"/>
        </w:rPr>
      </w:pPr>
      <w:r>
        <w:rPr>
          <w:rFonts w:hint="eastAsia"/>
          <w:b/>
          <w:color w:val="auto"/>
          <w:sz w:val="24"/>
          <w:szCs w:val="24"/>
        </w:rPr>
        <w:t>2、紫外线消毒</w:t>
      </w:r>
    </w:p>
    <w:p>
      <w:pPr>
        <w:spacing w:line="360" w:lineRule="auto"/>
        <w:ind w:firstLine="480" w:firstLineChars="200"/>
        <w:rPr>
          <w:color w:val="auto"/>
          <w:sz w:val="24"/>
          <w:szCs w:val="24"/>
        </w:rPr>
      </w:pPr>
      <w:r>
        <w:rPr>
          <w:rFonts w:hint="eastAsia"/>
          <w:color w:val="auto"/>
          <w:sz w:val="24"/>
          <w:szCs w:val="24"/>
        </w:rPr>
        <w:t>是近来发展的一种新型消毒方法，它是通过对水体进行紫外线辐射，将水中的有害菌杀死，同时不改变水的物理化学性质，且不产生气味和其他有害的卤代甲烷等副产物，但该方法对消毒前的原水浊度要求较高，且必须保证一定的水流厚度，当水深较大时杀菌效果急剧下降。</w:t>
      </w:r>
    </w:p>
    <w:p>
      <w:pPr>
        <w:spacing w:line="360" w:lineRule="auto"/>
        <w:ind w:firstLine="482" w:firstLineChars="200"/>
        <w:rPr>
          <w:b/>
          <w:color w:val="auto"/>
          <w:sz w:val="24"/>
          <w:szCs w:val="24"/>
        </w:rPr>
      </w:pPr>
      <w:r>
        <w:rPr>
          <w:rFonts w:hint="eastAsia"/>
          <w:b/>
          <w:color w:val="auto"/>
          <w:sz w:val="24"/>
          <w:szCs w:val="24"/>
        </w:rPr>
        <w:t>3、二氧化氯</w:t>
      </w:r>
    </w:p>
    <w:p>
      <w:pPr>
        <w:spacing w:line="360" w:lineRule="auto"/>
        <w:ind w:firstLine="480" w:firstLineChars="200"/>
        <w:rPr>
          <w:color w:val="auto"/>
          <w:sz w:val="24"/>
          <w:szCs w:val="24"/>
        </w:rPr>
      </w:pPr>
      <w:r>
        <w:rPr>
          <w:rFonts w:hint="eastAsia"/>
          <w:color w:val="auto"/>
          <w:sz w:val="24"/>
          <w:szCs w:val="24"/>
        </w:rPr>
        <w:t>是一种强氧化剂和高效杀菌剂，自从美国尼亚加拉水厂最早将其作为消毒剂以来，在欧洲、美国得到广泛应用，其综合指标远远好于其他消毒剂，无论在安装、使用还是维护等方面都较其他消毒产品有很高的优越性。随着水源污染的日益加重，人们对水质要求的日益提高，二氧化氯必将成为广泛应用的新一代消毒产品。但复合型二氧化氯仍存在氯消毒的缺点，使用安全方面二氧化氯消毒仍存在一定的隐患。</w:t>
      </w:r>
    </w:p>
    <w:p>
      <w:pPr>
        <w:spacing w:line="360" w:lineRule="auto"/>
        <w:ind w:firstLine="482" w:firstLineChars="200"/>
        <w:rPr>
          <w:b/>
          <w:color w:val="auto"/>
          <w:sz w:val="24"/>
          <w:szCs w:val="24"/>
        </w:rPr>
      </w:pPr>
      <w:r>
        <w:rPr>
          <w:rFonts w:hint="eastAsia"/>
          <w:b/>
          <w:color w:val="auto"/>
          <w:sz w:val="24"/>
          <w:szCs w:val="24"/>
        </w:rPr>
        <w:t>4、次氯酸钠</w:t>
      </w:r>
    </w:p>
    <w:p>
      <w:pPr>
        <w:spacing w:line="360" w:lineRule="auto"/>
        <w:ind w:firstLine="480" w:firstLineChars="200"/>
        <w:rPr>
          <w:color w:val="auto"/>
          <w:sz w:val="24"/>
          <w:szCs w:val="24"/>
        </w:rPr>
      </w:pPr>
      <w:r>
        <w:rPr>
          <w:rFonts w:hint="eastAsia"/>
          <w:color w:val="auto"/>
          <w:sz w:val="24"/>
          <w:szCs w:val="24"/>
        </w:rPr>
        <w:t>是近年来在水厂和水质净化厂使用较多的另一种消毒剂，因其系统简单、副作用小、使用方便而受欢迎。尤其在一级B消毒升级至一级A 所耗投资较低，增加的设备设施简单，安全隐患小。</w:t>
      </w:r>
    </w:p>
    <w:p>
      <w:pPr>
        <w:spacing w:line="360" w:lineRule="auto"/>
        <w:ind w:firstLine="480" w:firstLineChars="200"/>
        <w:rPr>
          <w:color w:val="auto"/>
          <w:sz w:val="24"/>
          <w:szCs w:val="24"/>
        </w:rPr>
      </w:pPr>
      <w:r>
        <w:rPr>
          <w:rFonts w:hint="eastAsia"/>
          <w:color w:val="auto"/>
          <w:sz w:val="24"/>
          <w:szCs w:val="24"/>
        </w:rPr>
        <w:t>考虑安全性、投资、占地面积等因素，本工程采用</w:t>
      </w:r>
      <w:r>
        <w:rPr>
          <w:rFonts w:hint="eastAsia"/>
          <w:b/>
          <w:color w:val="auto"/>
          <w:sz w:val="24"/>
          <w:szCs w:val="24"/>
        </w:rPr>
        <w:t>次氯酸钠</w:t>
      </w:r>
      <w:r>
        <w:rPr>
          <w:rFonts w:hint="eastAsia"/>
          <w:color w:val="auto"/>
          <w:sz w:val="24"/>
          <w:szCs w:val="24"/>
        </w:rPr>
        <w:t>消毒，节省占地、使用安全、操作管理、投资节省。</w:t>
      </w:r>
    </w:p>
    <w:p>
      <w:pPr>
        <w:pStyle w:val="4"/>
        <w:rPr>
          <w:color w:val="auto"/>
        </w:rPr>
      </w:pPr>
      <w:bookmarkStart w:id="92" w:name="_Toc26276823"/>
      <w:r>
        <w:rPr>
          <w:rFonts w:hint="eastAsia"/>
          <w:color w:val="auto"/>
        </w:rPr>
        <w:t>3.5.4除臭工艺的论证</w:t>
      </w:r>
      <w:bookmarkEnd w:id="92"/>
    </w:p>
    <w:p>
      <w:pPr>
        <w:spacing w:line="360" w:lineRule="auto"/>
        <w:ind w:firstLine="480" w:firstLineChars="200"/>
        <w:rPr>
          <w:color w:val="auto"/>
          <w:sz w:val="24"/>
          <w:szCs w:val="24"/>
        </w:rPr>
      </w:pPr>
      <w:r>
        <w:rPr>
          <w:rFonts w:hint="eastAsia"/>
          <w:color w:val="auto"/>
          <w:sz w:val="24"/>
          <w:szCs w:val="24"/>
        </w:rPr>
        <w:t>从原理上分，除臭方法可分成吸收法、吸附法、氧化法、燃烧法等。吸收法有生物吸收法和化学吸收法，吸附法即活性炭吸附法。燃烧法和活性炭吸附法成本太高，在水质净化厂除臭中一般不予采用。从具体手段来分，常见的方法有催化型活性炭法、臭氧氧化法、化学洗涤法、生物滤池除臭法、土壤生物滤池除臭法等。</w:t>
      </w:r>
    </w:p>
    <w:p>
      <w:pPr>
        <w:spacing w:line="360" w:lineRule="auto"/>
        <w:ind w:firstLine="482" w:firstLineChars="200"/>
        <w:rPr>
          <w:b/>
          <w:color w:val="auto"/>
          <w:sz w:val="24"/>
          <w:szCs w:val="24"/>
        </w:rPr>
      </w:pPr>
      <w:r>
        <w:rPr>
          <w:rFonts w:hint="eastAsia"/>
          <w:b/>
          <w:color w:val="auto"/>
          <w:sz w:val="24"/>
          <w:szCs w:val="24"/>
        </w:rPr>
        <w:t>1、催化型活性炭法</w:t>
      </w:r>
    </w:p>
    <w:p>
      <w:pPr>
        <w:spacing w:line="360" w:lineRule="auto"/>
        <w:ind w:firstLine="480" w:firstLineChars="200"/>
        <w:rPr>
          <w:color w:val="auto"/>
          <w:sz w:val="24"/>
          <w:szCs w:val="24"/>
        </w:rPr>
      </w:pPr>
      <w:r>
        <w:rPr>
          <w:rFonts w:hint="eastAsia"/>
          <w:color w:val="auto"/>
          <w:sz w:val="24"/>
          <w:szCs w:val="24"/>
        </w:rPr>
        <w:t>传统的活性炭吸附法存在着活性炭再生费用高、更换活性炭操作麻烦等缺点。为了改善这些缺点，卡尔冈炭素公司在1994 年开发了一种可靠的催化活性炭除臭技术。该活性炭是烟煤基带增强催化能力的粒状活性炭，具有独特的催化能力和水再生优势，克服了传统活性炭的缺点。催化型活性炭通过对H</w:t>
      </w:r>
      <w:r>
        <w:rPr>
          <w:rFonts w:hint="eastAsia"/>
          <w:color w:val="auto"/>
          <w:sz w:val="24"/>
          <w:szCs w:val="24"/>
          <w:vertAlign w:val="subscript"/>
        </w:rPr>
        <w:t>2</w:t>
      </w:r>
      <w:r>
        <w:rPr>
          <w:rFonts w:hint="eastAsia"/>
          <w:color w:val="auto"/>
          <w:sz w:val="24"/>
          <w:szCs w:val="24"/>
        </w:rPr>
        <w:t>S及其它含硫有机物吸附后，催化型活性炭促进氧化反应，将H</w:t>
      </w:r>
      <w:r>
        <w:rPr>
          <w:rFonts w:hint="eastAsia"/>
          <w:color w:val="auto"/>
          <w:sz w:val="24"/>
          <w:szCs w:val="24"/>
          <w:vertAlign w:val="subscript"/>
        </w:rPr>
        <w:t>2</w:t>
      </w:r>
      <w:r>
        <w:rPr>
          <w:rFonts w:hint="eastAsia"/>
          <w:color w:val="auto"/>
          <w:sz w:val="24"/>
          <w:szCs w:val="24"/>
        </w:rPr>
        <w:t>S 转变为H</w:t>
      </w:r>
      <w:r>
        <w:rPr>
          <w:rFonts w:hint="eastAsia"/>
          <w:color w:val="auto"/>
          <w:sz w:val="24"/>
          <w:szCs w:val="24"/>
          <w:vertAlign w:val="subscript"/>
        </w:rPr>
        <w:t>2</w:t>
      </w:r>
      <w:r>
        <w:rPr>
          <w:rFonts w:hint="eastAsia"/>
          <w:color w:val="auto"/>
          <w:sz w:val="24"/>
          <w:szCs w:val="24"/>
        </w:rPr>
        <w:t>SO</w:t>
      </w:r>
      <w:r>
        <w:rPr>
          <w:rFonts w:hint="eastAsia"/>
          <w:color w:val="auto"/>
          <w:sz w:val="24"/>
          <w:szCs w:val="24"/>
          <w:vertAlign w:val="subscript"/>
        </w:rPr>
        <w:t>4</w:t>
      </w:r>
      <w:r>
        <w:rPr>
          <w:rFonts w:hint="eastAsia"/>
          <w:color w:val="auto"/>
          <w:sz w:val="24"/>
          <w:szCs w:val="24"/>
        </w:rPr>
        <w:t>、少量的H</w:t>
      </w:r>
      <w:r>
        <w:rPr>
          <w:rFonts w:hint="eastAsia"/>
          <w:color w:val="auto"/>
          <w:sz w:val="24"/>
          <w:szCs w:val="24"/>
          <w:vertAlign w:val="subscript"/>
        </w:rPr>
        <w:t>2</w:t>
      </w:r>
      <w:r>
        <w:rPr>
          <w:rFonts w:hint="eastAsia"/>
          <w:color w:val="auto"/>
          <w:sz w:val="24"/>
          <w:szCs w:val="24"/>
        </w:rPr>
        <w:t>SO</w:t>
      </w:r>
      <w:r>
        <w:rPr>
          <w:rFonts w:hint="eastAsia"/>
          <w:color w:val="auto"/>
          <w:sz w:val="24"/>
          <w:szCs w:val="24"/>
          <w:vertAlign w:val="subscript"/>
        </w:rPr>
        <w:t>3</w:t>
      </w:r>
      <w:r>
        <w:rPr>
          <w:rFonts w:hint="eastAsia"/>
          <w:color w:val="auto"/>
          <w:sz w:val="24"/>
          <w:szCs w:val="24"/>
        </w:rPr>
        <w:t>和硫元素。催化型活性炭只对H</w:t>
      </w:r>
      <w:r>
        <w:rPr>
          <w:rFonts w:hint="eastAsia"/>
          <w:color w:val="auto"/>
          <w:sz w:val="24"/>
          <w:szCs w:val="24"/>
          <w:vertAlign w:val="subscript"/>
        </w:rPr>
        <w:t>2</w:t>
      </w:r>
      <w:r>
        <w:rPr>
          <w:rFonts w:hint="eastAsia"/>
          <w:color w:val="auto"/>
          <w:sz w:val="24"/>
          <w:szCs w:val="24"/>
        </w:rPr>
        <w:t>S 及含硫有机臭味气体去除率高，对水质净化厂产生的其它臭味物质去除率不是很高，因此此方法较适宜用在污水泵站除臭中。</w:t>
      </w:r>
    </w:p>
    <w:p>
      <w:pPr>
        <w:spacing w:line="360" w:lineRule="auto"/>
        <w:ind w:firstLine="482" w:firstLineChars="200"/>
        <w:rPr>
          <w:b/>
          <w:color w:val="auto"/>
          <w:sz w:val="24"/>
          <w:szCs w:val="24"/>
        </w:rPr>
      </w:pPr>
      <w:r>
        <w:rPr>
          <w:rFonts w:hint="eastAsia"/>
          <w:b/>
          <w:color w:val="auto"/>
          <w:sz w:val="24"/>
          <w:szCs w:val="24"/>
        </w:rPr>
        <w:t>2、臭氧氧化法</w:t>
      </w:r>
    </w:p>
    <w:p>
      <w:pPr>
        <w:spacing w:line="360" w:lineRule="auto"/>
        <w:ind w:firstLine="480" w:firstLineChars="200"/>
        <w:rPr>
          <w:color w:val="auto"/>
          <w:sz w:val="24"/>
          <w:szCs w:val="24"/>
        </w:rPr>
      </w:pPr>
      <w:r>
        <w:rPr>
          <w:rFonts w:hint="eastAsia"/>
          <w:color w:val="auto"/>
          <w:sz w:val="24"/>
          <w:szCs w:val="24"/>
        </w:rPr>
        <w:t>臭氧氧化法是利用臭氧强氧化剂，使臭气中的化学成份氧化，达到除臭的目的。臭氧氧化法有气相和液相之分，由于臭氧发生的化学反应较慢，一般先通过药液清洗法，去除大部分致臭物质，然后再进行臭氧氧化。</w:t>
      </w:r>
    </w:p>
    <w:p>
      <w:pPr>
        <w:spacing w:line="360" w:lineRule="auto"/>
        <w:ind w:firstLine="482" w:firstLineChars="200"/>
        <w:rPr>
          <w:b/>
          <w:color w:val="auto"/>
          <w:sz w:val="24"/>
          <w:szCs w:val="24"/>
        </w:rPr>
      </w:pPr>
      <w:r>
        <w:rPr>
          <w:rFonts w:hint="eastAsia"/>
          <w:b/>
          <w:color w:val="auto"/>
          <w:sz w:val="24"/>
          <w:szCs w:val="24"/>
        </w:rPr>
        <w:t>3、化学洗涤法</w:t>
      </w:r>
    </w:p>
    <w:p>
      <w:pPr>
        <w:spacing w:line="360" w:lineRule="auto"/>
        <w:ind w:firstLine="480" w:firstLineChars="200"/>
        <w:rPr>
          <w:color w:val="auto"/>
          <w:sz w:val="24"/>
          <w:szCs w:val="24"/>
        </w:rPr>
      </w:pPr>
      <w:r>
        <w:rPr>
          <w:rFonts w:hint="eastAsia"/>
          <w:color w:val="auto"/>
          <w:sz w:val="24"/>
          <w:szCs w:val="24"/>
        </w:rPr>
        <w:t>传统的化学除臭法是利用臭气中的某些物质和药液产生中和反应的特性，利用呈碱性的苛性钠和次氯酸钠溶液，脱去臭气中硫化氢等酸性物质，利用盐酸等酸性溶液，去除臭气中的氨气等碱性物质。与活性炭吸附法相比较，化学除臭法必须配备较多的附属设施，如药液贮存装置、药液输送装置、排出装置等，运行管理较为复杂。适合于较大规模或者超大规模的除臭工程。</w:t>
      </w:r>
    </w:p>
    <w:p>
      <w:pPr>
        <w:spacing w:line="360" w:lineRule="auto"/>
        <w:ind w:firstLine="482" w:firstLineChars="200"/>
        <w:rPr>
          <w:b/>
          <w:color w:val="auto"/>
          <w:sz w:val="24"/>
          <w:szCs w:val="24"/>
        </w:rPr>
      </w:pPr>
      <w:r>
        <w:rPr>
          <w:rFonts w:hint="eastAsia"/>
          <w:b/>
          <w:color w:val="auto"/>
          <w:sz w:val="24"/>
          <w:szCs w:val="24"/>
        </w:rPr>
        <w:t>4、土壤生物滤池处理法</w:t>
      </w:r>
    </w:p>
    <w:p>
      <w:pPr>
        <w:spacing w:line="360" w:lineRule="auto"/>
        <w:ind w:firstLine="480" w:firstLineChars="200"/>
        <w:rPr>
          <w:color w:val="auto"/>
          <w:sz w:val="24"/>
          <w:szCs w:val="24"/>
        </w:rPr>
      </w:pPr>
      <w:r>
        <w:rPr>
          <w:rFonts w:hint="eastAsia"/>
          <w:color w:val="auto"/>
          <w:sz w:val="24"/>
          <w:szCs w:val="24"/>
        </w:rPr>
        <w:t>利用土壤中的有机质及矿物质将臭气吸附、浓缩到土壤中，然后利用土壤中的微生物将其降解的方法。土壤生物滤池方法采用特殊配制的活性土壤，其中培养了多种自养性的微生物，恶臭气体对于这些活性微生物而言，是它们赖以生存的基础养料。微生物通过吸收各种有机和无机成分在体内合成继续存活所必需的有机养料。该法在除臭过程中应用了微生物，故也称为生物除臭方式的一种。</w:t>
      </w:r>
    </w:p>
    <w:p>
      <w:pPr>
        <w:spacing w:line="360" w:lineRule="auto"/>
        <w:ind w:firstLine="480" w:firstLineChars="200"/>
        <w:rPr>
          <w:color w:val="auto"/>
          <w:sz w:val="24"/>
          <w:szCs w:val="24"/>
        </w:rPr>
      </w:pPr>
      <w:r>
        <w:rPr>
          <w:rFonts w:hint="eastAsia"/>
          <w:color w:val="auto"/>
          <w:sz w:val="24"/>
          <w:szCs w:val="24"/>
        </w:rPr>
        <w:t>生物土壤滤体表面可以种植草坪与厂区绿化结合，一般适用于处理大气量、大臭气空间的臭气以及土地充裕的地方。实际的土壤床运行中，其采用的填料已经是混合填料，实际上是生物滤池的一种类型，而且其需要的停留时间相对于生物滤池要长，因此其占地比较大。</w:t>
      </w:r>
    </w:p>
    <w:p>
      <w:pPr>
        <w:spacing w:line="360" w:lineRule="auto"/>
        <w:ind w:firstLine="482" w:firstLineChars="200"/>
        <w:rPr>
          <w:b/>
          <w:color w:val="auto"/>
          <w:sz w:val="24"/>
          <w:szCs w:val="24"/>
        </w:rPr>
      </w:pPr>
      <w:r>
        <w:rPr>
          <w:rFonts w:hint="eastAsia"/>
          <w:b/>
          <w:color w:val="auto"/>
          <w:sz w:val="24"/>
          <w:szCs w:val="24"/>
        </w:rPr>
        <w:t>5、生物滤池处理法</w:t>
      </w:r>
    </w:p>
    <w:p>
      <w:pPr>
        <w:spacing w:line="360" w:lineRule="auto"/>
        <w:ind w:firstLine="480" w:firstLineChars="200"/>
        <w:rPr>
          <w:color w:val="auto"/>
          <w:sz w:val="24"/>
          <w:szCs w:val="24"/>
        </w:rPr>
      </w:pPr>
      <w:r>
        <w:rPr>
          <w:rFonts w:hint="eastAsia"/>
          <w:color w:val="auto"/>
          <w:sz w:val="24"/>
          <w:szCs w:val="24"/>
        </w:rPr>
        <w:t>生物滤池是种填料床滤池。要处理的气体首先进行预湿，然后在敞开式滤池中，气体由下向上通过装满有机填料（肥料、果壳、树皮及其混合物）的滤料床进行处理。在密闭式的滤池中，气体可经吹送或抽吸通过填料床。当臭气通过滤池填料时同时发生二个过程：吸着作用（吸附和吸收）和生物转化。臭气被吸收入填料床的表面和生物膜表面，附着在填料表面的微生物（主要是细菌、真菌等）氧化吸附/吸收的气体。</w:t>
      </w:r>
    </w:p>
    <w:p>
      <w:pPr>
        <w:spacing w:line="360" w:lineRule="auto"/>
        <w:ind w:firstLine="480" w:firstLineChars="200"/>
        <w:rPr>
          <w:color w:val="auto"/>
          <w:sz w:val="24"/>
          <w:szCs w:val="24"/>
        </w:rPr>
      </w:pPr>
      <w:r>
        <w:rPr>
          <w:rFonts w:hint="eastAsia"/>
          <w:color w:val="auto"/>
          <w:sz w:val="24"/>
          <w:szCs w:val="24"/>
        </w:rPr>
        <w:t>生物滤池占地较大，其优点是较经济，来自天然的富含有机成分的多孔渗水填料构造简单，操作方便，无需液体循环系统。不过，操作的方便也意味着除了气流量和湿度外不能控制其他参数，另外有时根据需要，须添加营养物。生物滤池填料的寿命有限，部分会在生物过程中被消耗。此外，臭气氧化产生的酸会导致pH 下降至微生物生长范围以下，并破坏填料结构。大量的沉淀还会影响过水能力，要控制这些问题须增加费用。</w:t>
      </w:r>
    </w:p>
    <w:p>
      <w:pPr>
        <w:spacing w:line="360" w:lineRule="auto"/>
        <w:ind w:firstLine="480" w:firstLineChars="200"/>
        <w:rPr>
          <w:color w:val="auto"/>
          <w:sz w:val="24"/>
          <w:szCs w:val="24"/>
        </w:rPr>
      </w:pPr>
      <w:r>
        <w:rPr>
          <w:rFonts w:hint="eastAsia"/>
          <w:color w:val="auto"/>
          <w:sz w:val="24"/>
          <w:szCs w:val="24"/>
        </w:rPr>
        <w:t>目前，国内多数水质净化厂除臭均以生物滤池或土壤生物滤池法为主，其余方法为辅，因此，本工程采用</w:t>
      </w:r>
      <w:r>
        <w:rPr>
          <w:rFonts w:hint="eastAsia"/>
          <w:b/>
          <w:color w:val="auto"/>
          <w:sz w:val="24"/>
          <w:szCs w:val="24"/>
        </w:rPr>
        <w:t>化学洗涤+生物滤池</w:t>
      </w:r>
      <w:r>
        <w:rPr>
          <w:rFonts w:hint="eastAsia"/>
          <w:color w:val="auto"/>
          <w:sz w:val="24"/>
          <w:szCs w:val="24"/>
        </w:rPr>
        <w:t>除臭工艺。</w:t>
      </w:r>
    </w:p>
    <w:p>
      <w:pPr>
        <w:pStyle w:val="4"/>
        <w:rPr>
          <w:color w:val="auto"/>
        </w:rPr>
      </w:pPr>
      <w:bookmarkStart w:id="93" w:name="_Toc26276824"/>
      <w:r>
        <w:rPr>
          <w:rFonts w:hint="eastAsia"/>
          <w:color w:val="auto"/>
        </w:rPr>
        <w:t>3.5.5污泥处理工艺的论证</w:t>
      </w:r>
      <w:bookmarkEnd w:id="93"/>
    </w:p>
    <w:p>
      <w:pPr>
        <w:spacing w:line="360" w:lineRule="auto"/>
        <w:ind w:firstLine="480" w:firstLineChars="200"/>
        <w:rPr>
          <w:color w:val="auto"/>
          <w:sz w:val="24"/>
          <w:szCs w:val="24"/>
        </w:rPr>
      </w:pPr>
      <w:r>
        <w:rPr>
          <w:rFonts w:hint="eastAsia"/>
          <w:color w:val="auto"/>
          <w:sz w:val="24"/>
          <w:szCs w:val="24"/>
        </w:rPr>
        <w:t>污水处理过程中所产生的污泥，其含水率在97—99.6%，是流动状态的粒状或絮状物质的疏松结构，体积庞大，难以处置消纳，因此在污泥处理和处置中需进行污泥脱水。污泥脱水主要是将污泥中的吸附水和毛细水分离出来，这部分水约占污泥中总含水量的15%-25%。因此，污泥经脱水以后，其体积减至浓缩前的1/10，减至脱水前的1/5，大大降低了后续污泥处置的难度。</w:t>
      </w:r>
    </w:p>
    <w:p>
      <w:pPr>
        <w:spacing w:line="360" w:lineRule="auto"/>
        <w:ind w:firstLine="480" w:firstLineChars="200"/>
        <w:rPr>
          <w:color w:val="auto"/>
          <w:sz w:val="24"/>
          <w:szCs w:val="24"/>
        </w:rPr>
      </w:pPr>
      <w:r>
        <w:rPr>
          <w:rFonts w:hint="eastAsia"/>
          <w:color w:val="auto"/>
          <w:sz w:val="24"/>
          <w:szCs w:val="24"/>
        </w:rPr>
        <w:t>污泥脱水的方法一般有自然干化，机械脱水，污泥烘干等。目前我国大多数的城市水质净化厂污泥均采用机械脱水。自然干化在大型城市水质净化厂中较少采用。污泥烘干是通过进一步蒸发去除污泥颗粒中的粘着水，通过烘干，污泥含水率可降30%以下，变为干固体，污泥烘干由于消耗大量热能，因此只是当干污泥回收，或出售作为肥料或其它原料，必须减少运输量时，才可以考虑，目前在大型城市水质净化厂中采用较少。</w:t>
      </w:r>
    </w:p>
    <w:p>
      <w:pPr>
        <w:spacing w:line="360" w:lineRule="auto"/>
        <w:ind w:firstLine="480" w:firstLineChars="200"/>
        <w:rPr>
          <w:color w:val="auto"/>
          <w:sz w:val="24"/>
          <w:szCs w:val="24"/>
        </w:rPr>
      </w:pPr>
      <w:r>
        <w:rPr>
          <w:rFonts w:hint="eastAsia"/>
          <w:color w:val="auto"/>
          <w:sz w:val="24"/>
          <w:szCs w:val="24"/>
        </w:rPr>
        <w:t>机械脱水的种类较多，按脱水原理可分为真空过滤脱水、压滤脱水和离心脱水三大类。</w:t>
      </w:r>
    </w:p>
    <w:p>
      <w:pPr>
        <w:spacing w:line="360" w:lineRule="auto"/>
        <w:ind w:firstLine="482" w:firstLineChars="200"/>
        <w:rPr>
          <w:b/>
          <w:color w:val="auto"/>
          <w:sz w:val="24"/>
          <w:szCs w:val="24"/>
        </w:rPr>
      </w:pPr>
      <w:r>
        <w:rPr>
          <w:rFonts w:hint="eastAsia"/>
          <w:b/>
          <w:color w:val="auto"/>
          <w:sz w:val="24"/>
          <w:szCs w:val="24"/>
        </w:rPr>
        <w:t>1、真空过滤</w:t>
      </w:r>
    </w:p>
    <w:p>
      <w:pPr>
        <w:spacing w:line="360" w:lineRule="auto"/>
        <w:ind w:firstLine="480" w:firstLineChars="200"/>
        <w:rPr>
          <w:color w:val="auto"/>
          <w:sz w:val="24"/>
          <w:szCs w:val="24"/>
        </w:rPr>
      </w:pPr>
      <w:r>
        <w:rPr>
          <w:rFonts w:hint="eastAsia"/>
          <w:color w:val="auto"/>
          <w:sz w:val="24"/>
          <w:szCs w:val="24"/>
        </w:rPr>
        <w:t>真空过滤脱水，使用的机械称为真空过滤机，可用于经预处理后的初沉污泥，化学污泥及消化污泥等的脱水。和污泥干化比较，真空过滤机脱水能够连续生产，运行平稳，可自动控制。但其主要缺点是滤布容易堵塞，不易清洗，附属设备较多，工序复杂，运行费用较高。目前在城市水质净化厂中已较少使用。</w:t>
      </w:r>
    </w:p>
    <w:p>
      <w:pPr>
        <w:spacing w:line="360" w:lineRule="auto"/>
        <w:ind w:firstLine="482" w:firstLineChars="200"/>
        <w:rPr>
          <w:b/>
          <w:color w:val="auto"/>
          <w:sz w:val="24"/>
          <w:szCs w:val="24"/>
        </w:rPr>
      </w:pPr>
      <w:r>
        <w:rPr>
          <w:rFonts w:hint="eastAsia"/>
          <w:b/>
          <w:color w:val="auto"/>
          <w:sz w:val="24"/>
          <w:szCs w:val="24"/>
        </w:rPr>
        <w:t>2、压滤脱水</w:t>
      </w:r>
    </w:p>
    <w:p>
      <w:pPr>
        <w:spacing w:line="360" w:lineRule="auto"/>
        <w:ind w:firstLine="480" w:firstLineChars="200"/>
        <w:rPr>
          <w:color w:val="auto"/>
          <w:sz w:val="24"/>
          <w:szCs w:val="24"/>
        </w:rPr>
      </w:pPr>
      <w:r>
        <w:rPr>
          <w:rFonts w:hint="eastAsia"/>
          <w:color w:val="auto"/>
          <w:sz w:val="24"/>
          <w:szCs w:val="24"/>
        </w:rPr>
        <w:t>压滤脱水可分为板框压滤脱水机和带式压滤脱水机两种。</w:t>
      </w:r>
    </w:p>
    <w:p>
      <w:pPr>
        <w:spacing w:line="360" w:lineRule="auto"/>
        <w:ind w:firstLine="480" w:firstLineChars="200"/>
        <w:rPr>
          <w:color w:val="auto"/>
          <w:sz w:val="24"/>
          <w:szCs w:val="24"/>
        </w:rPr>
      </w:pPr>
      <w:r>
        <w:rPr>
          <w:rFonts w:hint="eastAsia"/>
          <w:color w:val="auto"/>
          <w:sz w:val="24"/>
          <w:szCs w:val="24"/>
        </w:rPr>
        <w:t>板框压滤压滤机脱水的泥饼含水率较低，在65%以下，体积缩小，运输量减少，可节省污泥运输费用，最后处置也比较容易，目前一直在沿用,尤其在中小型工业废水处理厂（站）中应用较多。但板框压滤机为间断运行，效率较低、且操作麻烦，维护工作量较大，仅在要求出泥含水率很低的情况下使用。</w:t>
      </w:r>
    </w:p>
    <w:p>
      <w:pPr>
        <w:spacing w:line="360" w:lineRule="auto"/>
        <w:ind w:firstLine="480" w:firstLineChars="200"/>
        <w:rPr>
          <w:color w:val="auto"/>
          <w:sz w:val="24"/>
          <w:szCs w:val="24"/>
        </w:rPr>
      </w:pPr>
      <w:r>
        <w:rPr>
          <w:rFonts w:hint="eastAsia"/>
          <w:color w:val="auto"/>
          <w:sz w:val="24"/>
          <w:szCs w:val="24"/>
        </w:rPr>
        <w:t>带式压滤机是连续运转的污泥脱水设备，进泥的含水率一般在96—97%，污泥经絮凝，重力脱水，压榨脱水之后滤饼的含水率可达70—80%。其主要特点是把压力施加在滤布上，用滤布的压力和张力使污泥脱水，而不需要真空或加压设备，动力消耗较少，可连续生产，其出泥含水率低且稳定，管理控制相对较容易，从上世纪90 年代以来，在我国的城市水质净化厂中得到了广泛的应用。但带式压滤机是开发式结构，污泥脱水机房内臭味较重，工人工作环境较差，加罩防臭，又不利于工人操作、管理和观察。带式压滤机滤布要不断清洗，耗水量较大且要较经常的更换。带式压滤机部件较多，故障率较高，维修工作量较大。</w:t>
      </w:r>
    </w:p>
    <w:p>
      <w:pPr>
        <w:spacing w:line="360" w:lineRule="auto"/>
        <w:ind w:firstLine="482" w:firstLineChars="200"/>
        <w:rPr>
          <w:b/>
          <w:color w:val="auto"/>
          <w:sz w:val="24"/>
          <w:szCs w:val="24"/>
        </w:rPr>
      </w:pPr>
      <w:r>
        <w:rPr>
          <w:rFonts w:hint="eastAsia"/>
          <w:b/>
          <w:color w:val="auto"/>
          <w:sz w:val="24"/>
          <w:szCs w:val="24"/>
        </w:rPr>
        <w:t>3、 离心脱水</w:t>
      </w:r>
    </w:p>
    <w:p>
      <w:pPr>
        <w:spacing w:line="360" w:lineRule="auto"/>
        <w:ind w:firstLine="480" w:firstLineChars="200"/>
        <w:rPr>
          <w:color w:val="auto"/>
          <w:sz w:val="24"/>
          <w:szCs w:val="24"/>
        </w:rPr>
      </w:pPr>
      <w:r>
        <w:rPr>
          <w:rFonts w:hint="eastAsia"/>
          <w:color w:val="auto"/>
          <w:sz w:val="24"/>
          <w:szCs w:val="24"/>
        </w:rPr>
        <w:t>离心机用于污泥浓缩或脱水已有几十年的历史，经过几次的更新换代，目前普遍采用的是卧螺式离心机。卧螺式离心机的主要优点是：污泥进料含固率变化的适应性好；能自动长期连续运行；分离因数高，絮凝剂投量少，常年运行费用低；单机生产能力大，结构紧凑，占地面积小，维修方便；可封闭操作，工作环境条件好。离心机的主要缺点是噪音比带式压滤机要大，污泥中有砂砾时，容易磨损设备。</w:t>
      </w:r>
    </w:p>
    <w:p>
      <w:pPr>
        <w:spacing w:line="360" w:lineRule="auto"/>
        <w:jc w:val="center"/>
        <w:rPr>
          <w:b/>
          <w:color w:val="auto"/>
          <w:sz w:val="24"/>
          <w:szCs w:val="24"/>
        </w:rPr>
      </w:pPr>
      <w:r>
        <w:rPr>
          <w:rFonts w:hint="eastAsia"/>
          <w:b/>
          <w:color w:val="auto"/>
          <w:sz w:val="24"/>
          <w:szCs w:val="24"/>
        </w:rPr>
        <w:t>表3-5-1   污泥脱水方案比较表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1843"/>
        <w:gridCol w:w="2030"/>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b/>
                <w:color w:val="auto"/>
                <w:sz w:val="21"/>
                <w:szCs w:val="21"/>
              </w:rPr>
            </w:pPr>
            <w:r>
              <w:rPr>
                <w:rFonts w:hint="eastAsia"/>
                <w:b/>
                <w:color w:val="auto"/>
                <w:sz w:val="21"/>
                <w:szCs w:val="21"/>
              </w:rPr>
              <w:t>项目</w:t>
            </w:r>
          </w:p>
        </w:tc>
        <w:tc>
          <w:tcPr>
            <w:tcW w:w="1843" w:type="dxa"/>
            <w:vAlign w:val="center"/>
          </w:tcPr>
          <w:p>
            <w:pPr>
              <w:jc w:val="center"/>
              <w:rPr>
                <w:b/>
                <w:color w:val="auto"/>
                <w:sz w:val="21"/>
                <w:szCs w:val="21"/>
              </w:rPr>
            </w:pPr>
            <w:r>
              <w:rPr>
                <w:rFonts w:hint="eastAsia"/>
                <w:b/>
                <w:color w:val="auto"/>
                <w:sz w:val="21"/>
                <w:szCs w:val="21"/>
              </w:rPr>
              <w:t>离心脱水机</w:t>
            </w:r>
          </w:p>
        </w:tc>
        <w:tc>
          <w:tcPr>
            <w:tcW w:w="2030" w:type="dxa"/>
            <w:vAlign w:val="center"/>
          </w:tcPr>
          <w:p>
            <w:pPr>
              <w:jc w:val="center"/>
              <w:rPr>
                <w:b/>
                <w:color w:val="auto"/>
                <w:sz w:val="21"/>
                <w:szCs w:val="21"/>
              </w:rPr>
            </w:pPr>
            <w:r>
              <w:rPr>
                <w:rFonts w:hint="eastAsia"/>
                <w:b/>
                <w:color w:val="auto"/>
                <w:sz w:val="21"/>
                <w:szCs w:val="21"/>
              </w:rPr>
              <w:t>带式压滤机</w:t>
            </w:r>
          </w:p>
        </w:tc>
        <w:tc>
          <w:tcPr>
            <w:tcW w:w="2131" w:type="dxa"/>
            <w:vAlign w:val="center"/>
          </w:tcPr>
          <w:p>
            <w:pPr>
              <w:jc w:val="center"/>
              <w:rPr>
                <w:b/>
                <w:color w:val="auto"/>
                <w:sz w:val="21"/>
                <w:szCs w:val="21"/>
              </w:rPr>
            </w:pPr>
            <w:r>
              <w:rPr>
                <w:rFonts w:hint="eastAsia"/>
                <w:b/>
                <w:color w:val="auto"/>
                <w:sz w:val="21"/>
                <w:szCs w:val="21"/>
              </w:rPr>
              <w:t>板框压滤机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对进泥含固率的适应性</w:t>
            </w:r>
          </w:p>
        </w:tc>
        <w:tc>
          <w:tcPr>
            <w:tcW w:w="1843" w:type="dxa"/>
            <w:vAlign w:val="center"/>
          </w:tcPr>
          <w:p>
            <w:pPr>
              <w:jc w:val="center"/>
              <w:rPr>
                <w:color w:val="auto"/>
                <w:sz w:val="21"/>
                <w:szCs w:val="21"/>
              </w:rPr>
            </w:pPr>
            <w:r>
              <w:rPr>
                <w:rFonts w:hint="eastAsia"/>
                <w:color w:val="auto"/>
                <w:sz w:val="21"/>
                <w:szCs w:val="21"/>
              </w:rPr>
              <w:t>好</w:t>
            </w:r>
          </w:p>
        </w:tc>
        <w:tc>
          <w:tcPr>
            <w:tcW w:w="2030" w:type="dxa"/>
            <w:vAlign w:val="center"/>
          </w:tcPr>
          <w:p>
            <w:pPr>
              <w:jc w:val="center"/>
              <w:rPr>
                <w:color w:val="auto"/>
                <w:sz w:val="21"/>
                <w:szCs w:val="21"/>
              </w:rPr>
            </w:pPr>
            <w:r>
              <w:rPr>
                <w:rFonts w:hint="eastAsia"/>
                <w:color w:val="auto"/>
                <w:sz w:val="21"/>
                <w:szCs w:val="21"/>
              </w:rPr>
              <w:t>差</w:t>
            </w:r>
          </w:p>
        </w:tc>
        <w:tc>
          <w:tcPr>
            <w:tcW w:w="2131" w:type="dxa"/>
            <w:vAlign w:val="center"/>
          </w:tcPr>
          <w:p>
            <w:pPr>
              <w:jc w:val="center"/>
              <w:rPr>
                <w:color w:val="auto"/>
                <w:sz w:val="21"/>
                <w:szCs w:val="21"/>
              </w:rPr>
            </w:pPr>
            <w:r>
              <w:rPr>
                <w:rFonts w:hint="eastAsia"/>
                <w:color w:val="auto"/>
                <w:sz w:val="21"/>
                <w:szCs w:val="21"/>
              </w:rPr>
              <w:t>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出泥含水率</w:t>
            </w:r>
          </w:p>
        </w:tc>
        <w:tc>
          <w:tcPr>
            <w:tcW w:w="1843" w:type="dxa"/>
            <w:vAlign w:val="center"/>
          </w:tcPr>
          <w:p>
            <w:pPr>
              <w:jc w:val="center"/>
              <w:rPr>
                <w:color w:val="auto"/>
                <w:sz w:val="21"/>
                <w:szCs w:val="21"/>
              </w:rPr>
            </w:pPr>
            <w:r>
              <w:rPr>
                <w:rFonts w:hint="eastAsia"/>
                <w:color w:val="auto"/>
                <w:sz w:val="21"/>
                <w:szCs w:val="21"/>
              </w:rPr>
              <w:t>75%-78%</w:t>
            </w:r>
          </w:p>
        </w:tc>
        <w:tc>
          <w:tcPr>
            <w:tcW w:w="2030" w:type="dxa"/>
            <w:vAlign w:val="center"/>
          </w:tcPr>
          <w:p>
            <w:pPr>
              <w:jc w:val="center"/>
              <w:rPr>
                <w:color w:val="auto"/>
                <w:sz w:val="21"/>
                <w:szCs w:val="21"/>
              </w:rPr>
            </w:pPr>
            <w:r>
              <w:rPr>
                <w:rFonts w:hint="eastAsia"/>
                <w:color w:val="auto"/>
                <w:sz w:val="21"/>
                <w:szCs w:val="21"/>
              </w:rPr>
              <w:t>78%-80%</w:t>
            </w:r>
          </w:p>
        </w:tc>
        <w:tc>
          <w:tcPr>
            <w:tcW w:w="2131" w:type="dxa"/>
            <w:vAlign w:val="center"/>
          </w:tcPr>
          <w:p>
            <w:pPr>
              <w:jc w:val="center"/>
              <w:rPr>
                <w:color w:val="auto"/>
                <w:sz w:val="21"/>
                <w:szCs w:val="21"/>
              </w:rPr>
            </w:pPr>
            <w:r>
              <w:rPr>
                <w:rFonts w:hint="eastAsia"/>
                <w:color w:val="auto"/>
                <w:sz w:val="21"/>
                <w:szCs w:val="21"/>
              </w:rPr>
              <w:t>60%-80%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絮凝剂的投加量</w:t>
            </w:r>
          </w:p>
        </w:tc>
        <w:tc>
          <w:tcPr>
            <w:tcW w:w="1843" w:type="dxa"/>
            <w:vAlign w:val="center"/>
          </w:tcPr>
          <w:p>
            <w:pPr>
              <w:jc w:val="center"/>
              <w:rPr>
                <w:color w:val="auto"/>
                <w:sz w:val="21"/>
                <w:szCs w:val="21"/>
              </w:rPr>
            </w:pPr>
            <w:r>
              <w:rPr>
                <w:rFonts w:hint="eastAsia"/>
                <w:color w:val="auto"/>
                <w:sz w:val="21"/>
                <w:szCs w:val="21"/>
              </w:rPr>
              <w:t>低</w:t>
            </w:r>
          </w:p>
        </w:tc>
        <w:tc>
          <w:tcPr>
            <w:tcW w:w="2030" w:type="dxa"/>
            <w:vAlign w:val="center"/>
          </w:tcPr>
          <w:p>
            <w:pPr>
              <w:jc w:val="center"/>
              <w:rPr>
                <w:color w:val="auto"/>
                <w:sz w:val="21"/>
                <w:szCs w:val="21"/>
              </w:rPr>
            </w:pPr>
            <w:r>
              <w:rPr>
                <w:rFonts w:hint="eastAsia"/>
                <w:color w:val="auto"/>
                <w:sz w:val="21"/>
                <w:szCs w:val="21"/>
              </w:rPr>
              <w:t>高</w:t>
            </w:r>
          </w:p>
        </w:tc>
        <w:tc>
          <w:tcPr>
            <w:tcW w:w="2131" w:type="dxa"/>
            <w:vAlign w:val="center"/>
          </w:tcPr>
          <w:p>
            <w:pPr>
              <w:jc w:val="center"/>
              <w:rPr>
                <w:color w:val="auto"/>
                <w:sz w:val="21"/>
                <w:szCs w:val="21"/>
              </w:rPr>
            </w:pPr>
            <w:r>
              <w:rPr>
                <w:rFonts w:hint="eastAsia"/>
                <w:color w:val="auto"/>
                <w:sz w:val="21"/>
                <w:szCs w:val="21"/>
              </w:rPr>
              <w:t>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设备投资</w:t>
            </w:r>
          </w:p>
        </w:tc>
        <w:tc>
          <w:tcPr>
            <w:tcW w:w="1843" w:type="dxa"/>
            <w:vAlign w:val="center"/>
          </w:tcPr>
          <w:p>
            <w:pPr>
              <w:jc w:val="center"/>
              <w:rPr>
                <w:color w:val="auto"/>
                <w:sz w:val="21"/>
                <w:szCs w:val="21"/>
              </w:rPr>
            </w:pPr>
            <w:r>
              <w:rPr>
                <w:rFonts w:hint="eastAsia"/>
                <w:color w:val="auto"/>
                <w:sz w:val="21"/>
                <w:szCs w:val="21"/>
              </w:rPr>
              <w:t>稍高</w:t>
            </w:r>
          </w:p>
        </w:tc>
        <w:tc>
          <w:tcPr>
            <w:tcW w:w="2030" w:type="dxa"/>
            <w:vAlign w:val="center"/>
          </w:tcPr>
          <w:p>
            <w:pPr>
              <w:jc w:val="center"/>
              <w:rPr>
                <w:color w:val="auto"/>
                <w:sz w:val="21"/>
                <w:szCs w:val="21"/>
              </w:rPr>
            </w:pPr>
            <w:r>
              <w:rPr>
                <w:rFonts w:hint="eastAsia"/>
                <w:color w:val="auto"/>
                <w:sz w:val="21"/>
                <w:szCs w:val="21"/>
              </w:rPr>
              <w:t>低</w:t>
            </w:r>
          </w:p>
        </w:tc>
        <w:tc>
          <w:tcPr>
            <w:tcW w:w="2131" w:type="dxa"/>
            <w:vAlign w:val="center"/>
          </w:tcPr>
          <w:p>
            <w:pPr>
              <w:jc w:val="center"/>
              <w:rPr>
                <w:color w:val="auto"/>
                <w:sz w:val="21"/>
                <w:szCs w:val="21"/>
              </w:rPr>
            </w:pPr>
            <w:r>
              <w:rPr>
                <w:rFonts w:hint="eastAsia"/>
                <w:color w:val="auto"/>
                <w:sz w:val="21"/>
                <w:szCs w:val="21"/>
              </w:rPr>
              <w:t>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占地面积</w:t>
            </w:r>
          </w:p>
        </w:tc>
        <w:tc>
          <w:tcPr>
            <w:tcW w:w="1843" w:type="dxa"/>
            <w:vAlign w:val="center"/>
          </w:tcPr>
          <w:p>
            <w:pPr>
              <w:jc w:val="center"/>
              <w:rPr>
                <w:color w:val="auto"/>
                <w:sz w:val="21"/>
                <w:szCs w:val="21"/>
              </w:rPr>
            </w:pPr>
            <w:r>
              <w:rPr>
                <w:rFonts w:hint="eastAsia"/>
                <w:color w:val="auto"/>
                <w:sz w:val="21"/>
                <w:szCs w:val="21"/>
              </w:rPr>
              <w:t>小</w:t>
            </w:r>
          </w:p>
        </w:tc>
        <w:tc>
          <w:tcPr>
            <w:tcW w:w="2030" w:type="dxa"/>
            <w:vAlign w:val="center"/>
          </w:tcPr>
          <w:p>
            <w:pPr>
              <w:jc w:val="center"/>
              <w:rPr>
                <w:color w:val="auto"/>
                <w:sz w:val="21"/>
                <w:szCs w:val="21"/>
              </w:rPr>
            </w:pPr>
            <w:r>
              <w:rPr>
                <w:rFonts w:hint="eastAsia"/>
                <w:color w:val="auto"/>
                <w:sz w:val="21"/>
                <w:szCs w:val="21"/>
              </w:rPr>
              <w:t>大</w:t>
            </w:r>
          </w:p>
        </w:tc>
        <w:tc>
          <w:tcPr>
            <w:tcW w:w="2131" w:type="dxa"/>
            <w:vAlign w:val="center"/>
          </w:tcPr>
          <w:p>
            <w:pPr>
              <w:jc w:val="center"/>
              <w:rPr>
                <w:color w:val="auto"/>
                <w:sz w:val="21"/>
                <w:szCs w:val="21"/>
              </w:rPr>
            </w:pPr>
            <w:r>
              <w:rPr>
                <w:rFonts w:hint="eastAsia"/>
                <w:color w:val="auto"/>
                <w:sz w:val="21"/>
                <w:szCs w:val="21"/>
              </w:rPr>
              <w:t>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故障率</w:t>
            </w:r>
          </w:p>
        </w:tc>
        <w:tc>
          <w:tcPr>
            <w:tcW w:w="1843" w:type="dxa"/>
            <w:vAlign w:val="center"/>
          </w:tcPr>
          <w:p>
            <w:pPr>
              <w:jc w:val="center"/>
              <w:rPr>
                <w:color w:val="auto"/>
                <w:sz w:val="21"/>
                <w:szCs w:val="21"/>
              </w:rPr>
            </w:pPr>
            <w:r>
              <w:rPr>
                <w:rFonts w:hint="eastAsia"/>
                <w:color w:val="auto"/>
                <w:sz w:val="21"/>
                <w:szCs w:val="21"/>
              </w:rPr>
              <w:t>低</w:t>
            </w:r>
          </w:p>
        </w:tc>
        <w:tc>
          <w:tcPr>
            <w:tcW w:w="2030" w:type="dxa"/>
            <w:vAlign w:val="center"/>
          </w:tcPr>
          <w:p>
            <w:pPr>
              <w:jc w:val="center"/>
              <w:rPr>
                <w:color w:val="auto"/>
                <w:sz w:val="21"/>
                <w:szCs w:val="21"/>
              </w:rPr>
            </w:pPr>
            <w:r>
              <w:rPr>
                <w:rFonts w:hint="eastAsia"/>
                <w:color w:val="auto"/>
                <w:sz w:val="21"/>
                <w:szCs w:val="21"/>
              </w:rPr>
              <w:t>高</w:t>
            </w:r>
          </w:p>
        </w:tc>
        <w:tc>
          <w:tcPr>
            <w:tcW w:w="2131" w:type="dxa"/>
            <w:vAlign w:val="center"/>
          </w:tcPr>
          <w:p>
            <w:pPr>
              <w:jc w:val="center"/>
              <w:rPr>
                <w:color w:val="auto"/>
                <w:sz w:val="21"/>
                <w:szCs w:val="21"/>
              </w:rPr>
            </w:pPr>
            <w:r>
              <w:rPr>
                <w:rFonts w:hint="eastAsia"/>
                <w:color w:val="auto"/>
                <w:sz w:val="21"/>
                <w:szCs w:val="21"/>
              </w:rPr>
              <w:t>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冲洗水用量</w:t>
            </w:r>
          </w:p>
        </w:tc>
        <w:tc>
          <w:tcPr>
            <w:tcW w:w="1843" w:type="dxa"/>
            <w:vAlign w:val="center"/>
          </w:tcPr>
          <w:p>
            <w:pPr>
              <w:jc w:val="center"/>
              <w:rPr>
                <w:color w:val="auto"/>
                <w:sz w:val="21"/>
                <w:szCs w:val="21"/>
              </w:rPr>
            </w:pPr>
            <w:r>
              <w:rPr>
                <w:rFonts w:hint="eastAsia"/>
                <w:color w:val="auto"/>
                <w:sz w:val="21"/>
                <w:szCs w:val="21"/>
              </w:rPr>
              <w:t>极少，停机时使用</w:t>
            </w:r>
          </w:p>
        </w:tc>
        <w:tc>
          <w:tcPr>
            <w:tcW w:w="2030" w:type="dxa"/>
            <w:vAlign w:val="center"/>
          </w:tcPr>
          <w:p>
            <w:pPr>
              <w:jc w:val="center"/>
              <w:rPr>
                <w:color w:val="auto"/>
                <w:sz w:val="21"/>
                <w:szCs w:val="21"/>
              </w:rPr>
            </w:pPr>
            <w:r>
              <w:rPr>
                <w:rFonts w:hint="eastAsia"/>
                <w:color w:val="auto"/>
                <w:sz w:val="21"/>
                <w:szCs w:val="21"/>
              </w:rPr>
              <w:t>多，连续使用</w:t>
            </w:r>
          </w:p>
        </w:tc>
        <w:tc>
          <w:tcPr>
            <w:tcW w:w="2131" w:type="dxa"/>
            <w:vAlign w:val="center"/>
          </w:tcPr>
          <w:p>
            <w:pPr>
              <w:jc w:val="center"/>
              <w:rPr>
                <w:color w:val="auto"/>
                <w:sz w:val="21"/>
                <w:szCs w:val="21"/>
              </w:rPr>
            </w:pPr>
            <w:r>
              <w:rPr>
                <w:rFonts w:hint="eastAsia"/>
                <w:color w:val="auto"/>
                <w:sz w:val="21"/>
                <w:szCs w:val="21"/>
              </w:rPr>
              <w:t>中，间接使用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能耗</w:t>
            </w:r>
          </w:p>
        </w:tc>
        <w:tc>
          <w:tcPr>
            <w:tcW w:w="1843" w:type="dxa"/>
            <w:vAlign w:val="center"/>
          </w:tcPr>
          <w:p>
            <w:pPr>
              <w:jc w:val="center"/>
              <w:rPr>
                <w:color w:val="auto"/>
                <w:sz w:val="21"/>
                <w:szCs w:val="21"/>
              </w:rPr>
            </w:pPr>
            <w:r>
              <w:rPr>
                <w:rFonts w:hint="eastAsia"/>
                <w:color w:val="auto"/>
                <w:sz w:val="21"/>
                <w:szCs w:val="21"/>
              </w:rPr>
              <w:t>稍高</w:t>
            </w:r>
          </w:p>
        </w:tc>
        <w:tc>
          <w:tcPr>
            <w:tcW w:w="2030" w:type="dxa"/>
            <w:vAlign w:val="center"/>
          </w:tcPr>
          <w:p>
            <w:pPr>
              <w:jc w:val="center"/>
              <w:rPr>
                <w:color w:val="auto"/>
                <w:sz w:val="21"/>
                <w:szCs w:val="21"/>
              </w:rPr>
            </w:pPr>
            <w:r>
              <w:rPr>
                <w:rFonts w:hint="eastAsia"/>
                <w:color w:val="auto"/>
                <w:sz w:val="21"/>
                <w:szCs w:val="21"/>
              </w:rPr>
              <w:t>低</w:t>
            </w:r>
          </w:p>
        </w:tc>
        <w:tc>
          <w:tcPr>
            <w:tcW w:w="2131" w:type="dxa"/>
            <w:vAlign w:val="center"/>
          </w:tcPr>
          <w:p>
            <w:pPr>
              <w:jc w:val="center"/>
              <w:rPr>
                <w:color w:val="auto"/>
                <w:sz w:val="21"/>
                <w:szCs w:val="21"/>
              </w:rPr>
            </w:pPr>
            <w:r>
              <w:rPr>
                <w:rFonts w:hint="eastAsia"/>
                <w:color w:val="auto"/>
                <w:sz w:val="21"/>
                <w:szCs w:val="21"/>
              </w:rPr>
              <w:t>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color w:val="auto"/>
                <w:sz w:val="21"/>
                <w:szCs w:val="21"/>
              </w:rPr>
            </w:pPr>
            <w:r>
              <w:rPr>
                <w:rFonts w:hint="eastAsia"/>
                <w:color w:val="auto"/>
                <w:sz w:val="21"/>
                <w:szCs w:val="21"/>
              </w:rPr>
              <w:t>对周围环境影响</w:t>
            </w:r>
          </w:p>
        </w:tc>
        <w:tc>
          <w:tcPr>
            <w:tcW w:w="1843" w:type="dxa"/>
            <w:vAlign w:val="center"/>
          </w:tcPr>
          <w:p>
            <w:pPr>
              <w:jc w:val="center"/>
              <w:rPr>
                <w:color w:val="auto"/>
                <w:sz w:val="21"/>
                <w:szCs w:val="21"/>
              </w:rPr>
            </w:pPr>
            <w:r>
              <w:rPr>
                <w:rFonts w:hint="eastAsia"/>
                <w:color w:val="auto"/>
                <w:sz w:val="21"/>
                <w:szCs w:val="21"/>
              </w:rPr>
              <w:t>少</w:t>
            </w:r>
          </w:p>
        </w:tc>
        <w:tc>
          <w:tcPr>
            <w:tcW w:w="2030" w:type="dxa"/>
            <w:vAlign w:val="center"/>
          </w:tcPr>
          <w:p>
            <w:pPr>
              <w:jc w:val="center"/>
              <w:rPr>
                <w:color w:val="auto"/>
                <w:sz w:val="21"/>
                <w:szCs w:val="21"/>
              </w:rPr>
            </w:pPr>
            <w:r>
              <w:rPr>
                <w:rFonts w:hint="eastAsia"/>
                <w:color w:val="auto"/>
                <w:sz w:val="21"/>
                <w:szCs w:val="21"/>
              </w:rPr>
              <w:t>多</w:t>
            </w:r>
          </w:p>
        </w:tc>
        <w:tc>
          <w:tcPr>
            <w:tcW w:w="2131" w:type="dxa"/>
            <w:vAlign w:val="center"/>
          </w:tcPr>
          <w:p>
            <w:pPr>
              <w:jc w:val="center"/>
              <w:rPr>
                <w:color w:val="auto"/>
                <w:sz w:val="21"/>
                <w:szCs w:val="21"/>
              </w:rPr>
            </w:pPr>
            <w:r>
              <w:rPr>
                <w:rFonts w:hint="eastAsia"/>
                <w:color w:val="auto"/>
                <w:sz w:val="21"/>
                <w:szCs w:val="21"/>
              </w:rPr>
              <w:t>中</w:t>
            </w:r>
          </w:p>
        </w:tc>
      </w:tr>
    </w:tbl>
    <w:p>
      <w:pPr>
        <w:spacing w:line="360" w:lineRule="auto"/>
        <w:ind w:firstLine="480" w:firstLineChars="200"/>
        <w:rPr>
          <w:color w:val="auto"/>
          <w:sz w:val="24"/>
          <w:szCs w:val="24"/>
        </w:rPr>
      </w:pPr>
      <w:r>
        <w:rPr>
          <w:rFonts w:hint="eastAsia"/>
          <w:color w:val="auto"/>
          <w:sz w:val="24"/>
          <w:szCs w:val="24"/>
        </w:rPr>
        <w:t>考虑到本工程出泥含水率要求≤60%，污泥脱水采用</w:t>
      </w:r>
      <w:r>
        <w:rPr>
          <w:rFonts w:hint="eastAsia"/>
          <w:b/>
          <w:color w:val="auto"/>
          <w:sz w:val="24"/>
          <w:szCs w:val="24"/>
        </w:rPr>
        <w:t>板框压滤机</w:t>
      </w:r>
      <w:r>
        <w:rPr>
          <w:rFonts w:hint="eastAsia"/>
          <w:color w:val="auto"/>
          <w:sz w:val="24"/>
          <w:szCs w:val="24"/>
        </w:rPr>
        <w:t>。</w:t>
      </w:r>
    </w:p>
    <w:p>
      <w:pPr>
        <w:pStyle w:val="3"/>
        <w:rPr>
          <w:color w:val="auto"/>
        </w:rPr>
      </w:pPr>
      <w:bookmarkStart w:id="94" w:name="_Toc26599"/>
      <w:bookmarkStart w:id="95" w:name="_Toc26276825"/>
      <w:r>
        <w:rPr>
          <w:rFonts w:hint="eastAsia"/>
          <w:color w:val="auto"/>
        </w:rPr>
        <w:t>3.6污染源源强核算及影响因素分析</w:t>
      </w:r>
      <w:bookmarkEnd w:id="94"/>
      <w:bookmarkEnd w:id="95"/>
    </w:p>
    <w:p>
      <w:pPr>
        <w:pStyle w:val="4"/>
        <w:rPr>
          <w:color w:val="auto"/>
        </w:rPr>
      </w:pPr>
      <w:bookmarkStart w:id="96" w:name="_Toc26276826"/>
      <w:r>
        <w:rPr>
          <w:rFonts w:hint="eastAsia"/>
          <w:color w:val="auto"/>
        </w:rPr>
        <w:t>3.6.1生产工艺及产污环节</w:t>
      </w:r>
      <w:bookmarkEnd w:id="96"/>
    </w:p>
    <w:p>
      <w:pPr>
        <w:pStyle w:val="5"/>
        <w:rPr>
          <w:color w:val="auto"/>
        </w:rPr>
      </w:pPr>
      <w:r>
        <w:rPr>
          <w:rFonts w:hint="eastAsia"/>
          <w:color w:val="auto"/>
        </w:rPr>
        <w:t>3.6.1.1施工期工艺流程及产污分析</w:t>
      </w:r>
    </w:p>
    <w:p>
      <w:pPr>
        <w:spacing w:line="360" w:lineRule="auto"/>
        <w:ind w:firstLine="482" w:firstLineChars="200"/>
        <w:rPr>
          <w:b/>
          <w:color w:val="auto"/>
          <w:sz w:val="24"/>
          <w:szCs w:val="24"/>
        </w:rPr>
      </w:pPr>
      <w:r>
        <w:rPr>
          <w:rFonts w:hint="eastAsia"/>
          <w:b/>
          <w:color w:val="auto"/>
          <w:sz w:val="24"/>
          <w:szCs w:val="24"/>
        </w:rPr>
        <w:t>1、水质净化厂施工工艺</w:t>
      </w:r>
    </w:p>
    <w:p>
      <w:pPr>
        <w:spacing w:line="360" w:lineRule="auto"/>
        <w:ind w:firstLine="480" w:firstLineChars="200"/>
        <w:rPr>
          <w:color w:val="auto"/>
          <w:sz w:val="24"/>
          <w:szCs w:val="24"/>
        </w:rPr>
      </w:pPr>
      <w:r>
        <w:rPr>
          <w:rFonts w:hint="eastAsia"/>
          <w:color w:val="auto"/>
          <w:sz w:val="24"/>
          <w:szCs w:val="24"/>
        </w:rPr>
        <w:t>水质净化厂施工主要包括场地清理、场地平整、基坑开挖、设施建设与设备安装等，其工艺流程及产污环节详见下图。</w:t>
      </w:r>
    </w:p>
    <w:p>
      <w:pPr>
        <w:spacing w:line="360" w:lineRule="auto"/>
        <w:jc w:val="center"/>
        <w:rPr>
          <w:color w:val="auto"/>
          <w:sz w:val="24"/>
          <w:szCs w:val="24"/>
        </w:rPr>
      </w:pPr>
      <w:r>
        <w:rPr>
          <w:color w:val="auto"/>
          <w:sz w:val="24"/>
          <w:szCs w:val="24"/>
        </w:rPr>
        <w:drawing>
          <wp:inline distT="0" distB="0" distL="0" distR="0">
            <wp:extent cx="5450205" cy="1656080"/>
            <wp:effectExtent l="0" t="0" r="5715" b="508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noChangeArrowheads="1"/>
                    </pic:cNvPicPr>
                  </pic:nvPicPr>
                  <pic:blipFill>
                    <a:blip r:embed="rId31" cstate="print"/>
                    <a:srcRect/>
                    <a:stretch>
                      <a:fillRect/>
                    </a:stretch>
                  </pic:blipFill>
                  <pic:spPr>
                    <a:xfrm>
                      <a:off x="0" y="0"/>
                      <a:ext cx="5450205" cy="1656080"/>
                    </a:xfrm>
                    <a:prstGeom prst="rect">
                      <a:avLst/>
                    </a:prstGeom>
                    <a:noFill/>
                    <a:ln w="9525">
                      <a:noFill/>
                      <a:miter lim="800000"/>
                      <a:headEnd/>
                      <a:tailEnd/>
                    </a:ln>
                  </pic:spPr>
                </pic:pic>
              </a:graphicData>
            </a:graphic>
          </wp:inline>
        </w:drawing>
      </w:r>
    </w:p>
    <w:p>
      <w:pPr>
        <w:pStyle w:val="52"/>
        <w:spacing w:line="360" w:lineRule="auto"/>
        <w:ind w:left="420" w:firstLine="0" w:firstLineChars="0"/>
        <w:jc w:val="center"/>
        <w:rPr>
          <w:b/>
          <w:color w:val="auto"/>
          <w:sz w:val="24"/>
          <w:szCs w:val="24"/>
        </w:rPr>
      </w:pPr>
      <w:r>
        <w:rPr>
          <w:rFonts w:ascii="Times New Roman" w:cs="Times New Roman"/>
          <w:b/>
          <w:color w:val="auto"/>
          <w:sz w:val="24"/>
          <w:szCs w:val="24"/>
        </w:rPr>
        <w:t>图</w:t>
      </w:r>
      <w:r>
        <w:rPr>
          <w:rFonts w:ascii="Times New Roman" w:hAnsi="Times New Roman" w:cs="Times New Roman"/>
          <w:b/>
          <w:color w:val="auto"/>
          <w:sz w:val="24"/>
          <w:szCs w:val="24"/>
        </w:rPr>
        <w:t>3-6-1</w:t>
      </w:r>
      <w:r>
        <w:rPr>
          <w:rFonts w:hint="eastAsia"/>
          <w:b/>
          <w:color w:val="auto"/>
          <w:sz w:val="24"/>
          <w:szCs w:val="24"/>
        </w:rPr>
        <w:t xml:space="preserve">   水质净化厂施工流程及产污环节图</w:t>
      </w:r>
    </w:p>
    <w:p>
      <w:pPr>
        <w:spacing w:line="360" w:lineRule="auto"/>
        <w:ind w:firstLine="482" w:firstLineChars="200"/>
        <w:jc w:val="left"/>
        <w:rPr>
          <w:b/>
          <w:color w:val="auto"/>
          <w:sz w:val="24"/>
          <w:szCs w:val="24"/>
        </w:rPr>
      </w:pPr>
      <w:r>
        <w:rPr>
          <w:rFonts w:hint="eastAsia"/>
          <w:b/>
          <w:color w:val="auto"/>
          <w:sz w:val="24"/>
          <w:szCs w:val="24"/>
        </w:rPr>
        <w:t>2、管道施工工艺</w:t>
      </w:r>
    </w:p>
    <w:p>
      <w:pPr>
        <w:spacing w:line="360" w:lineRule="auto"/>
        <w:ind w:firstLine="480" w:firstLineChars="200"/>
        <w:jc w:val="left"/>
        <w:rPr>
          <w:color w:val="auto"/>
          <w:sz w:val="24"/>
          <w:szCs w:val="24"/>
        </w:rPr>
      </w:pPr>
      <w:r>
        <w:rPr>
          <w:rFonts w:hint="eastAsia"/>
          <w:color w:val="auto"/>
          <w:sz w:val="24"/>
          <w:szCs w:val="24"/>
        </w:rPr>
        <w:t>污水管道施工工艺主要包括：测量放线、管沟开挖、管沟建设、管道下沟、管道连接及接缝检验、管道试压与冲洗、铺装盖板及管沟回填、路面恢复、竣工验收，其工艺流程及产污环节详见下图。</w:t>
      </w:r>
    </w:p>
    <w:p>
      <w:pPr>
        <w:spacing w:line="360" w:lineRule="auto"/>
        <w:jc w:val="center"/>
        <w:rPr>
          <w:color w:val="auto"/>
          <w:sz w:val="24"/>
          <w:szCs w:val="24"/>
        </w:rPr>
      </w:pPr>
      <w:r>
        <w:rPr>
          <w:color w:val="auto"/>
          <w:sz w:val="24"/>
          <w:szCs w:val="24"/>
        </w:rPr>
        <w:drawing>
          <wp:inline distT="0" distB="0" distL="0" distR="0">
            <wp:extent cx="5255895" cy="2484120"/>
            <wp:effectExtent l="19050" t="0" r="1800" b="0"/>
            <wp:docPr id="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
                    <pic:cNvPicPr>
                      <a:picLocks noChangeAspect="1" noChangeArrowheads="1"/>
                    </pic:cNvPicPr>
                  </pic:nvPicPr>
                  <pic:blipFill>
                    <a:blip r:embed="rId32" cstate="print"/>
                    <a:srcRect/>
                    <a:stretch>
                      <a:fillRect/>
                    </a:stretch>
                  </pic:blipFill>
                  <pic:spPr>
                    <a:xfrm>
                      <a:off x="0" y="0"/>
                      <a:ext cx="5256000" cy="2484505"/>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图3-6-2   管道埋设施工工艺流程及产污环节图</w:t>
      </w:r>
    </w:p>
    <w:p>
      <w:pPr>
        <w:spacing w:line="360" w:lineRule="auto"/>
        <w:ind w:firstLine="480" w:firstLineChars="200"/>
        <w:rPr>
          <w:color w:val="auto"/>
          <w:sz w:val="24"/>
          <w:szCs w:val="24"/>
        </w:rPr>
      </w:pPr>
      <w:r>
        <w:rPr>
          <w:rFonts w:hint="eastAsia"/>
          <w:color w:val="auto"/>
          <w:sz w:val="24"/>
          <w:szCs w:val="24"/>
        </w:rPr>
        <w:t>本项目施工期主要的环境问题是施工引起的水土流失和植被破坏、挖方弃土以及施工过程产生的施工噪声、扬尘、废水、固体废物等。施工过程对环境的影响是多方面的，但是是暂时的，多数影响随着施工的结束而消失。施工期主要污染工序为：</w:t>
      </w:r>
    </w:p>
    <w:p>
      <w:pPr>
        <w:spacing w:line="360" w:lineRule="auto"/>
        <w:ind w:firstLine="480" w:firstLineChars="200"/>
        <w:rPr>
          <w:color w:val="auto"/>
          <w:sz w:val="24"/>
          <w:szCs w:val="24"/>
        </w:rPr>
      </w:pPr>
      <w:r>
        <w:rPr>
          <w:rFonts w:hint="eastAsia"/>
          <w:color w:val="auto"/>
          <w:sz w:val="24"/>
          <w:szCs w:val="24"/>
        </w:rPr>
        <w:t>（1）大气污染工序</w:t>
      </w:r>
    </w:p>
    <w:p>
      <w:pPr>
        <w:spacing w:line="360" w:lineRule="auto"/>
        <w:ind w:firstLine="480" w:firstLineChars="200"/>
        <w:rPr>
          <w:color w:val="auto"/>
          <w:sz w:val="24"/>
          <w:szCs w:val="24"/>
        </w:rPr>
      </w:pPr>
      <w:r>
        <w:rPr>
          <w:rFonts w:hint="eastAsia"/>
          <w:color w:val="auto"/>
          <w:sz w:val="24"/>
          <w:szCs w:val="24"/>
        </w:rPr>
        <w:t>①施工扬尘；②管道焊接烟气；③汽车尾气以及机械设备运转产生的废气；④装修废气。</w:t>
      </w:r>
    </w:p>
    <w:p>
      <w:pPr>
        <w:spacing w:line="360" w:lineRule="auto"/>
        <w:ind w:firstLine="480" w:firstLineChars="200"/>
        <w:rPr>
          <w:color w:val="auto"/>
          <w:sz w:val="24"/>
          <w:szCs w:val="24"/>
        </w:rPr>
      </w:pPr>
      <w:r>
        <w:rPr>
          <w:rFonts w:hint="eastAsia"/>
          <w:color w:val="auto"/>
          <w:sz w:val="24"/>
          <w:szCs w:val="24"/>
        </w:rPr>
        <w:t>（2）水污染工序</w:t>
      </w:r>
    </w:p>
    <w:p>
      <w:pPr>
        <w:spacing w:line="360" w:lineRule="auto"/>
        <w:ind w:firstLine="480" w:firstLineChars="200"/>
        <w:rPr>
          <w:color w:val="auto"/>
          <w:sz w:val="24"/>
          <w:szCs w:val="24"/>
        </w:rPr>
      </w:pPr>
      <w:r>
        <w:rPr>
          <w:rFonts w:hint="eastAsia"/>
          <w:color w:val="auto"/>
          <w:sz w:val="24"/>
          <w:szCs w:val="24"/>
        </w:rPr>
        <w:t>①施工人员生活污水；②施工废水；③管道试压废水。</w:t>
      </w:r>
    </w:p>
    <w:p>
      <w:pPr>
        <w:spacing w:line="360" w:lineRule="auto"/>
        <w:ind w:firstLine="480" w:firstLineChars="200"/>
        <w:rPr>
          <w:color w:val="auto"/>
          <w:sz w:val="24"/>
          <w:szCs w:val="24"/>
        </w:rPr>
      </w:pPr>
      <w:r>
        <w:rPr>
          <w:rFonts w:hint="eastAsia"/>
          <w:color w:val="auto"/>
          <w:sz w:val="24"/>
          <w:szCs w:val="24"/>
        </w:rPr>
        <w:t>（3）固体废弃物污染工序</w:t>
      </w:r>
    </w:p>
    <w:p>
      <w:pPr>
        <w:spacing w:line="360" w:lineRule="auto"/>
        <w:ind w:firstLine="480" w:firstLineChars="200"/>
        <w:rPr>
          <w:color w:val="auto"/>
          <w:sz w:val="24"/>
          <w:szCs w:val="24"/>
        </w:rPr>
      </w:pPr>
      <w:r>
        <w:rPr>
          <w:rFonts w:hint="eastAsia"/>
          <w:color w:val="auto"/>
          <w:sz w:val="24"/>
          <w:szCs w:val="24"/>
        </w:rPr>
        <w:t>①施工人员生活垃圾；②建筑垃圾；③弃土。</w:t>
      </w:r>
    </w:p>
    <w:p>
      <w:pPr>
        <w:spacing w:line="360" w:lineRule="auto"/>
        <w:ind w:firstLine="480" w:firstLineChars="200"/>
        <w:rPr>
          <w:color w:val="auto"/>
          <w:sz w:val="24"/>
          <w:szCs w:val="24"/>
        </w:rPr>
      </w:pPr>
      <w:r>
        <w:rPr>
          <w:rFonts w:hint="eastAsia"/>
          <w:color w:val="auto"/>
          <w:sz w:val="24"/>
          <w:szCs w:val="24"/>
        </w:rPr>
        <w:t>（4）噪声污染工序</w:t>
      </w:r>
    </w:p>
    <w:p>
      <w:pPr>
        <w:spacing w:line="360" w:lineRule="auto"/>
        <w:ind w:firstLine="480" w:firstLineChars="200"/>
        <w:rPr>
          <w:color w:val="auto"/>
          <w:sz w:val="24"/>
          <w:szCs w:val="24"/>
        </w:rPr>
      </w:pPr>
      <w:r>
        <w:rPr>
          <w:rFonts w:hint="eastAsia"/>
          <w:color w:val="auto"/>
          <w:sz w:val="24"/>
          <w:szCs w:val="24"/>
        </w:rPr>
        <w:t>①施工噪声；②交通运输噪声。</w:t>
      </w:r>
    </w:p>
    <w:p>
      <w:pPr>
        <w:spacing w:line="360" w:lineRule="auto"/>
        <w:ind w:firstLine="480" w:firstLineChars="200"/>
        <w:rPr>
          <w:color w:val="auto"/>
          <w:sz w:val="24"/>
          <w:szCs w:val="24"/>
        </w:rPr>
      </w:pPr>
      <w:r>
        <w:rPr>
          <w:rFonts w:hint="eastAsia"/>
          <w:color w:val="auto"/>
          <w:sz w:val="24"/>
          <w:szCs w:val="24"/>
        </w:rPr>
        <w:t>（5）生态环境污染</w:t>
      </w:r>
    </w:p>
    <w:p>
      <w:pPr>
        <w:spacing w:line="360" w:lineRule="auto"/>
        <w:ind w:firstLine="480" w:firstLineChars="200"/>
        <w:rPr>
          <w:color w:val="auto"/>
          <w:sz w:val="24"/>
          <w:szCs w:val="24"/>
        </w:rPr>
      </w:pPr>
      <w:r>
        <w:rPr>
          <w:rFonts w:hint="eastAsia"/>
          <w:color w:val="auto"/>
          <w:sz w:val="24"/>
          <w:szCs w:val="24"/>
        </w:rPr>
        <w:t>①施工期</w:t>
      </w:r>
      <w:r>
        <w:rPr>
          <w:rFonts w:hAnsi="宋体"/>
          <w:color w:val="auto"/>
          <w:sz w:val="24"/>
        </w:rPr>
        <w:t>对植被和陆生植物的影响</w:t>
      </w:r>
      <w:r>
        <w:rPr>
          <w:rFonts w:hint="eastAsia"/>
          <w:color w:val="auto"/>
          <w:sz w:val="24"/>
          <w:szCs w:val="24"/>
        </w:rPr>
        <w:t>；②</w:t>
      </w:r>
      <w:r>
        <w:rPr>
          <w:rFonts w:hAnsi="宋体"/>
          <w:color w:val="auto"/>
          <w:sz w:val="24"/>
        </w:rPr>
        <w:t>对陆生动物的影响</w:t>
      </w:r>
      <w:r>
        <w:rPr>
          <w:rFonts w:hint="eastAsia"/>
          <w:color w:val="auto"/>
          <w:sz w:val="24"/>
          <w:szCs w:val="24"/>
        </w:rPr>
        <w:t>。</w:t>
      </w:r>
    </w:p>
    <w:p>
      <w:pPr>
        <w:pStyle w:val="5"/>
        <w:rPr>
          <w:color w:val="auto"/>
        </w:rPr>
      </w:pPr>
      <w:r>
        <w:rPr>
          <w:rFonts w:hint="eastAsia"/>
          <w:color w:val="auto"/>
        </w:rPr>
        <w:t>3.6.1.2运营期工艺流程及产污分析</w:t>
      </w:r>
    </w:p>
    <w:p>
      <w:pPr>
        <w:spacing w:line="360" w:lineRule="auto"/>
        <w:ind w:firstLine="482" w:firstLineChars="200"/>
        <w:rPr>
          <w:color w:val="auto"/>
          <w:sz w:val="24"/>
          <w:szCs w:val="24"/>
        </w:rPr>
      </w:pPr>
      <w:r>
        <w:rPr>
          <w:rFonts w:hint="eastAsia"/>
          <w:b/>
          <w:bCs/>
          <w:color w:val="auto"/>
          <w:sz w:val="24"/>
          <w:szCs w:val="24"/>
        </w:rPr>
        <w:t>工艺流程说明</w:t>
      </w:r>
    </w:p>
    <w:p>
      <w:pPr>
        <w:spacing w:line="360" w:lineRule="auto"/>
        <w:ind w:firstLine="480" w:firstLineChars="200"/>
        <w:rPr>
          <w:color w:val="auto"/>
          <w:sz w:val="24"/>
          <w:szCs w:val="24"/>
        </w:rPr>
      </w:pPr>
      <w:r>
        <w:rPr>
          <w:rFonts w:hint="eastAsia"/>
          <w:color w:val="auto"/>
          <w:sz w:val="24"/>
          <w:szCs w:val="24"/>
        </w:rPr>
        <w:t>本项目污水处理采用“曝气沉砂池+应急沉淀池+倒置AAO+曝气生物滤池+高效沉淀池+转盘滤池+消毒接触池”工艺；污泥处理采用“重力浓缩+板框脱水”工艺。</w:t>
      </w:r>
    </w:p>
    <w:p>
      <w:pPr>
        <w:spacing w:line="360" w:lineRule="auto"/>
        <w:ind w:firstLine="480" w:firstLineChars="200"/>
        <w:rPr>
          <w:color w:val="auto"/>
          <w:sz w:val="24"/>
          <w:szCs w:val="24"/>
        </w:rPr>
      </w:pPr>
      <w:r>
        <w:rPr>
          <w:rFonts w:hint="eastAsia"/>
          <w:color w:val="auto"/>
          <w:sz w:val="24"/>
          <w:szCs w:val="24"/>
        </w:rPr>
        <w:t>本项目主要收集和处理五华河东绿色生态工业小镇南区的大部分污水（包括生活污水和工业废水）及五华河东绿色生态工业小镇南区东边村庄的生活污水。目前，五华河东绿色生态工业小镇还处于招商引资阶段，后期接纳的工业废水具有不确定性，根据园区准入条件及环保要求，五华河东绿色生态工业小镇主要引入符合国家产业政策、无污染或轻污染的一、二类工业，严禁引进排放含有毒有害物质和一类污染物的项目。因此，本项目接纳的废水不属于含重金属污水，污染因子主要为COD</w:t>
      </w:r>
      <w:r>
        <w:rPr>
          <w:rFonts w:hint="eastAsia"/>
          <w:color w:val="auto"/>
          <w:sz w:val="24"/>
          <w:szCs w:val="24"/>
          <w:vertAlign w:val="subscript"/>
        </w:rPr>
        <w:t>Cr</w:t>
      </w:r>
      <w:r>
        <w:rPr>
          <w:rFonts w:hint="eastAsia"/>
          <w:color w:val="auto"/>
          <w:sz w:val="24"/>
          <w:szCs w:val="24"/>
        </w:rPr>
        <w:t>、BOD</w:t>
      </w:r>
      <w:r>
        <w:rPr>
          <w:rFonts w:hint="eastAsia"/>
          <w:color w:val="auto"/>
          <w:sz w:val="24"/>
          <w:szCs w:val="24"/>
          <w:vertAlign w:val="subscript"/>
        </w:rPr>
        <w:t>5</w:t>
      </w:r>
      <w:r>
        <w:rPr>
          <w:rFonts w:hint="eastAsia"/>
          <w:color w:val="auto"/>
          <w:sz w:val="24"/>
          <w:szCs w:val="24"/>
        </w:rPr>
        <w:t>、SS和氨氮，废水成分较为简单，可经生产企业预处理设施处理后接入园区污水管道。</w:t>
      </w:r>
    </w:p>
    <w:p>
      <w:pPr>
        <w:spacing w:line="360" w:lineRule="auto"/>
        <w:ind w:firstLine="480" w:firstLineChars="200"/>
        <w:rPr>
          <w:color w:val="auto"/>
          <w:sz w:val="24"/>
          <w:szCs w:val="24"/>
        </w:rPr>
      </w:pPr>
      <w:r>
        <w:rPr>
          <w:rFonts w:hint="eastAsia"/>
          <w:color w:val="auto"/>
          <w:sz w:val="24"/>
          <w:szCs w:val="24"/>
        </w:rPr>
        <w:t>本项目接纳的污水经粗格栅井拦截粗大的树枝木棍、布片、塑料制品等杂物，有效防止后续处理构筑物的机械设备和管道被磨损或阻塞，使后续处理流程能顺利进行。粗格栅后设置细格栅井，进一步去除污水中的细小悬浮物及细小纤维，降低生物处理负荷，防止布条等物体的带入对后续处理流程中搅拌器叶轮等装置造成影响。</w:t>
      </w:r>
    </w:p>
    <w:p>
      <w:pPr>
        <w:spacing w:line="360" w:lineRule="auto"/>
        <w:ind w:firstLine="480" w:firstLineChars="200"/>
        <w:rPr>
          <w:color w:val="auto"/>
          <w:sz w:val="24"/>
          <w:szCs w:val="24"/>
        </w:rPr>
      </w:pPr>
      <w:r>
        <w:rPr>
          <w:rFonts w:hint="eastAsia"/>
          <w:color w:val="auto"/>
          <w:sz w:val="24"/>
          <w:szCs w:val="24"/>
        </w:rPr>
        <w:t>本项目建成后，可能存在工业废水排放冲击，为有效解决工业废水对水质净水厂的冲击，本项目于生物反应池前设置应急沉淀池，若发现进水不正常，可接入应急沉淀池加药处理，使得水质净化厂有一定缓冲能力，为上游排查争取响应时间。</w:t>
      </w:r>
    </w:p>
    <w:p>
      <w:pPr>
        <w:spacing w:line="360" w:lineRule="auto"/>
        <w:ind w:firstLine="480" w:firstLineChars="200"/>
        <w:rPr>
          <w:color w:val="auto"/>
          <w:sz w:val="24"/>
          <w:szCs w:val="24"/>
        </w:rPr>
      </w:pPr>
      <w:r>
        <w:rPr>
          <w:rFonts w:hint="eastAsia"/>
          <w:color w:val="auto"/>
          <w:sz w:val="24"/>
          <w:szCs w:val="24"/>
        </w:rPr>
        <w:t>污水预处理后排入倒置AAO反应池，首先进入倒置AAO工艺中的缺氧区，在缺氧条件下充分去除回流活性污泥中硝酸盐后，再将活性污泥回流至厌氧池，此过程完全可以做到硝酸盐的零回流，从而使厌氧池释放磷的效率大大提高，并且来水直接进入到缺氧池，使反硝化菌有足够的碳源进行反硝化，增强了反硝化的能力，有利于除氮的进行。最后进入好氧区，好氧的形式仍然为传统的活性污泥法，采用微孔曝气，使污水与活性污泥充分接触，在好氧菌的作用下，水中的有机物不断地被细菌分解成CO</w:t>
      </w:r>
      <w:r>
        <w:rPr>
          <w:rFonts w:hint="eastAsia"/>
          <w:color w:val="auto"/>
          <w:sz w:val="24"/>
          <w:szCs w:val="24"/>
          <w:vertAlign w:val="subscript"/>
        </w:rPr>
        <w:t>2</w:t>
      </w:r>
      <w:r>
        <w:rPr>
          <w:rFonts w:hint="eastAsia"/>
          <w:color w:val="auto"/>
          <w:sz w:val="24"/>
          <w:szCs w:val="24"/>
        </w:rPr>
        <w:t>与H</w:t>
      </w:r>
      <w:r>
        <w:rPr>
          <w:rFonts w:hint="eastAsia"/>
          <w:color w:val="auto"/>
          <w:sz w:val="24"/>
          <w:szCs w:val="24"/>
          <w:vertAlign w:val="subscript"/>
        </w:rPr>
        <w:t>2</w:t>
      </w:r>
      <w:r>
        <w:rPr>
          <w:rFonts w:hint="eastAsia"/>
          <w:color w:val="auto"/>
          <w:sz w:val="24"/>
          <w:szCs w:val="24"/>
        </w:rPr>
        <w:t>O而使出水的COD、BOD达标。</w:t>
      </w:r>
    </w:p>
    <w:p>
      <w:pPr>
        <w:spacing w:line="360" w:lineRule="auto"/>
        <w:ind w:firstLine="480" w:firstLineChars="200"/>
        <w:rPr>
          <w:color w:val="auto"/>
          <w:sz w:val="24"/>
          <w:szCs w:val="24"/>
        </w:rPr>
      </w:pPr>
      <w:r>
        <w:rPr>
          <w:rFonts w:hint="eastAsia"/>
          <w:color w:val="auto"/>
          <w:sz w:val="24"/>
          <w:szCs w:val="24"/>
        </w:rPr>
        <w:t>生物降解后，混合液慢慢地从好氧区进入二沉池，由于活性污泥沉降性能好，密度大于水，所以污泥会沉降到污泥斗中，而二沉池的污泥斗与好氧池是连通的，当污泥积累到一定程度，在重力的作用下，污泥自然地滑落到好氧区，然后在微孔曝起器的搅动下，又散布于水中，随循环水流一起进行生化作用。污泥自动回流到好氧池，可以节省投资和运行的电费。</w:t>
      </w:r>
    </w:p>
    <w:p>
      <w:pPr>
        <w:spacing w:line="360" w:lineRule="auto"/>
        <w:ind w:firstLine="480" w:firstLineChars="200"/>
        <w:rPr>
          <w:color w:val="auto"/>
          <w:sz w:val="24"/>
          <w:szCs w:val="24"/>
        </w:rPr>
      </w:pPr>
      <w:r>
        <w:rPr>
          <w:rFonts w:hint="eastAsia"/>
          <w:color w:val="auto"/>
          <w:sz w:val="24"/>
          <w:szCs w:val="24"/>
        </w:rPr>
        <w:t>由于本工程出水标准较高，单一生物处理已难以满足出水水质要求，故倒置AAO工艺后设置曝气生物滤池，污水在生物滤池的滤料上可以发生有机物的代谢过程，还可将生物转化过程产生的剩余污泥和进水带入的悬浮物进一步截流在滤池内，起到生物过滤的作用。</w:t>
      </w:r>
    </w:p>
    <w:p>
      <w:pPr>
        <w:spacing w:line="360" w:lineRule="auto"/>
        <w:ind w:firstLine="480" w:firstLineChars="200"/>
        <w:rPr>
          <w:color w:val="auto"/>
          <w:sz w:val="24"/>
          <w:szCs w:val="24"/>
        </w:rPr>
      </w:pPr>
      <w:r>
        <w:rPr>
          <w:rFonts w:hint="eastAsia"/>
          <w:color w:val="auto"/>
          <w:sz w:val="24"/>
          <w:szCs w:val="24"/>
        </w:rPr>
        <w:t>经生物处理后的污水经高效沉淀池、转盘滤池、消毒接触池沉淀、过滤、消毒处理，进一步降低悬浮物、粪大肠杆菌等污染物浓度，使出水达到《地表水环境质量标准》（GB3838-2002）准Ⅳ类标准（即SS、粪大肠菌群数达到《城镇污水处理厂污染物排放标准》（GB18918-2002）中的一级A出水标准，其它主要污染指标达到地表水Ⅳ类标准，TN放宽至10mg/L），处理达标的尾水部分回用，其余均重力排入大嵩河，排放水量为5600m</w:t>
      </w:r>
      <w:r>
        <w:rPr>
          <w:rFonts w:hint="eastAsia"/>
          <w:color w:val="auto"/>
          <w:sz w:val="24"/>
          <w:szCs w:val="24"/>
          <w:vertAlign w:val="superscript"/>
        </w:rPr>
        <w:t>3</w:t>
      </w:r>
      <w:r>
        <w:rPr>
          <w:rFonts w:hint="eastAsia"/>
          <w:color w:val="auto"/>
          <w:sz w:val="24"/>
          <w:szCs w:val="24"/>
        </w:rPr>
        <w:t xml:space="preserve">/d。 </w:t>
      </w:r>
    </w:p>
    <w:p>
      <w:pPr>
        <w:spacing w:line="360" w:lineRule="auto"/>
        <w:ind w:firstLine="480" w:firstLineChars="200"/>
        <w:rPr>
          <w:color w:val="auto"/>
          <w:sz w:val="24"/>
          <w:szCs w:val="24"/>
        </w:rPr>
      </w:pPr>
      <w:r>
        <w:rPr>
          <w:rFonts w:hint="eastAsia"/>
          <w:color w:val="auto"/>
          <w:sz w:val="24"/>
          <w:szCs w:val="24"/>
        </w:rPr>
        <w:t>本项目二沉池产生的剩余污泥和高效沉淀池产生的深度处理污泥排入污泥浓缩池，经污泥均质池调节后使用重力浓缩+板框脱水工艺进行脱水。</w:t>
      </w:r>
    </w:p>
    <w:p>
      <w:pPr>
        <w:spacing w:line="360" w:lineRule="auto"/>
        <w:ind w:firstLine="480" w:firstLineChars="200"/>
        <w:rPr>
          <w:color w:val="auto"/>
          <w:sz w:val="24"/>
          <w:szCs w:val="24"/>
        </w:rPr>
      </w:pPr>
      <w:r>
        <w:rPr>
          <w:rFonts w:hint="eastAsia"/>
          <w:color w:val="auto"/>
          <w:sz w:val="24"/>
          <w:szCs w:val="24"/>
        </w:rPr>
        <w:t>本项目运营期工艺流程与产污环节见下图。</w:t>
      </w:r>
    </w:p>
    <w:p>
      <w:pPr>
        <w:spacing w:line="360" w:lineRule="auto"/>
        <w:jc w:val="center"/>
        <w:rPr>
          <w:color w:val="auto"/>
          <w:sz w:val="24"/>
          <w:szCs w:val="24"/>
        </w:rPr>
        <w:sectPr>
          <w:pgSz w:w="11906" w:h="16838"/>
          <w:pgMar w:top="1440" w:right="1800" w:bottom="1440" w:left="1800" w:header="851" w:footer="992" w:gutter="0"/>
          <w:cols w:space="425" w:num="1"/>
          <w:docGrid w:type="lines" w:linePitch="312" w:charSpace="0"/>
        </w:sectPr>
      </w:pPr>
    </w:p>
    <w:p>
      <w:pPr>
        <w:spacing w:line="360" w:lineRule="auto"/>
        <w:jc w:val="center"/>
        <w:rPr>
          <w:color w:val="auto"/>
          <w:sz w:val="24"/>
          <w:szCs w:val="24"/>
        </w:rPr>
      </w:pPr>
      <w:r>
        <w:rPr>
          <w:color w:val="auto"/>
          <w:sz w:val="24"/>
          <w:szCs w:val="24"/>
        </w:rPr>
        <w:drawing>
          <wp:inline distT="0" distB="0" distL="0" distR="0">
            <wp:extent cx="8774430" cy="2879725"/>
            <wp:effectExtent l="19050" t="0" r="7496" b="0"/>
            <wp:docPr id="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
                    <pic:cNvPicPr>
                      <a:picLocks noChangeAspect="1" noChangeArrowheads="1"/>
                    </pic:cNvPicPr>
                  </pic:nvPicPr>
                  <pic:blipFill>
                    <a:blip r:embed="rId33" cstate="print"/>
                    <a:srcRect/>
                    <a:stretch>
                      <a:fillRect/>
                    </a:stretch>
                  </pic:blipFill>
                  <pic:spPr>
                    <a:xfrm>
                      <a:off x="0" y="0"/>
                      <a:ext cx="8774554" cy="2880000"/>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图3-6-3   项目运营期工艺流程及产污环节图</w:t>
      </w:r>
    </w:p>
    <w:p>
      <w:pPr>
        <w:spacing w:line="360" w:lineRule="auto"/>
        <w:ind w:firstLine="480" w:firstLineChars="200"/>
        <w:jc w:val="left"/>
        <w:rPr>
          <w:color w:val="auto"/>
          <w:sz w:val="24"/>
          <w:szCs w:val="24"/>
        </w:rPr>
        <w:sectPr>
          <w:pgSz w:w="16838" w:h="11906" w:orient="landscape"/>
          <w:pgMar w:top="1797" w:right="1440" w:bottom="1797" w:left="1440" w:header="851" w:footer="992" w:gutter="0"/>
          <w:cols w:space="425" w:num="1"/>
          <w:docGrid w:type="lines" w:linePitch="312" w:charSpace="0"/>
        </w:sectPr>
      </w:pPr>
    </w:p>
    <w:p>
      <w:pPr>
        <w:spacing w:line="360" w:lineRule="auto"/>
        <w:ind w:firstLine="480" w:firstLineChars="200"/>
        <w:jc w:val="left"/>
        <w:rPr>
          <w:color w:val="auto"/>
          <w:sz w:val="24"/>
          <w:szCs w:val="24"/>
        </w:rPr>
      </w:pPr>
      <w:r>
        <w:rPr>
          <w:rFonts w:hint="eastAsia"/>
          <w:color w:val="auto"/>
          <w:sz w:val="24"/>
          <w:szCs w:val="24"/>
        </w:rPr>
        <w:t>本项目运营期主要的环境问题是废水处理过程中产生的恶臭、废水、污泥及沉渣、设备噪声等，以及生产员工日常作业过程中产生的生活污水、油烟废气、生活垃圾等。运营期主要污染工序为：</w:t>
      </w:r>
    </w:p>
    <w:p>
      <w:pPr>
        <w:spacing w:line="360" w:lineRule="auto"/>
        <w:ind w:firstLine="480" w:firstLineChars="200"/>
        <w:jc w:val="left"/>
        <w:rPr>
          <w:color w:val="auto"/>
          <w:sz w:val="24"/>
          <w:szCs w:val="24"/>
        </w:rPr>
      </w:pPr>
      <w:r>
        <w:rPr>
          <w:rFonts w:hint="eastAsia"/>
          <w:color w:val="auto"/>
          <w:sz w:val="24"/>
          <w:szCs w:val="24"/>
        </w:rPr>
        <w:t>（1）大气污染工序</w:t>
      </w:r>
    </w:p>
    <w:p>
      <w:pPr>
        <w:spacing w:line="360" w:lineRule="auto"/>
        <w:ind w:firstLine="480" w:firstLineChars="200"/>
        <w:jc w:val="left"/>
        <w:rPr>
          <w:color w:val="auto"/>
          <w:sz w:val="24"/>
          <w:szCs w:val="24"/>
        </w:rPr>
      </w:pPr>
      <w:r>
        <w:rPr>
          <w:rFonts w:hint="eastAsia"/>
          <w:color w:val="auto"/>
          <w:sz w:val="24"/>
          <w:szCs w:val="24"/>
        </w:rPr>
        <w:t>①污水处理过程及污泥处理过程中产生的恶臭；②食堂油烟。</w:t>
      </w:r>
    </w:p>
    <w:p>
      <w:pPr>
        <w:spacing w:line="360" w:lineRule="auto"/>
        <w:ind w:firstLine="480" w:firstLineChars="200"/>
        <w:jc w:val="left"/>
        <w:rPr>
          <w:color w:val="auto"/>
          <w:sz w:val="24"/>
          <w:szCs w:val="24"/>
        </w:rPr>
      </w:pPr>
      <w:r>
        <w:rPr>
          <w:rFonts w:hint="eastAsia"/>
          <w:color w:val="auto"/>
          <w:sz w:val="24"/>
          <w:szCs w:val="24"/>
        </w:rPr>
        <w:t>（2）地表水污染工序</w:t>
      </w:r>
    </w:p>
    <w:p>
      <w:pPr>
        <w:spacing w:line="360" w:lineRule="auto"/>
        <w:ind w:firstLine="480" w:firstLineChars="200"/>
        <w:jc w:val="left"/>
        <w:rPr>
          <w:color w:val="auto"/>
          <w:sz w:val="24"/>
          <w:szCs w:val="24"/>
        </w:rPr>
      </w:pPr>
      <w:r>
        <w:rPr>
          <w:rFonts w:hint="eastAsia"/>
          <w:color w:val="auto"/>
          <w:sz w:val="24"/>
          <w:szCs w:val="24"/>
        </w:rPr>
        <w:t>①接纳废水；②生产废水（反冲洗废水、污泥脱水机清洗废水）；③员工生活污水。</w:t>
      </w:r>
    </w:p>
    <w:p>
      <w:pPr>
        <w:spacing w:line="360" w:lineRule="auto"/>
        <w:ind w:firstLine="480" w:firstLineChars="200"/>
        <w:jc w:val="left"/>
        <w:rPr>
          <w:color w:val="auto"/>
          <w:sz w:val="24"/>
          <w:szCs w:val="24"/>
        </w:rPr>
      </w:pPr>
      <w:r>
        <w:rPr>
          <w:rFonts w:hint="eastAsia"/>
          <w:color w:val="auto"/>
          <w:sz w:val="24"/>
          <w:szCs w:val="24"/>
        </w:rPr>
        <w:t>（3）固体废弃物</w:t>
      </w:r>
    </w:p>
    <w:p>
      <w:pPr>
        <w:spacing w:line="360" w:lineRule="auto"/>
        <w:ind w:firstLine="480" w:firstLineChars="200"/>
        <w:jc w:val="left"/>
        <w:rPr>
          <w:color w:val="auto"/>
          <w:sz w:val="24"/>
          <w:szCs w:val="24"/>
        </w:rPr>
      </w:pPr>
      <w:r>
        <w:rPr>
          <w:rFonts w:hint="eastAsia"/>
          <w:color w:val="auto"/>
          <w:sz w:val="24"/>
          <w:szCs w:val="24"/>
        </w:rPr>
        <w:t>①废化学试剂；②格栅渣及污泥；③生活垃圾。</w:t>
      </w:r>
    </w:p>
    <w:p>
      <w:pPr>
        <w:spacing w:line="360" w:lineRule="auto"/>
        <w:ind w:firstLine="480" w:firstLineChars="200"/>
        <w:jc w:val="left"/>
        <w:rPr>
          <w:color w:val="auto"/>
          <w:sz w:val="24"/>
          <w:szCs w:val="24"/>
        </w:rPr>
      </w:pPr>
      <w:r>
        <w:rPr>
          <w:rFonts w:hint="eastAsia"/>
          <w:color w:val="auto"/>
          <w:sz w:val="24"/>
          <w:szCs w:val="24"/>
        </w:rPr>
        <w:t>（4）噪声</w:t>
      </w:r>
    </w:p>
    <w:p>
      <w:pPr>
        <w:spacing w:line="360" w:lineRule="auto"/>
        <w:ind w:firstLine="480" w:firstLineChars="200"/>
        <w:jc w:val="left"/>
        <w:rPr>
          <w:color w:val="auto"/>
          <w:sz w:val="24"/>
          <w:szCs w:val="24"/>
        </w:rPr>
      </w:pPr>
      <w:r>
        <w:rPr>
          <w:rFonts w:hint="eastAsia"/>
          <w:color w:val="auto"/>
          <w:sz w:val="24"/>
          <w:szCs w:val="24"/>
        </w:rPr>
        <w:t>项目营运期噪声主要为各类泵、风机、空压机等设备运行噪声。</w:t>
      </w:r>
    </w:p>
    <w:p>
      <w:pPr>
        <w:pStyle w:val="4"/>
        <w:rPr>
          <w:color w:val="auto"/>
        </w:rPr>
      </w:pPr>
      <w:bookmarkStart w:id="97" w:name="_Toc26276827"/>
      <w:r>
        <w:rPr>
          <w:rFonts w:hint="eastAsia"/>
          <w:color w:val="auto"/>
        </w:rPr>
        <w:t>3.6.2施工期污染</w:t>
      </w:r>
      <w:bookmarkEnd w:id="97"/>
      <w:r>
        <w:rPr>
          <w:rFonts w:hint="eastAsia"/>
          <w:color w:val="auto"/>
        </w:rPr>
        <w:t>源分析</w:t>
      </w:r>
    </w:p>
    <w:p>
      <w:pPr>
        <w:pStyle w:val="5"/>
        <w:rPr>
          <w:color w:val="auto"/>
        </w:rPr>
      </w:pPr>
      <w:r>
        <w:rPr>
          <w:rFonts w:hint="eastAsia"/>
          <w:color w:val="auto"/>
        </w:rPr>
        <w:t>3.6.2.1施工期大气污染源分析</w:t>
      </w:r>
    </w:p>
    <w:p>
      <w:pPr>
        <w:spacing w:line="360" w:lineRule="auto"/>
        <w:ind w:firstLine="482" w:firstLineChars="200"/>
        <w:rPr>
          <w:rFonts w:hAnsi="宋体"/>
          <w:b/>
          <w:color w:val="auto"/>
          <w:sz w:val="24"/>
        </w:rPr>
      </w:pPr>
      <w:r>
        <w:rPr>
          <w:rFonts w:hint="eastAsia" w:hAnsi="宋体"/>
          <w:b/>
          <w:color w:val="auto"/>
          <w:sz w:val="24"/>
        </w:rPr>
        <w:t>1、施工扬尘</w:t>
      </w:r>
    </w:p>
    <w:p>
      <w:pPr>
        <w:spacing w:line="360" w:lineRule="auto"/>
        <w:ind w:firstLine="480" w:firstLineChars="200"/>
        <w:rPr>
          <w:color w:val="auto"/>
          <w:sz w:val="24"/>
        </w:rPr>
      </w:pPr>
      <w:r>
        <w:rPr>
          <w:rFonts w:hAnsi="宋体"/>
          <w:color w:val="auto"/>
          <w:sz w:val="24"/>
        </w:rPr>
        <w:t>施工扬尘主要产生在以下环节：</w:t>
      </w:r>
    </w:p>
    <w:p>
      <w:pPr>
        <w:spacing w:line="360" w:lineRule="auto"/>
        <w:ind w:firstLine="480" w:firstLineChars="200"/>
        <w:rPr>
          <w:color w:val="auto"/>
          <w:sz w:val="24"/>
        </w:rPr>
      </w:pPr>
      <w:r>
        <w:rPr>
          <w:rFonts w:hAnsi="宋体"/>
          <w:color w:val="auto"/>
          <w:sz w:val="24"/>
        </w:rPr>
        <w:t>①建筑材料（白灰、水泥、砂子、石子和砖等）的搬运及堆放扬尘；②施工垃圾的清理及堆放扬尘；③物料运输车辆造成的道路扬尘（包括施工区内工地道路扬尘和施工区外道路扬尘）。</w:t>
      </w:r>
    </w:p>
    <w:p>
      <w:pPr>
        <w:spacing w:line="360" w:lineRule="auto"/>
        <w:ind w:firstLine="480" w:firstLineChars="200"/>
        <w:rPr>
          <w:color w:val="auto"/>
          <w:sz w:val="24"/>
        </w:rPr>
      </w:pPr>
      <w:r>
        <w:rPr>
          <w:rFonts w:hAnsi="宋体"/>
          <w:color w:val="auto"/>
          <w:sz w:val="24"/>
        </w:rPr>
        <w:t>造成扬尘的主要原因是：</w:t>
      </w:r>
    </w:p>
    <w:p>
      <w:pPr>
        <w:spacing w:line="360" w:lineRule="auto"/>
        <w:ind w:firstLine="480" w:firstLineChars="200"/>
        <w:rPr>
          <w:color w:val="auto"/>
          <w:sz w:val="24"/>
        </w:rPr>
      </w:pPr>
      <w:r>
        <w:rPr>
          <w:rFonts w:hAnsi="宋体"/>
          <w:color w:val="auto"/>
          <w:sz w:val="24"/>
        </w:rPr>
        <w:t>①施工场地四周无围挡或围挡不完全，隔尘效果差；②清理建筑垃圾时降尘措施不力；③建筑垃圾运输车、材料运输车不加覆盖或不密封，施工或运输过程中风吹或沿途漏撒，或经车辆碾压产生扬尘；④工地上露天堆放的材料、渣堆等无防尘措施，随风造成扬尘污染。</w:t>
      </w:r>
    </w:p>
    <w:p>
      <w:pPr>
        <w:spacing w:line="360" w:lineRule="auto"/>
        <w:ind w:firstLine="480" w:firstLineChars="200"/>
        <w:rPr>
          <w:rFonts w:hAnsi="宋体"/>
          <w:color w:val="auto"/>
          <w:sz w:val="24"/>
        </w:rPr>
      </w:pPr>
      <w:r>
        <w:rPr>
          <w:rFonts w:hAnsi="宋体"/>
          <w:color w:val="auto"/>
          <w:sz w:val="24"/>
        </w:rPr>
        <w:t>施工扬尘是项目施工期主要的大气污染因子。建设期不同施工阶段产生扬尘的环节较多，且大多数排放源扬尘排放的持续时间较长，如建材堆放扬尘和施工场地车辆行驶产生的道路扬尘等在各施工阶段均存在。扬尘的影响范围较广，主要表现在交通运输沿线道路两侧及施工现场，尤其是天气干燥及风速较大时更为明显，从而使该地块及周围附近地区大气中总悬浮颗粒物浓度增大。</w:t>
      </w:r>
    </w:p>
    <w:p>
      <w:pPr>
        <w:adjustRightInd w:val="0"/>
        <w:snapToGrid w:val="0"/>
        <w:spacing w:line="360" w:lineRule="auto"/>
        <w:ind w:firstLine="480" w:firstLineChars="200"/>
        <w:jc w:val="left"/>
        <w:rPr>
          <w:color w:val="auto"/>
          <w:sz w:val="24"/>
        </w:rPr>
      </w:pPr>
      <w:r>
        <w:rPr>
          <w:rFonts w:hAnsi="宋体"/>
          <w:color w:val="auto"/>
          <w:sz w:val="24"/>
        </w:rPr>
        <w:t>参考《深圳市建筑施工扬尘排放量计算方法》，扬尘排放量核定按物料衡算方法进行，即根据建筑面积（市政工程按施工面积）、施工期和采取的扬尘污染控制措施，按基本排放量和可控排放量分别计算。计算公式如下：</w:t>
      </w:r>
    </w:p>
    <w:p>
      <w:pPr>
        <w:adjustRightInd w:val="0"/>
        <w:snapToGrid w:val="0"/>
        <w:spacing w:line="360" w:lineRule="auto"/>
        <w:ind w:firstLine="482" w:firstLineChars="200"/>
        <w:jc w:val="left"/>
        <w:rPr>
          <w:b/>
          <w:color w:val="auto"/>
          <w:sz w:val="24"/>
          <w:vertAlign w:val="subscript"/>
        </w:rPr>
      </w:pPr>
      <w:r>
        <w:rPr>
          <w:b/>
          <w:color w:val="auto"/>
          <w:sz w:val="24"/>
        </w:rPr>
        <w:t>W=W</w:t>
      </w:r>
      <w:r>
        <w:rPr>
          <w:b/>
          <w:color w:val="auto"/>
          <w:sz w:val="24"/>
          <w:vertAlign w:val="subscript"/>
        </w:rPr>
        <w:t>B</w:t>
      </w:r>
      <w:r>
        <w:rPr>
          <w:b/>
          <w:color w:val="auto"/>
          <w:sz w:val="24"/>
        </w:rPr>
        <w:t>+W</w:t>
      </w:r>
      <w:r>
        <w:rPr>
          <w:b/>
          <w:color w:val="auto"/>
          <w:sz w:val="24"/>
          <w:vertAlign w:val="subscript"/>
        </w:rPr>
        <w:t>K</w:t>
      </w:r>
    </w:p>
    <w:p>
      <w:pPr>
        <w:adjustRightInd w:val="0"/>
        <w:snapToGrid w:val="0"/>
        <w:spacing w:line="360" w:lineRule="auto"/>
        <w:ind w:firstLine="482" w:firstLineChars="200"/>
        <w:jc w:val="left"/>
        <w:rPr>
          <w:b/>
          <w:color w:val="auto"/>
          <w:sz w:val="24"/>
        </w:rPr>
      </w:pPr>
      <w:r>
        <w:rPr>
          <w:b/>
          <w:color w:val="auto"/>
          <w:sz w:val="24"/>
        </w:rPr>
        <w:t>W</w:t>
      </w:r>
      <w:r>
        <w:rPr>
          <w:b/>
          <w:color w:val="auto"/>
          <w:sz w:val="24"/>
          <w:vertAlign w:val="subscript"/>
        </w:rPr>
        <w:t>B</w:t>
      </w:r>
      <w:r>
        <w:rPr>
          <w:b/>
          <w:color w:val="auto"/>
          <w:sz w:val="24"/>
        </w:rPr>
        <w:t>=A×B×T</w:t>
      </w:r>
    </w:p>
    <w:p>
      <w:pPr>
        <w:adjustRightInd w:val="0"/>
        <w:snapToGrid w:val="0"/>
        <w:spacing w:line="360" w:lineRule="auto"/>
        <w:ind w:firstLine="482" w:firstLineChars="200"/>
        <w:jc w:val="left"/>
        <w:rPr>
          <w:b/>
          <w:color w:val="auto"/>
          <w:sz w:val="24"/>
        </w:rPr>
      </w:pPr>
      <w:r>
        <w:rPr>
          <w:b/>
          <w:color w:val="auto"/>
          <w:sz w:val="24"/>
        </w:rPr>
        <w:t>W</w:t>
      </w:r>
      <w:r>
        <w:rPr>
          <w:b/>
          <w:color w:val="auto"/>
          <w:sz w:val="24"/>
          <w:vertAlign w:val="subscript"/>
        </w:rPr>
        <w:t>K</w:t>
      </w:r>
      <w:r>
        <w:rPr>
          <w:b/>
          <w:color w:val="auto"/>
          <w:sz w:val="24"/>
        </w:rPr>
        <w:t>= A×</w:t>
      </w:r>
      <w:r>
        <w:rPr>
          <w:rFonts w:hAnsi="宋体"/>
          <w:b/>
          <w:color w:val="auto"/>
          <w:sz w:val="24"/>
        </w:rPr>
        <w:t>（</w:t>
      </w:r>
      <w:r>
        <w:rPr>
          <w:b/>
          <w:color w:val="auto"/>
          <w:sz w:val="24"/>
        </w:rPr>
        <w:t>P</w:t>
      </w:r>
      <w:r>
        <w:rPr>
          <w:b/>
          <w:color w:val="auto"/>
          <w:sz w:val="24"/>
          <w:vertAlign w:val="subscript"/>
        </w:rPr>
        <w:t>11</w:t>
      </w:r>
      <w:r>
        <w:rPr>
          <w:b/>
          <w:color w:val="auto"/>
          <w:sz w:val="24"/>
        </w:rPr>
        <w:t>+ P</w:t>
      </w:r>
      <w:r>
        <w:rPr>
          <w:b/>
          <w:color w:val="auto"/>
          <w:sz w:val="24"/>
          <w:vertAlign w:val="subscript"/>
        </w:rPr>
        <w:t>12</w:t>
      </w:r>
      <w:r>
        <w:rPr>
          <w:b/>
          <w:color w:val="auto"/>
          <w:sz w:val="24"/>
        </w:rPr>
        <w:t>+ P</w:t>
      </w:r>
      <w:r>
        <w:rPr>
          <w:b/>
          <w:color w:val="auto"/>
          <w:sz w:val="24"/>
          <w:vertAlign w:val="subscript"/>
        </w:rPr>
        <w:t>13</w:t>
      </w:r>
      <w:r>
        <w:rPr>
          <w:b/>
          <w:color w:val="auto"/>
          <w:sz w:val="24"/>
        </w:rPr>
        <w:t>+ P</w:t>
      </w:r>
      <w:r>
        <w:rPr>
          <w:b/>
          <w:color w:val="auto"/>
          <w:sz w:val="24"/>
          <w:vertAlign w:val="subscript"/>
        </w:rPr>
        <w:t>14</w:t>
      </w:r>
      <w:r>
        <w:rPr>
          <w:b/>
          <w:color w:val="auto"/>
          <w:sz w:val="24"/>
        </w:rPr>
        <w:t>+ P</w:t>
      </w:r>
      <w:r>
        <w:rPr>
          <w:b/>
          <w:color w:val="auto"/>
          <w:sz w:val="24"/>
          <w:vertAlign w:val="subscript"/>
        </w:rPr>
        <w:t>2</w:t>
      </w:r>
      <w:r>
        <w:rPr>
          <w:b/>
          <w:color w:val="auto"/>
          <w:sz w:val="24"/>
        </w:rPr>
        <w:t>+ P</w:t>
      </w:r>
      <w:r>
        <w:rPr>
          <w:b/>
          <w:color w:val="auto"/>
          <w:sz w:val="24"/>
          <w:vertAlign w:val="subscript"/>
        </w:rPr>
        <w:t>3</w:t>
      </w:r>
      <w:r>
        <w:rPr>
          <w:rFonts w:hAnsi="宋体"/>
          <w:b/>
          <w:color w:val="auto"/>
          <w:sz w:val="24"/>
        </w:rPr>
        <w:t>）</w:t>
      </w:r>
      <w:r>
        <w:rPr>
          <w:b/>
          <w:color w:val="auto"/>
          <w:sz w:val="24"/>
        </w:rPr>
        <w:t>×T</w:t>
      </w:r>
    </w:p>
    <w:p>
      <w:pPr>
        <w:adjustRightInd w:val="0"/>
        <w:snapToGrid w:val="0"/>
        <w:spacing w:line="360" w:lineRule="auto"/>
        <w:ind w:firstLine="480" w:firstLineChars="200"/>
        <w:jc w:val="left"/>
        <w:rPr>
          <w:color w:val="auto"/>
          <w:sz w:val="24"/>
        </w:rPr>
      </w:pPr>
      <w:r>
        <w:rPr>
          <w:rFonts w:hAnsi="宋体"/>
          <w:color w:val="auto"/>
          <w:sz w:val="24"/>
        </w:rPr>
        <w:t>其中：</w:t>
      </w:r>
    </w:p>
    <w:p>
      <w:pPr>
        <w:adjustRightInd w:val="0"/>
        <w:snapToGrid w:val="0"/>
        <w:spacing w:line="360" w:lineRule="auto"/>
        <w:ind w:firstLine="480" w:firstLineChars="200"/>
        <w:jc w:val="left"/>
        <w:rPr>
          <w:color w:val="auto"/>
          <w:sz w:val="24"/>
        </w:rPr>
      </w:pPr>
      <w:r>
        <w:rPr>
          <w:color w:val="auto"/>
          <w:sz w:val="24"/>
        </w:rPr>
        <w:t>W</w:t>
      </w:r>
      <w:r>
        <w:rPr>
          <w:rFonts w:hAnsi="宋体"/>
          <w:color w:val="auto"/>
          <w:sz w:val="24"/>
        </w:rPr>
        <w:t>：建筑施工扬尘排放量，吨；</w:t>
      </w:r>
    </w:p>
    <w:p>
      <w:pPr>
        <w:adjustRightInd w:val="0"/>
        <w:snapToGrid w:val="0"/>
        <w:spacing w:line="360" w:lineRule="auto"/>
        <w:ind w:firstLine="480" w:firstLineChars="200"/>
        <w:jc w:val="left"/>
        <w:rPr>
          <w:color w:val="auto"/>
          <w:sz w:val="24"/>
        </w:rPr>
      </w:pPr>
      <w:r>
        <w:rPr>
          <w:color w:val="auto"/>
          <w:sz w:val="24"/>
        </w:rPr>
        <w:t>W</w:t>
      </w:r>
      <w:r>
        <w:rPr>
          <w:color w:val="auto"/>
          <w:sz w:val="24"/>
          <w:vertAlign w:val="subscript"/>
        </w:rPr>
        <w:t>B</w:t>
      </w:r>
      <w:r>
        <w:rPr>
          <w:rFonts w:hAnsi="宋体"/>
          <w:color w:val="auto"/>
          <w:sz w:val="24"/>
        </w:rPr>
        <w:t>：基本排放量，吨；</w:t>
      </w:r>
    </w:p>
    <w:p>
      <w:pPr>
        <w:adjustRightInd w:val="0"/>
        <w:snapToGrid w:val="0"/>
        <w:spacing w:line="360" w:lineRule="auto"/>
        <w:ind w:firstLine="480" w:firstLineChars="200"/>
        <w:jc w:val="left"/>
        <w:rPr>
          <w:color w:val="auto"/>
          <w:sz w:val="24"/>
        </w:rPr>
      </w:pPr>
      <w:r>
        <w:rPr>
          <w:color w:val="auto"/>
          <w:sz w:val="24"/>
        </w:rPr>
        <w:t>W</w:t>
      </w:r>
      <w:r>
        <w:rPr>
          <w:color w:val="auto"/>
          <w:sz w:val="24"/>
          <w:vertAlign w:val="subscript"/>
        </w:rPr>
        <w:t>K</w:t>
      </w:r>
      <w:r>
        <w:rPr>
          <w:rFonts w:hAnsi="宋体"/>
          <w:color w:val="auto"/>
          <w:sz w:val="24"/>
        </w:rPr>
        <w:t>：可控排放量，吨；</w:t>
      </w:r>
    </w:p>
    <w:p>
      <w:pPr>
        <w:adjustRightInd w:val="0"/>
        <w:snapToGrid w:val="0"/>
        <w:spacing w:line="360" w:lineRule="auto"/>
        <w:ind w:firstLine="480" w:firstLineChars="200"/>
        <w:jc w:val="left"/>
        <w:rPr>
          <w:color w:val="auto"/>
          <w:sz w:val="24"/>
        </w:rPr>
      </w:pPr>
      <w:r>
        <w:rPr>
          <w:color w:val="auto"/>
          <w:sz w:val="24"/>
        </w:rPr>
        <w:t>A</w:t>
      </w:r>
      <w:r>
        <w:rPr>
          <w:rFonts w:hAnsi="宋体"/>
          <w:color w:val="auto"/>
          <w:sz w:val="24"/>
        </w:rPr>
        <w:t>：建筑面积（市政工程按施工面积），万平方米；</w:t>
      </w:r>
    </w:p>
    <w:p>
      <w:pPr>
        <w:adjustRightInd w:val="0"/>
        <w:snapToGrid w:val="0"/>
        <w:spacing w:line="360" w:lineRule="auto"/>
        <w:ind w:firstLine="480" w:firstLineChars="200"/>
        <w:jc w:val="left"/>
        <w:rPr>
          <w:color w:val="auto"/>
          <w:sz w:val="24"/>
        </w:rPr>
      </w:pPr>
      <w:r>
        <w:rPr>
          <w:color w:val="auto"/>
          <w:sz w:val="24"/>
        </w:rPr>
        <w:t>B</w:t>
      </w:r>
      <w:r>
        <w:rPr>
          <w:rFonts w:hAnsi="宋体"/>
          <w:color w:val="auto"/>
          <w:sz w:val="24"/>
        </w:rPr>
        <w:t>：基本排放量排放系数，吨</w:t>
      </w:r>
      <w:r>
        <w:rPr>
          <w:color w:val="auto"/>
          <w:sz w:val="24"/>
        </w:rPr>
        <w:t>/</w:t>
      </w:r>
      <w:r>
        <w:rPr>
          <w:rFonts w:hAnsi="宋体"/>
          <w:color w:val="auto"/>
          <w:sz w:val="24"/>
        </w:rPr>
        <w:t>万平方米</w:t>
      </w:r>
      <w:r>
        <w:rPr>
          <w:color w:val="auto"/>
          <w:sz w:val="24"/>
        </w:rPr>
        <w:t>·</w:t>
      </w:r>
      <w:r>
        <w:rPr>
          <w:rFonts w:hAnsi="宋体"/>
          <w:color w:val="auto"/>
          <w:sz w:val="24"/>
        </w:rPr>
        <w:t>月，本项目取</w:t>
      </w:r>
      <w:r>
        <w:rPr>
          <w:color w:val="auto"/>
          <w:sz w:val="24"/>
        </w:rPr>
        <w:t>1.77</w:t>
      </w:r>
      <w:r>
        <w:rPr>
          <w:rFonts w:hAnsi="宋体"/>
          <w:color w:val="auto"/>
          <w:sz w:val="24"/>
        </w:rPr>
        <w:t>；</w:t>
      </w:r>
    </w:p>
    <w:p>
      <w:pPr>
        <w:adjustRightInd w:val="0"/>
        <w:snapToGrid w:val="0"/>
        <w:spacing w:line="360" w:lineRule="auto"/>
        <w:ind w:firstLine="480" w:firstLineChars="200"/>
        <w:jc w:val="left"/>
        <w:rPr>
          <w:color w:val="auto"/>
          <w:sz w:val="24"/>
        </w:rPr>
      </w:pPr>
      <w:r>
        <w:rPr>
          <w:color w:val="auto"/>
          <w:sz w:val="24"/>
        </w:rPr>
        <w:t>P</w:t>
      </w:r>
      <w:r>
        <w:rPr>
          <w:color w:val="auto"/>
          <w:sz w:val="24"/>
          <w:vertAlign w:val="subscript"/>
        </w:rPr>
        <w:t>11</w:t>
      </w:r>
      <w:r>
        <w:rPr>
          <w:rFonts w:hAnsi="宋体"/>
          <w:color w:val="auto"/>
          <w:sz w:val="24"/>
        </w:rPr>
        <w:t>、</w:t>
      </w:r>
      <w:r>
        <w:rPr>
          <w:color w:val="auto"/>
          <w:sz w:val="24"/>
        </w:rPr>
        <w:t xml:space="preserve"> P</w:t>
      </w:r>
      <w:r>
        <w:rPr>
          <w:color w:val="auto"/>
          <w:sz w:val="24"/>
          <w:vertAlign w:val="subscript"/>
        </w:rPr>
        <w:t>12</w:t>
      </w:r>
      <w:r>
        <w:rPr>
          <w:rFonts w:hAnsi="宋体"/>
          <w:color w:val="auto"/>
          <w:sz w:val="24"/>
        </w:rPr>
        <w:t>、</w:t>
      </w:r>
      <w:r>
        <w:rPr>
          <w:color w:val="auto"/>
          <w:sz w:val="24"/>
        </w:rPr>
        <w:t xml:space="preserve"> P</w:t>
      </w:r>
      <w:r>
        <w:rPr>
          <w:color w:val="auto"/>
          <w:sz w:val="24"/>
          <w:vertAlign w:val="subscript"/>
        </w:rPr>
        <w:t>13</w:t>
      </w:r>
      <w:r>
        <w:rPr>
          <w:rFonts w:hAnsi="宋体"/>
          <w:color w:val="auto"/>
          <w:sz w:val="24"/>
        </w:rPr>
        <w:t>、</w:t>
      </w:r>
      <w:r>
        <w:rPr>
          <w:color w:val="auto"/>
          <w:sz w:val="24"/>
        </w:rPr>
        <w:t xml:space="preserve"> P</w:t>
      </w:r>
      <w:r>
        <w:rPr>
          <w:color w:val="auto"/>
          <w:sz w:val="24"/>
          <w:vertAlign w:val="subscript"/>
        </w:rPr>
        <w:t>14</w:t>
      </w:r>
      <w:r>
        <w:rPr>
          <w:rFonts w:hAnsi="宋体"/>
          <w:color w:val="auto"/>
          <w:sz w:val="24"/>
        </w:rPr>
        <w:t>：各项控制扬尘措施所对应的一次扬尘可控制排放量排污系数，吨</w:t>
      </w:r>
      <w:r>
        <w:rPr>
          <w:color w:val="auto"/>
          <w:sz w:val="24"/>
        </w:rPr>
        <w:t>/</w:t>
      </w:r>
      <w:r>
        <w:rPr>
          <w:rFonts w:hAnsi="宋体"/>
          <w:color w:val="auto"/>
          <w:sz w:val="24"/>
        </w:rPr>
        <w:t>万平方米</w:t>
      </w:r>
      <w:r>
        <w:rPr>
          <w:color w:val="auto"/>
          <w:sz w:val="24"/>
        </w:rPr>
        <w:t>·</w:t>
      </w:r>
      <w:r>
        <w:rPr>
          <w:rFonts w:hAnsi="宋体"/>
          <w:color w:val="auto"/>
          <w:sz w:val="24"/>
        </w:rPr>
        <w:t>月，详见</w:t>
      </w:r>
      <w:r>
        <w:rPr>
          <w:rFonts w:hint="eastAsia" w:hAnsi="宋体"/>
          <w:color w:val="auto"/>
          <w:sz w:val="24"/>
        </w:rPr>
        <w:t>表3-6-1</w:t>
      </w:r>
      <w:r>
        <w:rPr>
          <w:rFonts w:hAnsi="宋体"/>
          <w:color w:val="auto"/>
          <w:sz w:val="24"/>
        </w:rPr>
        <w:t>；</w:t>
      </w:r>
    </w:p>
    <w:p>
      <w:pPr>
        <w:adjustRightInd w:val="0"/>
        <w:snapToGrid w:val="0"/>
        <w:spacing w:line="360" w:lineRule="auto"/>
        <w:ind w:firstLine="480" w:firstLineChars="200"/>
        <w:jc w:val="left"/>
        <w:rPr>
          <w:color w:val="auto"/>
          <w:sz w:val="24"/>
        </w:rPr>
      </w:pPr>
      <w:r>
        <w:rPr>
          <w:color w:val="auto"/>
          <w:sz w:val="24"/>
        </w:rPr>
        <w:t>P</w:t>
      </w:r>
      <w:r>
        <w:rPr>
          <w:color w:val="auto"/>
          <w:sz w:val="24"/>
          <w:vertAlign w:val="subscript"/>
        </w:rPr>
        <w:t>2</w:t>
      </w:r>
      <w:r>
        <w:rPr>
          <w:rFonts w:hAnsi="宋体"/>
          <w:color w:val="auto"/>
          <w:sz w:val="24"/>
        </w:rPr>
        <w:t>、</w:t>
      </w:r>
      <w:r>
        <w:rPr>
          <w:color w:val="auto"/>
          <w:sz w:val="24"/>
        </w:rPr>
        <w:t xml:space="preserve"> P</w:t>
      </w:r>
      <w:r>
        <w:rPr>
          <w:color w:val="auto"/>
          <w:sz w:val="24"/>
          <w:vertAlign w:val="subscript"/>
        </w:rPr>
        <w:t>3</w:t>
      </w:r>
      <w:r>
        <w:rPr>
          <w:rFonts w:hAnsi="宋体"/>
          <w:color w:val="auto"/>
          <w:sz w:val="24"/>
        </w:rPr>
        <w:t>：控制运输车辆扬尘所对应的二次扬尘可控排放量系数，吨</w:t>
      </w:r>
      <w:r>
        <w:rPr>
          <w:color w:val="auto"/>
          <w:sz w:val="24"/>
        </w:rPr>
        <w:t>/</w:t>
      </w:r>
      <w:r>
        <w:rPr>
          <w:rFonts w:hAnsi="宋体"/>
          <w:color w:val="auto"/>
          <w:sz w:val="24"/>
        </w:rPr>
        <w:t>万平方米</w:t>
      </w:r>
      <w:r>
        <w:rPr>
          <w:color w:val="auto"/>
          <w:sz w:val="24"/>
        </w:rPr>
        <w:t>·</w:t>
      </w:r>
      <w:r>
        <w:rPr>
          <w:rFonts w:hAnsi="宋体"/>
          <w:color w:val="auto"/>
          <w:sz w:val="24"/>
        </w:rPr>
        <w:t>月，详见</w:t>
      </w:r>
      <w:r>
        <w:rPr>
          <w:rFonts w:hint="eastAsia" w:hAnsi="宋体"/>
          <w:color w:val="auto"/>
          <w:sz w:val="24"/>
        </w:rPr>
        <w:t>表3-6-1</w:t>
      </w:r>
      <w:r>
        <w:rPr>
          <w:rFonts w:hAnsi="宋体"/>
          <w:color w:val="auto"/>
          <w:sz w:val="24"/>
        </w:rPr>
        <w:t>；</w:t>
      </w:r>
    </w:p>
    <w:p>
      <w:pPr>
        <w:adjustRightInd w:val="0"/>
        <w:snapToGrid w:val="0"/>
        <w:spacing w:line="360" w:lineRule="auto"/>
        <w:ind w:firstLine="480" w:firstLineChars="200"/>
        <w:jc w:val="left"/>
        <w:rPr>
          <w:rFonts w:ascii="宋体" w:hAnsi="宋体"/>
          <w:color w:val="auto"/>
          <w:sz w:val="24"/>
        </w:rPr>
      </w:pPr>
      <w:r>
        <w:rPr>
          <w:color w:val="auto"/>
          <w:sz w:val="24"/>
        </w:rPr>
        <w:t>T</w:t>
      </w:r>
      <w:r>
        <w:rPr>
          <w:rFonts w:hAnsi="宋体"/>
          <w:color w:val="auto"/>
          <w:sz w:val="24"/>
        </w:rPr>
        <w:t>：施工期，月，本项目按</w:t>
      </w:r>
      <w:r>
        <w:rPr>
          <w:rFonts w:hint="eastAsia"/>
          <w:color w:val="auto"/>
          <w:sz w:val="24"/>
        </w:rPr>
        <w:t>12</w:t>
      </w:r>
      <w:r>
        <w:rPr>
          <w:rFonts w:hAnsi="宋体"/>
          <w:color w:val="auto"/>
          <w:sz w:val="24"/>
        </w:rPr>
        <w:t>个月计</w:t>
      </w:r>
      <w:r>
        <w:rPr>
          <w:rFonts w:hint="eastAsia" w:ascii="宋体" w:hAnsi="宋体"/>
          <w:color w:val="auto"/>
          <w:sz w:val="24"/>
        </w:rPr>
        <w:t>。</w:t>
      </w:r>
    </w:p>
    <w:p>
      <w:pPr>
        <w:adjustRightInd w:val="0"/>
        <w:snapToGrid w:val="0"/>
        <w:spacing w:line="360" w:lineRule="auto"/>
        <w:ind w:firstLine="482" w:firstLineChars="200"/>
        <w:jc w:val="center"/>
        <w:rPr>
          <w:rFonts w:ascii="宋体" w:hAnsi="宋体"/>
          <w:b/>
          <w:color w:val="auto"/>
          <w:sz w:val="24"/>
          <w:szCs w:val="24"/>
        </w:rPr>
      </w:pPr>
      <w:r>
        <w:rPr>
          <w:rFonts w:hAnsi="宋体"/>
          <w:b/>
          <w:color w:val="auto"/>
          <w:sz w:val="24"/>
          <w:szCs w:val="24"/>
        </w:rPr>
        <w:t>表</w:t>
      </w:r>
      <w:r>
        <w:rPr>
          <w:b/>
          <w:color w:val="auto"/>
          <w:sz w:val="24"/>
          <w:szCs w:val="24"/>
        </w:rPr>
        <w:t>3-</w:t>
      </w:r>
      <w:r>
        <w:rPr>
          <w:rFonts w:hint="eastAsia"/>
          <w:b/>
          <w:color w:val="auto"/>
          <w:sz w:val="24"/>
          <w:szCs w:val="24"/>
        </w:rPr>
        <w:t>6-1</w:t>
      </w:r>
      <w:r>
        <w:rPr>
          <w:rFonts w:hint="eastAsia" w:ascii="宋体" w:hAnsi="宋体"/>
          <w:b/>
          <w:color w:val="auto"/>
          <w:sz w:val="24"/>
          <w:szCs w:val="24"/>
        </w:rPr>
        <w:t xml:space="preserve">    市政工地施工扬尘可控排放系数</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410"/>
        <w:gridCol w:w="1318"/>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restart"/>
            <w:vAlign w:val="center"/>
          </w:tcPr>
          <w:p>
            <w:pPr>
              <w:adjustRightInd w:val="0"/>
              <w:snapToGrid w:val="0"/>
              <w:jc w:val="center"/>
              <w:rPr>
                <w:b/>
                <w:color w:val="auto"/>
                <w:sz w:val="21"/>
                <w:szCs w:val="21"/>
              </w:rPr>
            </w:pPr>
            <w:r>
              <w:rPr>
                <w:rFonts w:hint="eastAsia"/>
                <w:b/>
                <w:color w:val="auto"/>
                <w:sz w:val="21"/>
                <w:szCs w:val="21"/>
              </w:rPr>
              <w:t>扬尘类型</w:t>
            </w:r>
          </w:p>
        </w:tc>
        <w:tc>
          <w:tcPr>
            <w:tcW w:w="2410" w:type="dxa"/>
            <w:vMerge w:val="restart"/>
            <w:vAlign w:val="center"/>
          </w:tcPr>
          <w:p>
            <w:pPr>
              <w:adjustRightInd w:val="0"/>
              <w:snapToGrid w:val="0"/>
              <w:jc w:val="center"/>
              <w:rPr>
                <w:b/>
                <w:color w:val="auto"/>
                <w:sz w:val="21"/>
                <w:szCs w:val="21"/>
              </w:rPr>
            </w:pPr>
            <w:r>
              <w:rPr>
                <w:rFonts w:hint="eastAsia"/>
                <w:b/>
                <w:color w:val="auto"/>
                <w:sz w:val="21"/>
                <w:szCs w:val="21"/>
              </w:rPr>
              <w:t>扬尘污染控制措施</w:t>
            </w:r>
          </w:p>
        </w:tc>
        <w:tc>
          <w:tcPr>
            <w:tcW w:w="4728" w:type="dxa"/>
            <w:gridSpan w:val="3"/>
            <w:vAlign w:val="center"/>
          </w:tcPr>
          <w:p>
            <w:pPr>
              <w:adjustRightInd w:val="0"/>
              <w:snapToGrid w:val="0"/>
              <w:jc w:val="center"/>
              <w:rPr>
                <w:b/>
                <w:color w:val="auto"/>
                <w:sz w:val="21"/>
                <w:szCs w:val="21"/>
              </w:rPr>
            </w:pPr>
            <w:r>
              <w:rPr>
                <w:rFonts w:hint="eastAsia"/>
                <w:b/>
                <w:color w:val="auto"/>
                <w:sz w:val="21"/>
                <w:szCs w:val="21"/>
              </w:rPr>
              <w:t>可控排放量排放系数P（吨/万平方米·月）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jc w:val="center"/>
              <w:rPr>
                <w:b/>
                <w:color w:val="auto"/>
                <w:sz w:val="21"/>
                <w:szCs w:val="21"/>
              </w:rPr>
            </w:pPr>
          </w:p>
        </w:tc>
        <w:tc>
          <w:tcPr>
            <w:tcW w:w="2410" w:type="dxa"/>
            <w:vMerge w:val="continue"/>
            <w:vAlign w:val="center"/>
          </w:tcPr>
          <w:p>
            <w:pPr>
              <w:adjustRightInd w:val="0"/>
              <w:snapToGrid w:val="0"/>
              <w:jc w:val="center"/>
              <w:rPr>
                <w:b/>
                <w:color w:val="auto"/>
                <w:sz w:val="21"/>
                <w:szCs w:val="21"/>
              </w:rPr>
            </w:pPr>
          </w:p>
        </w:tc>
        <w:tc>
          <w:tcPr>
            <w:tcW w:w="1318" w:type="dxa"/>
            <w:vMerge w:val="restart"/>
            <w:vAlign w:val="center"/>
          </w:tcPr>
          <w:p>
            <w:pPr>
              <w:adjustRightInd w:val="0"/>
              <w:snapToGrid w:val="0"/>
              <w:jc w:val="center"/>
              <w:rPr>
                <w:b/>
                <w:color w:val="auto"/>
                <w:sz w:val="21"/>
                <w:szCs w:val="21"/>
              </w:rPr>
            </w:pPr>
            <w:r>
              <w:rPr>
                <w:rFonts w:hint="eastAsia"/>
                <w:b/>
                <w:color w:val="auto"/>
                <w:sz w:val="21"/>
                <w:szCs w:val="21"/>
              </w:rPr>
              <w:t>代码</w:t>
            </w:r>
          </w:p>
        </w:tc>
        <w:tc>
          <w:tcPr>
            <w:tcW w:w="3410" w:type="dxa"/>
            <w:gridSpan w:val="2"/>
            <w:vAlign w:val="center"/>
          </w:tcPr>
          <w:p>
            <w:pPr>
              <w:adjustRightInd w:val="0"/>
              <w:snapToGrid w:val="0"/>
              <w:jc w:val="center"/>
              <w:rPr>
                <w:b/>
                <w:color w:val="auto"/>
                <w:sz w:val="21"/>
                <w:szCs w:val="21"/>
              </w:rPr>
            </w:pPr>
            <w:r>
              <w:rPr>
                <w:rFonts w:hint="eastAsia"/>
                <w:b/>
                <w:color w:val="auto"/>
                <w:sz w:val="21"/>
                <w:szCs w:val="21"/>
              </w:rPr>
              <w:t>措施达标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jc w:val="center"/>
              <w:rPr>
                <w:b/>
                <w:color w:val="auto"/>
                <w:sz w:val="21"/>
                <w:szCs w:val="21"/>
              </w:rPr>
            </w:pPr>
          </w:p>
        </w:tc>
        <w:tc>
          <w:tcPr>
            <w:tcW w:w="2410" w:type="dxa"/>
            <w:vMerge w:val="continue"/>
            <w:vAlign w:val="center"/>
          </w:tcPr>
          <w:p>
            <w:pPr>
              <w:adjustRightInd w:val="0"/>
              <w:snapToGrid w:val="0"/>
              <w:jc w:val="center"/>
              <w:rPr>
                <w:b/>
                <w:color w:val="auto"/>
                <w:sz w:val="21"/>
                <w:szCs w:val="21"/>
              </w:rPr>
            </w:pPr>
          </w:p>
        </w:tc>
        <w:tc>
          <w:tcPr>
            <w:tcW w:w="1318" w:type="dxa"/>
            <w:vMerge w:val="continue"/>
            <w:vAlign w:val="center"/>
          </w:tcPr>
          <w:p>
            <w:pPr>
              <w:adjustRightInd w:val="0"/>
              <w:snapToGrid w:val="0"/>
              <w:jc w:val="center"/>
              <w:rPr>
                <w:b/>
                <w:color w:val="auto"/>
                <w:sz w:val="21"/>
                <w:szCs w:val="21"/>
              </w:rPr>
            </w:pPr>
          </w:p>
        </w:tc>
        <w:tc>
          <w:tcPr>
            <w:tcW w:w="1705" w:type="dxa"/>
            <w:vAlign w:val="center"/>
          </w:tcPr>
          <w:p>
            <w:pPr>
              <w:adjustRightInd w:val="0"/>
              <w:snapToGrid w:val="0"/>
              <w:jc w:val="center"/>
              <w:rPr>
                <w:b/>
                <w:color w:val="auto"/>
                <w:sz w:val="21"/>
                <w:szCs w:val="21"/>
              </w:rPr>
            </w:pPr>
            <w:r>
              <w:rPr>
                <w:rFonts w:hint="eastAsia"/>
                <w:b/>
                <w:color w:val="auto"/>
                <w:sz w:val="21"/>
                <w:szCs w:val="21"/>
              </w:rPr>
              <w:t>是</w:t>
            </w:r>
          </w:p>
        </w:tc>
        <w:tc>
          <w:tcPr>
            <w:tcW w:w="1705" w:type="dxa"/>
            <w:vAlign w:val="center"/>
          </w:tcPr>
          <w:p>
            <w:pPr>
              <w:adjustRightInd w:val="0"/>
              <w:snapToGrid w:val="0"/>
              <w:jc w:val="center"/>
              <w:rPr>
                <w:b/>
                <w:color w:val="auto"/>
                <w:sz w:val="21"/>
                <w:szCs w:val="21"/>
              </w:rPr>
            </w:pPr>
            <w:r>
              <w:rPr>
                <w:rFonts w:hint="eastAsia"/>
                <w:b/>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384" w:type="dxa"/>
            <w:vMerge w:val="restart"/>
            <w:vAlign w:val="center"/>
          </w:tcPr>
          <w:p>
            <w:pPr>
              <w:adjustRightInd w:val="0"/>
              <w:snapToGrid w:val="0"/>
              <w:jc w:val="center"/>
              <w:rPr>
                <w:b/>
                <w:color w:val="auto"/>
                <w:sz w:val="21"/>
                <w:szCs w:val="21"/>
              </w:rPr>
            </w:pPr>
            <w:r>
              <w:rPr>
                <w:rFonts w:hint="eastAsia"/>
                <w:color w:val="auto"/>
                <w:sz w:val="21"/>
                <w:szCs w:val="21"/>
              </w:rPr>
              <w:t>一次扬尘（累计计算）</w:t>
            </w:r>
          </w:p>
        </w:tc>
        <w:tc>
          <w:tcPr>
            <w:tcW w:w="2410" w:type="dxa"/>
            <w:vAlign w:val="center"/>
          </w:tcPr>
          <w:p>
            <w:pPr>
              <w:jc w:val="center"/>
              <w:rPr>
                <w:color w:val="auto"/>
                <w:sz w:val="21"/>
                <w:szCs w:val="21"/>
              </w:rPr>
            </w:pPr>
            <w:r>
              <w:rPr>
                <w:rFonts w:hint="eastAsia"/>
                <w:color w:val="auto"/>
                <w:sz w:val="21"/>
                <w:szCs w:val="21"/>
              </w:rPr>
              <w:t>道路硬化管理</w:t>
            </w:r>
          </w:p>
        </w:tc>
        <w:tc>
          <w:tcPr>
            <w:tcW w:w="1318" w:type="dxa"/>
            <w:vAlign w:val="center"/>
          </w:tcPr>
          <w:p>
            <w:pPr>
              <w:jc w:val="center"/>
              <w:rPr>
                <w:color w:val="auto"/>
                <w:sz w:val="21"/>
                <w:szCs w:val="21"/>
              </w:rPr>
            </w:pPr>
            <w:r>
              <w:rPr>
                <w:color w:val="auto"/>
                <w:sz w:val="21"/>
                <w:szCs w:val="21"/>
              </w:rPr>
              <w:t>P11</w:t>
            </w:r>
          </w:p>
        </w:tc>
        <w:tc>
          <w:tcPr>
            <w:tcW w:w="1705" w:type="dxa"/>
            <w:vAlign w:val="center"/>
          </w:tcPr>
          <w:p>
            <w:pPr>
              <w:jc w:val="center"/>
              <w:rPr>
                <w:color w:val="auto"/>
                <w:sz w:val="21"/>
                <w:szCs w:val="21"/>
              </w:rPr>
            </w:pPr>
            <w:r>
              <w:rPr>
                <w:color w:val="auto"/>
                <w:sz w:val="21"/>
                <w:szCs w:val="21"/>
              </w:rPr>
              <w:t>0</w:t>
            </w:r>
          </w:p>
        </w:tc>
        <w:tc>
          <w:tcPr>
            <w:tcW w:w="1705" w:type="dxa"/>
            <w:vAlign w:val="center"/>
          </w:tcPr>
          <w:p>
            <w:pPr>
              <w:jc w:val="center"/>
              <w:rPr>
                <w:color w:val="auto"/>
                <w:sz w:val="21"/>
                <w:szCs w:val="21"/>
              </w:rPr>
            </w:pPr>
            <w:r>
              <w:rPr>
                <w:color w:val="auto"/>
                <w:sz w:val="21"/>
                <w:szCs w:val="21"/>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jc w:val="center"/>
              <w:rPr>
                <w:b/>
                <w:color w:val="auto"/>
                <w:sz w:val="21"/>
                <w:szCs w:val="21"/>
              </w:rPr>
            </w:pPr>
          </w:p>
        </w:tc>
        <w:tc>
          <w:tcPr>
            <w:tcW w:w="2410" w:type="dxa"/>
            <w:vAlign w:val="center"/>
          </w:tcPr>
          <w:p>
            <w:pPr>
              <w:jc w:val="center"/>
              <w:rPr>
                <w:color w:val="auto"/>
                <w:sz w:val="21"/>
                <w:szCs w:val="21"/>
              </w:rPr>
            </w:pPr>
            <w:r>
              <w:rPr>
                <w:rFonts w:hint="eastAsia"/>
                <w:color w:val="auto"/>
                <w:sz w:val="21"/>
                <w:szCs w:val="21"/>
              </w:rPr>
              <w:t>边界围挡</w:t>
            </w:r>
          </w:p>
        </w:tc>
        <w:tc>
          <w:tcPr>
            <w:tcW w:w="1318" w:type="dxa"/>
            <w:vAlign w:val="center"/>
          </w:tcPr>
          <w:p>
            <w:pPr>
              <w:jc w:val="center"/>
              <w:rPr>
                <w:color w:val="auto"/>
                <w:sz w:val="21"/>
                <w:szCs w:val="21"/>
              </w:rPr>
            </w:pPr>
            <w:r>
              <w:rPr>
                <w:color w:val="auto"/>
                <w:sz w:val="21"/>
                <w:szCs w:val="21"/>
              </w:rPr>
              <w:t>P12</w:t>
            </w:r>
          </w:p>
        </w:tc>
        <w:tc>
          <w:tcPr>
            <w:tcW w:w="1705" w:type="dxa"/>
            <w:vAlign w:val="center"/>
          </w:tcPr>
          <w:p>
            <w:pPr>
              <w:jc w:val="center"/>
              <w:rPr>
                <w:color w:val="auto"/>
                <w:sz w:val="21"/>
                <w:szCs w:val="21"/>
              </w:rPr>
            </w:pPr>
            <w:r>
              <w:rPr>
                <w:color w:val="auto"/>
                <w:sz w:val="21"/>
                <w:szCs w:val="21"/>
              </w:rPr>
              <w:t>0</w:t>
            </w:r>
          </w:p>
        </w:tc>
        <w:tc>
          <w:tcPr>
            <w:tcW w:w="1705" w:type="dxa"/>
            <w:vAlign w:val="center"/>
          </w:tcPr>
          <w:p>
            <w:pPr>
              <w:jc w:val="center"/>
              <w:rPr>
                <w:color w:val="auto"/>
                <w:sz w:val="21"/>
                <w:szCs w:val="21"/>
              </w:rPr>
            </w:pPr>
            <w:r>
              <w:rPr>
                <w:color w:val="auto"/>
                <w:sz w:val="21"/>
                <w:szCs w:val="21"/>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jc w:val="center"/>
              <w:rPr>
                <w:b/>
                <w:color w:val="auto"/>
                <w:sz w:val="21"/>
                <w:szCs w:val="21"/>
              </w:rPr>
            </w:pPr>
          </w:p>
        </w:tc>
        <w:tc>
          <w:tcPr>
            <w:tcW w:w="2410" w:type="dxa"/>
            <w:vAlign w:val="center"/>
          </w:tcPr>
          <w:p>
            <w:pPr>
              <w:jc w:val="center"/>
              <w:rPr>
                <w:color w:val="auto"/>
                <w:sz w:val="21"/>
                <w:szCs w:val="21"/>
              </w:rPr>
            </w:pPr>
            <w:r>
              <w:rPr>
                <w:rFonts w:hint="eastAsia"/>
                <w:color w:val="auto"/>
                <w:sz w:val="21"/>
                <w:szCs w:val="21"/>
              </w:rPr>
              <w:t>裸露地面覆盖</w:t>
            </w:r>
          </w:p>
        </w:tc>
        <w:tc>
          <w:tcPr>
            <w:tcW w:w="1318" w:type="dxa"/>
            <w:vAlign w:val="center"/>
          </w:tcPr>
          <w:p>
            <w:pPr>
              <w:jc w:val="center"/>
              <w:rPr>
                <w:color w:val="auto"/>
                <w:sz w:val="21"/>
                <w:szCs w:val="21"/>
              </w:rPr>
            </w:pPr>
            <w:r>
              <w:rPr>
                <w:color w:val="auto"/>
                <w:sz w:val="21"/>
                <w:szCs w:val="21"/>
              </w:rPr>
              <w:t>P13</w:t>
            </w:r>
          </w:p>
        </w:tc>
        <w:tc>
          <w:tcPr>
            <w:tcW w:w="1705" w:type="dxa"/>
            <w:vAlign w:val="center"/>
          </w:tcPr>
          <w:p>
            <w:pPr>
              <w:jc w:val="center"/>
              <w:rPr>
                <w:color w:val="auto"/>
                <w:sz w:val="21"/>
                <w:szCs w:val="21"/>
              </w:rPr>
            </w:pPr>
            <w:r>
              <w:rPr>
                <w:color w:val="auto"/>
                <w:sz w:val="21"/>
                <w:szCs w:val="21"/>
              </w:rPr>
              <w:t>0</w:t>
            </w:r>
          </w:p>
        </w:tc>
        <w:tc>
          <w:tcPr>
            <w:tcW w:w="1705" w:type="dxa"/>
            <w:vAlign w:val="center"/>
          </w:tcPr>
          <w:p>
            <w:pPr>
              <w:jc w:val="center"/>
              <w:rPr>
                <w:color w:val="auto"/>
                <w:sz w:val="21"/>
                <w:szCs w:val="21"/>
              </w:rPr>
            </w:pPr>
            <w:r>
              <w:rPr>
                <w:color w:val="auto"/>
                <w:sz w:val="21"/>
                <w:szCs w:val="21"/>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jc w:val="center"/>
              <w:rPr>
                <w:b/>
                <w:color w:val="auto"/>
                <w:sz w:val="21"/>
                <w:szCs w:val="21"/>
              </w:rPr>
            </w:pPr>
          </w:p>
        </w:tc>
        <w:tc>
          <w:tcPr>
            <w:tcW w:w="2410" w:type="dxa"/>
            <w:vAlign w:val="center"/>
          </w:tcPr>
          <w:p>
            <w:pPr>
              <w:jc w:val="center"/>
              <w:rPr>
                <w:color w:val="auto"/>
                <w:sz w:val="21"/>
                <w:szCs w:val="21"/>
              </w:rPr>
            </w:pPr>
            <w:r>
              <w:rPr>
                <w:rFonts w:hint="eastAsia"/>
                <w:color w:val="auto"/>
                <w:sz w:val="21"/>
                <w:szCs w:val="21"/>
              </w:rPr>
              <w:t>易扬尘物料覆盖</w:t>
            </w:r>
          </w:p>
        </w:tc>
        <w:tc>
          <w:tcPr>
            <w:tcW w:w="1318" w:type="dxa"/>
            <w:vAlign w:val="center"/>
          </w:tcPr>
          <w:p>
            <w:pPr>
              <w:jc w:val="center"/>
              <w:rPr>
                <w:color w:val="auto"/>
                <w:sz w:val="21"/>
                <w:szCs w:val="21"/>
              </w:rPr>
            </w:pPr>
            <w:r>
              <w:rPr>
                <w:color w:val="auto"/>
                <w:sz w:val="21"/>
                <w:szCs w:val="21"/>
              </w:rPr>
              <w:t>P14</w:t>
            </w:r>
          </w:p>
        </w:tc>
        <w:tc>
          <w:tcPr>
            <w:tcW w:w="1705" w:type="dxa"/>
            <w:vAlign w:val="center"/>
          </w:tcPr>
          <w:p>
            <w:pPr>
              <w:jc w:val="center"/>
              <w:rPr>
                <w:color w:val="auto"/>
                <w:sz w:val="21"/>
                <w:szCs w:val="21"/>
              </w:rPr>
            </w:pPr>
            <w:r>
              <w:rPr>
                <w:color w:val="auto"/>
                <w:sz w:val="21"/>
                <w:szCs w:val="21"/>
              </w:rPr>
              <w:t>0</w:t>
            </w:r>
          </w:p>
        </w:tc>
        <w:tc>
          <w:tcPr>
            <w:tcW w:w="1705" w:type="dxa"/>
            <w:vAlign w:val="center"/>
          </w:tcPr>
          <w:p>
            <w:pPr>
              <w:jc w:val="center"/>
              <w:rPr>
                <w:color w:val="auto"/>
                <w:sz w:val="21"/>
                <w:szCs w:val="21"/>
              </w:rPr>
            </w:pPr>
            <w:r>
              <w:rPr>
                <w:color w:val="auto"/>
                <w:sz w:val="21"/>
                <w:szCs w:val="21"/>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384" w:type="dxa"/>
            <w:vMerge w:val="restart"/>
            <w:vAlign w:val="center"/>
          </w:tcPr>
          <w:p>
            <w:pPr>
              <w:adjustRightInd w:val="0"/>
              <w:snapToGrid w:val="0"/>
              <w:jc w:val="center"/>
              <w:rPr>
                <w:b/>
                <w:color w:val="auto"/>
                <w:sz w:val="21"/>
                <w:szCs w:val="21"/>
              </w:rPr>
            </w:pPr>
            <w:r>
              <w:rPr>
                <w:rFonts w:hint="eastAsia"/>
                <w:color w:val="auto"/>
                <w:sz w:val="21"/>
                <w:szCs w:val="21"/>
              </w:rPr>
              <w:t>二级扬尘（P</w:t>
            </w:r>
            <w:r>
              <w:rPr>
                <w:rFonts w:hint="eastAsia"/>
                <w:color w:val="auto"/>
                <w:sz w:val="21"/>
                <w:szCs w:val="21"/>
                <w:vertAlign w:val="subscript"/>
              </w:rPr>
              <w:t>3</w:t>
            </w:r>
            <w:r>
              <w:rPr>
                <w:rFonts w:hint="eastAsia"/>
                <w:color w:val="auto"/>
                <w:sz w:val="21"/>
                <w:szCs w:val="21"/>
              </w:rPr>
              <w:t>不累计计算）</w:t>
            </w:r>
          </w:p>
        </w:tc>
        <w:tc>
          <w:tcPr>
            <w:tcW w:w="2410" w:type="dxa"/>
            <w:vAlign w:val="center"/>
          </w:tcPr>
          <w:p>
            <w:pPr>
              <w:jc w:val="center"/>
              <w:rPr>
                <w:color w:val="auto"/>
                <w:sz w:val="21"/>
                <w:szCs w:val="21"/>
              </w:rPr>
            </w:pPr>
            <w:r>
              <w:rPr>
                <w:rFonts w:hint="eastAsia"/>
                <w:color w:val="auto"/>
                <w:sz w:val="21"/>
                <w:szCs w:val="21"/>
              </w:rPr>
              <w:t>运输车辆密封</w:t>
            </w:r>
          </w:p>
        </w:tc>
        <w:tc>
          <w:tcPr>
            <w:tcW w:w="1318" w:type="dxa"/>
            <w:vAlign w:val="center"/>
          </w:tcPr>
          <w:p>
            <w:pPr>
              <w:jc w:val="center"/>
              <w:rPr>
                <w:color w:val="auto"/>
                <w:sz w:val="21"/>
                <w:szCs w:val="21"/>
              </w:rPr>
            </w:pPr>
            <w:r>
              <w:rPr>
                <w:color w:val="auto"/>
                <w:sz w:val="21"/>
                <w:szCs w:val="21"/>
              </w:rPr>
              <w:t>P2</w:t>
            </w:r>
          </w:p>
        </w:tc>
        <w:tc>
          <w:tcPr>
            <w:tcW w:w="1705" w:type="dxa"/>
            <w:vAlign w:val="center"/>
          </w:tcPr>
          <w:p>
            <w:pPr>
              <w:jc w:val="center"/>
              <w:rPr>
                <w:color w:val="auto"/>
                <w:sz w:val="21"/>
                <w:szCs w:val="21"/>
              </w:rPr>
            </w:pPr>
            <w:r>
              <w:rPr>
                <w:color w:val="auto"/>
                <w:sz w:val="21"/>
                <w:szCs w:val="21"/>
              </w:rPr>
              <w:t>0</w:t>
            </w:r>
          </w:p>
        </w:tc>
        <w:tc>
          <w:tcPr>
            <w:tcW w:w="1705" w:type="dxa"/>
            <w:vAlign w:val="center"/>
          </w:tcPr>
          <w:p>
            <w:pPr>
              <w:jc w:val="center"/>
              <w:rPr>
                <w:color w:val="auto"/>
                <w:sz w:val="21"/>
                <w:szCs w:val="21"/>
              </w:rPr>
            </w:pPr>
            <w:r>
              <w:rPr>
                <w:color w:val="auto"/>
                <w:sz w:val="21"/>
                <w:szCs w:val="21"/>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jc w:val="center"/>
              <w:rPr>
                <w:b/>
                <w:color w:val="auto"/>
                <w:sz w:val="21"/>
                <w:szCs w:val="21"/>
              </w:rPr>
            </w:pPr>
          </w:p>
        </w:tc>
        <w:tc>
          <w:tcPr>
            <w:tcW w:w="2410" w:type="dxa"/>
            <w:vAlign w:val="center"/>
          </w:tcPr>
          <w:p>
            <w:pPr>
              <w:jc w:val="center"/>
              <w:rPr>
                <w:color w:val="auto"/>
                <w:sz w:val="21"/>
                <w:szCs w:val="21"/>
              </w:rPr>
            </w:pPr>
            <w:r>
              <w:rPr>
                <w:rFonts w:hint="eastAsia"/>
                <w:color w:val="auto"/>
                <w:sz w:val="21"/>
                <w:szCs w:val="21"/>
              </w:rPr>
              <w:t>运输车辆机械冲洗装置</w:t>
            </w:r>
          </w:p>
        </w:tc>
        <w:tc>
          <w:tcPr>
            <w:tcW w:w="1318" w:type="dxa"/>
            <w:vAlign w:val="center"/>
          </w:tcPr>
          <w:p>
            <w:pPr>
              <w:jc w:val="center"/>
              <w:rPr>
                <w:color w:val="auto"/>
                <w:sz w:val="21"/>
                <w:szCs w:val="21"/>
              </w:rPr>
            </w:pPr>
            <w:r>
              <w:rPr>
                <w:color w:val="auto"/>
                <w:sz w:val="21"/>
                <w:szCs w:val="21"/>
              </w:rPr>
              <w:t>P3</w:t>
            </w:r>
          </w:p>
        </w:tc>
        <w:tc>
          <w:tcPr>
            <w:tcW w:w="1705" w:type="dxa"/>
            <w:vAlign w:val="center"/>
          </w:tcPr>
          <w:p>
            <w:pPr>
              <w:jc w:val="center"/>
              <w:rPr>
                <w:color w:val="auto"/>
                <w:sz w:val="21"/>
                <w:szCs w:val="21"/>
              </w:rPr>
            </w:pPr>
            <w:r>
              <w:rPr>
                <w:color w:val="auto"/>
                <w:sz w:val="21"/>
                <w:szCs w:val="21"/>
              </w:rPr>
              <w:t>0</w:t>
            </w:r>
          </w:p>
        </w:tc>
        <w:tc>
          <w:tcPr>
            <w:tcW w:w="1705" w:type="dxa"/>
            <w:vAlign w:val="center"/>
          </w:tcPr>
          <w:p>
            <w:pPr>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jc w:val="center"/>
              <w:rPr>
                <w:b/>
                <w:color w:val="auto"/>
                <w:sz w:val="21"/>
                <w:szCs w:val="21"/>
              </w:rPr>
            </w:pPr>
          </w:p>
        </w:tc>
        <w:tc>
          <w:tcPr>
            <w:tcW w:w="2410" w:type="dxa"/>
            <w:vAlign w:val="center"/>
          </w:tcPr>
          <w:p>
            <w:pPr>
              <w:jc w:val="center"/>
              <w:rPr>
                <w:color w:val="auto"/>
                <w:sz w:val="21"/>
                <w:szCs w:val="21"/>
              </w:rPr>
            </w:pPr>
            <w:r>
              <w:rPr>
                <w:rFonts w:hint="eastAsia"/>
                <w:color w:val="auto"/>
                <w:sz w:val="21"/>
                <w:szCs w:val="21"/>
              </w:rPr>
              <w:t>运输车辆简易冲洗装置</w:t>
            </w:r>
          </w:p>
        </w:tc>
        <w:tc>
          <w:tcPr>
            <w:tcW w:w="1318" w:type="dxa"/>
            <w:vAlign w:val="center"/>
          </w:tcPr>
          <w:p>
            <w:pPr>
              <w:jc w:val="center"/>
              <w:rPr>
                <w:color w:val="auto"/>
                <w:sz w:val="21"/>
                <w:szCs w:val="21"/>
              </w:rPr>
            </w:pPr>
            <w:r>
              <w:rPr>
                <w:color w:val="auto"/>
                <w:sz w:val="21"/>
                <w:szCs w:val="21"/>
              </w:rPr>
              <w:t>P3</w:t>
            </w:r>
          </w:p>
        </w:tc>
        <w:tc>
          <w:tcPr>
            <w:tcW w:w="1705" w:type="dxa"/>
            <w:vAlign w:val="center"/>
          </w:tcPr>
          <w:p>
            <w:pPr>
              <w:jc w:val="center"/>
              <w:rPr>
                <w:color w:val="auto"/>
                <w:sz w:val="21"/>
                <w:szCs w:val="21"/>
              </w:rPr>
            </w:pPr>
            <w:r>
              <w:rPr>
                <w:color w:val="auto"/>
                <w:sz w:val="21"/>
                <w:szCs w:val="21"/>
              </w:rPr>
              <w:t>1.02</w:t>
            </w:r>
          </w:p>
        </w:tc>
        <w:tc>
          <w:tcPr>
            <w:tcW w:w="1705" w:type="dxa"/>
            <w:vAlign w:val="center"/>
          </w:tcPr>
          <w:p>
            <w:pPr>
              <w:jc w:val="center"/>
              <w:rPr>
                <w:color w:val="auto"/>
                <w:sz w:val="21"/>
                <w:szCs w:val="21"/>
              </w:rPr>
            </w:pPr>
            <w:r>
              <w:rPr>
                <w:color w:val="auto"/>
                <w:sz w:val="21"/>
                <w:szCs w:val="21"/>
              </w:rPr>
              <w:t>4.08</w:t>
            </w:r>
          </w:p>
        </w:tc>
      </w:tr>
    </w:tbl>
    <w:p>
      <w:pPr>
        <w:spacing w:line="360" w:lineRule="auto"/>
        <w:ind w:firstLine="480" w:firstLineChars="200"/>
        <w:rPr>
          <w:rFonts w:hAnsi="宋体"/>
          <w:color w:val="auto"/>
          <w:sz w:val="24"/>
        </w:rPr>
      </w:pPr>
      <w:r>
        <w:rPr>
          <w:rFonts w:hAnsi="宋体"/>
          <w:color w:val="auto"/>
          <w:sz w:val="24"/>
        </w:rPr>
        <w:t>本项目施工面积约为</w:t>
      </w:r>
      <w:r>
        <w:rPr>
          <w:rFonts w:hint="eastAsia"/>
          <w:color w:val="auto"/>
          <w:sz w:val="24"/>
        </w:rPr>
        <w:t>3.12h</w:t>
      </w:r>
      <w:r>
        <w:rPr>
          <w:color w:val="auto"/>
          <w:sz w:val="24"/>
        </w:rPr>
        <w:t>m</w:t>
      </w:r>
      <w:r>
        <w:rPr>
          <w:color w:val="auto"/>
          <w:sz w:val="24"/>
          <w:vertAlign w:val="superscript"/>
        </w:rPr>
        <w:t>2</w:t>
      </w:r>
      <w:r>
        <w:rPr>
          <w:rFonts w:hAnsi="宋体"/>
          <w:color w:val="auto"/>
          <w:sz w:val="24"/>
        </w:rPr>
        <w:t>，根据以上计算要求，在不采取任何抑尘措施的情况下，本项目施工扬尘产生量约</w:t>
      </w:r>
      <w:r>
        <w:rPr>
          <w:rFonts w:hint="eastAsia"/>
          <w:color w:val="auto"/>
          <w:sz w:val="24"/>
        </w:rPr>
        <w:t>475.1</w:t>
      </w:r>
      <w:r>
        <w:rPr>
          <w:color w:val="auto"/>
          <w:sz w:val="24"/>
        </w:rPr>
        <w:t>t</w:t>
      </w:r>
      <w:r>
        <w:rPr>
          <w:rFonts w:hAnsi="宋体"/>
          <w:color w:val="auto"/>
          <w:sz w:val="24"/>
        </w:rPr>
        <w:t>。相比之下，若项目采取防止扬尘措施并完全达标，本项目扬尘排放量为</w:t>
      </w:r>
      <w:r>
        <w:rPr>
          <w:rFonts w:hint="eastAsia"/>
          <w:color w:val="auto"/>
          <w:sz w:val="24"/>
        </w:rPr>
        <w:t>104.5</w:t>
      </w:r>
      <w:r>
        <w:rPr>
          <w:color w:val="auto"/>
          <w:sz w:val="24"/>
        </w:rPr>
        <w:t>t</w:t>
      </w:r>
      <w:r>
        <w:rPr>
          <w:rFonts w:hAnsi="宋体"/>
          <w:color w:val="auto"/>
          <w:sz w:val="24"/>
        </w:rPr>
        <w:t>，减少</w:t>
      </w:r>
      <w:r>
        <w:rPr>
          <w:rFonts w:hint="eastAsia"/>
          <w:color w:val="auto"/>
          <w:sz w:val="24"/>
        </w:rPr>
        <w:t>370.7</w:t>
      </w:r>
      <w:r>
        <w:rPr>
          <w:color w:val="auto"/>
          <w:sz w:val="24"/>
        </w:rPr>
        <w:t>t</w:t>
      </w:r>
      <w:r>
        <w:rPr>
          <w:rFonts w:hAnsi="宋体"/>
          <w:color w:val="auto"/>
          <w:sz w:val="24"/>
        </w:rPr>
        <w:t>。</w:t>
      </w:r>
    </w:p>
    <w:p>
      <w:pPr>
        <w:snapToGrid w:val="0"/>
        <w:spacing w:line="360" w:lineRule="auto"/>
        <w:ind w:firstLine="482" w:firstLineChars="200"/>
        <w:rPr>
          <w:b/>
          <w:color w:val="auto"/>
          <w:sz w:val="24"/>
        </w:rPr>
      </w:pPr>
      <w:r>
        <w:rPr>
          <w:rFonts w:hint="eastAsia"/>
          <w:b/>
          <w:color w:val="auto"/>
          <w:sz w:val="24"/>
        </w:rPr>
        <w:t>2、</w:t>
      </w:r>
      <w:r>
        <w:rPr>
          <w:rFonts w:hAnsi="宋体"/>
          <w:b/>
          <w:color w:val="auto"/>
          <w:sz w:val="24"/>
        </w:rPr>
        <w:t>施工机械及设备废气</w:t>
      </w:r>
    </w:p>
    <w:p>
      <w:pPr>
        <w:spacing w:line="360" w:lineRule="auto"/>
        <w:ind w:firstLine="480" w:firstLineChars="200"/>
        <w:jc w:val="left"/>
        <w:rPr>
          <w:color w:val="auto"/>
          <w:sz w:val="24"/>
          <w:szCs w:val="24"/>
        </w:rPr>
      </w:pPr>
      <w:r>
        <w:rPr>
          <w:rFonts w:hint="eastAsia"/>
          <w:color w:val="auto"/>
          <w:sz w:val="24"/>
          <w:szCs w:val="24"/>
        </w:rPr>
        <w:t>施工机械一般使用柴油作动力，开动时会产生一些燃油废气；施工运输车辆一般是大型柴油车，产生机动车尾气。施工机械和运输车辆产生的废气污染物主要为CO、NO</w:t>
      </w:r>
      <w:r>
        <w:rPr>
          <w:rFonts w:hint="eastAsia"/>
          <w:color w:val="auto"/>
          <w:sz w:val="24"/>
          <w:szCs w:val="24"/>
          <w:vertAlign w:val="subscript"/>
        </w:rPr>
        <w:t>x</w:t>
      </w:r>
      <w:r>
        <w:rPr>
          <w:rFonts w:hint="eastAsia"/>
          <w:color w:val="auto"/>
          <w:sz w:val="24"/>
          <w:szCs w:val="24"/>
        </w:rPr>
        <w:t>、PM</w:t>
      </w:r>
      <w:r>
        <w:rPr>
          <w:rFonts w:hint="eastAsia"/>
          <w:color w:val="auto"/>
          <w:sz w:val="24"/>
          <w:szCs w:val="24"/>
          <w:vertAlign w:val="subscript"/>
        </w:rPr>
        <w:t>10</w:t>
      </w:r>
      <w:r>
        <w:rPr>
          <w:rFonts w:hint="eastAsia"/>
          <w:color w:val="auto"/>
          <w:sz w:val="24"/>
          <w:szCs w:val="24"/>
        </w:rPr>
        <w:t>、HC。</w:t>
      </w:r>
    </w:p>
    <w:p>
      <w:pPr>
        <w:spacing w:line="360" w:lineRule="auto"/>
        <w:ind w:firstLine="482" w:firstLineChars="200"/>
        <w:jc w:val="left"/>
        <w:rPr>
          <w:b/>
          <w:color w:val="auto"/>
          <w:sz w:val="24"/>
          <w:szCs w:val="24"/>
        </w:rPr>
      </w:pPr>
      <w:r>
        <w:rPr>
          <w:rFonts w:hint="eastAsia"/>
          <w:b/>
          <w:color w:val="auto"/>
          <w:sz w:val="24"/>
          <w:szCs w:val="24"/>
        </w:rPr>
        <w:t>3、管道连接产生的焊接废气</w:t>
      </w:r>
    </w:p>
    <w:p>
      <w:pPr>
        <w:spacing w:line="360" w:lineRule="auto"/>
        <w:ind w:firstLine="480" w:firstLineChars="200"/>
        <w:jc w:val="left"/>
        <w:rPr>
          <w:color w:val="auto"/>
          <w:sz w:val="24"/>
          <w:szCs w:val="24"/>
        </w:rPr>
      </w:pPr>
      <w:r>
        <w:rPr>
          <w:rFonts w:hint="eastAsia"/>
          <w:color w:val="auto"/>
          <w:sz w:val="24"/>
          <w:szCs w:val="24"/>
        </w:rPr>
        <w:t>管道连接过程会产生焊接烟气。本项目管网为焊接钢管，管道连接过程中的焊接过程中会产生少量的粉尘。本项目管网接口焊接的位置较为分散，且项目截污干管及尾水排放干管沿线场地开阔，自然通风良好，焊接烟气通过自然沉降、大气稀释、扩散，可得到有效控制。</w:t>
      </w:r>
    </w:p>
    <w:p>
      <w:pPr>
        <w:spacing w:line="360" w:lineRule="auto"/>
        <w:ind w:firstLine="482" w:firstLineChars="200"/>
        <w:jc w:val="left"/>
        <w:rPr>
          <w:b/>
          <w:color w:val="auto"/>
          <w:sz w:val="24"/>
          <w:szCs w:val="24"/>
        </w:rPr>
      </w:pPr>
      <w:r>
        <w:rPr>
          <w:rFonts w:hint="eastAsia"/>
          <w:b/>
          <w:color w:val="auto"/>
          <w:sz w:val="24"/>
          <w:szCs w:val="24"/>
        </w:rPr>
        <w:t>4、装修废气</w:t>
      </w:r>
    </w:p>
    <w:p>
      <w:pPr>
        <w:spacing w:line="360" w:lineRule="auto"/>
        <w:ind w:firstLine="480" w:firstLineChars="200"/>
        <w:jc w:val="left"/>
        <w:rPr>
          <w:color w:val="auto"/>
          <w:sz w:val="24"/>
          <w:szCs w:val="24"/>
        </w:rPr>
      </w:pPr>
      <w:r>
        <w:rPr>
          <w:rFonts w:hint="eastAsia"/>
          <w:color w:val="auto"/>
          <w:sz w:val="24"/>
          <w:szCs w:val="24"/>
        </w:rPr>
        <w:t>装修废气主要源于装修材料，如装修过程使用的涂料、地板砖及木料等，都将会释放一些有害的化学物质，属无组织排放，量较少。项目仅在施工期后期进行建筑装修，装修废气排放周期短，且作业点分散。通过加强室内的通风换气，待装修结束完成后，装修过程产生的废气对大气环境造成的影响轻微。</w:t>
      </w:r>
    </w:p>
    <w:p>
      <w:pPr>
        <w:spacing w:line="360" w:lineRule="auto"/>
        <w:ind w:firstLine="480" w:firstLineChars="200"/>
        <w:jc w:val="left"/>
        <w:rPr>
          <w:color w:val="auto"/>
          <w:sz w:val="24"/>
          <w:szCs w:val="24"/>
        </w:rPr>
      </w:pPr>
      <w:r>
        <w:rPr>
          <w:rFonts w:hint="eastAsia"/>
          <w:color w:val="auto"/>
          <w:sz w:val="24"/>
          <w:szCs w:val="24"/>
        </w:rPr>
        <w:t>为控制施工期废气对周围大气环境的影响，环评建议施工期间应加强对施工人员的环保教育，提高全体施工人员的环保意识，坚持文明施工、科学施工。</w:t>
      </w:r>
    </w:p>
    <w:p>
      <w:pPr>
        <w:pStyle w:val="5"/>
        <w:rPr>
          <w:color w:val="auto"/>
        </w:rPr>
      </w:pPr>
      <w:r>
        <w:rPr>
          <w:rFonts w:hint="eastAsia"/>
          <w:color w:val="auto"/>
        </w:rPr>
        <w:t>3.6.2.2施工期废水污染源分析</w:t>
      </w:r>
    </w:p>
    <w:p>
      <w:pPr>
        <w:snapToGrid w:val="0"/>
        <w:spacing w:line="360" w:lineRule="auto"/>
        <w:ind w:firstLine="482" w:firstLineChars="200"/>
        <w:rPr>
          <w:b/>
          <w:color w:val="auto"/>
          <w:sz w:val="24"/>
        </w:rPr>
      </w:pPr>
      <w:r>
        <w:rPr>
          <w:rFonts w:hint="eastAsia"/>
          <w:b/>
          <w:color w:val="auto"/>
          <w:sz w:val="24"/>
        </w:rPr>
        <w:t>1、</w:t>
      </w:r>
      <w:r>
        <w:rPr>
          <w:rFonts w:hAnsi="宋体"/>
          <w:b/>
          <w:color w:val="auto"/>
          <w:sz w:val="24"/>
        </w:rPr>
        <w:t>施工人员生活污水</w:t>
      </w:r>
    </w:p>
    <w:p>
      <w:pPr>
        <w:snapToGrid w:val="0"/>
        <w:spacing w:line="360" w:lineRule="auto"/>
        <w:ind w:firstLine="480" w:firstLineChars="200"/>
        <w:rPr>
          <w:rFonts w:hAnsi="宋体"/>
          <w:color w:val="auto"/>
          <w:sz w:val="24"/>
        </w:rPr>
      </w:pPr>
      <w:r>
        <w:rPr>
          <w:rFonts w:hAnsi="宋体"/>
          <w:color w:val="auto"/>
          <w:sz w:val="24"/>
        </w:rPr>
        <w:t>本项目工期约为</w:t>
      </w:r>
      <w:r>
        <w:rPr>
          <w:rFonts w:hint="eastAsia"/>
          <w:color w:val="auto"/>
          <w:sz w:val="24"/>
        </w:rPr>
        <w:t>12</w:t>
      </w:r>
      <w:r>
        <w:rPr>
          <w:rFonts w:hAnsi="宋体"/>
          <w:color w:val="auto"/>
          <w:sz w:val="24"/>
        </w:rPr>
        <w:t>个月，平均每天施工人数以</w:t>
      </w:r>
      <w:r>
        <w:rPr>
          <w:color w:val="auto"/>
          <w:sz w:val="24"/>
        </w:rPr>
        <w:t>50</w:t>
      </w:r>
      <w:r>
        <w:rPr>
          <w:rFonts w:hAnsi="宋体"/>
          <w:color w:val="auto"/>
          <w:sz w:val="24"/>
        </w:rPr>
        <w:t>人计，施工人员平均用水量按</w:t>
      </w:r>
      <w:r>
        <w:rPr>
          <w:color w:val="auto"/>
          <w:sz w:val="24"/>
        </w:rPr>
        <w:t>50L/</w:t>
      </w:r>
      <w:r>
        <w:rPr>
          <w:rFonts w:hAnsi="宋体"/>
          <w:color w:val="auto"/>
          <w:sz w:val="24"/>
        </w:rPr>
        <w:t>（人</w:t>
      </w:r>
      <w:r>
        <w:rPr>
          <w:color w:val="auto"/>
          <w:sz w:val="24"/>
        </w:rPr>
        <w:t>·d</w:t>
      </w:r>
      <w:r>
        <w:rPr>
          <w:rFonts w:hAnsi="宋体"/>
          <w:color w:val="auto"/>
          <w:sz w:val="24"/>
        </w:rPr>
        <w:t>）计，污水排放系数取</w:t>
      </w:r>
      <w:r>
        <w:rPr>
          <w:color w:val="auto"/>
          <w:sz w:val="24"/>
        </w:rPr>
        <w:t>0.9</w:t>
      </w:r>
      <w:r>
        <w:rPr>
          <w:rFonts w:hAnsi="宋体"/>
          <w:color w:val="auto"/>
          <w:sz w:val="24"/>
        </w:rPr>
        <w:t>，则每天将产生生活污水</w:t>
      </w:r>
      <w:r>
        <w:rPr>
          <w:color w:val="auto"/>
          <w:sz w:val="24"/>
        </w:rPr>
        <w:t>2.25t/d</w:t>
      </w:r>
      <w:r>
        <w:rPr>
          <w:rFonts w:hAnsi="宋体"/>
          <w:color w:val="auto"/>
          <w:sz w:val="24"/>
        </w:rPr>
        <w:t>。本项目施工期施工人员产生的生活污水</w:t>
      </w:r>
      <w:r>
        <w:rPr>
          <w:rFonts w:hint="eastAsia" w:hAnsi="宋体"/>
          <w:color w:val="auto"/>
          <w:sz w:val="24"/>
        </w:rPr>
        <w:t>参照《排水工程（下册）》表9-1“典型生活污水水质”中“中浓度水质”，由于表9-1中无NH</w:t>
      </w:r>
      <w:r>
        <w:rPr>
          <w:rFonts w:hint="eastAsia" w:hAnsi="宋体"/>
          <w:color w:val="auto"/>
          <w:sz w:val="24"/>
          <w:vertAlign w:val="subscript"/>
        </w:rPr>
        <w:t>3</w:t>
      </w:r>
      <w:r>
        <w:rPr>
          <w:rFonts w:hint="eastAsia" w:hAnsi="宋体"/>
          <w:color w:val="auto"/>
          <w:sz w:val="24"/>
        </w:rPr>
        <w:t>-N的水质浓度，其浓度参考《排水工程（下册）》P4中“生活污水中凯氏氮含量约40mg/L（其中有机氮约15mg/L，氨氮约25mg/L）”，为25mg/L</w:t>
      </w:r>
      <w:r>
        <w:rPr>
          <w:rFonts w:hAnsi="宋体"/>
          <w:color w:val="auto"/>
          <w:sz w:val="24"/>
        </w:rPr>
        <w:t>。施工期生活污水的污染负荷如</w:t>
      </w:r>
      <w:r>
        <w:rPr>
          <w:rFonts w:hint="eastAsia" w:hAnsi="宋体"/>
          <w:color w:val="auto"/>
          <w:sz w:val="24"/>
        </w:rPr>
        <w:t>表3-6-2</w:t>
      </w:r>
      <w:r>
        <w:rPr>
          <w:rFonts w:hAnsi="宋体"/>
          <w:color w:val="auto"/>
          <w:sz w:val="24"/>
        </w:rPr>
        <w:t>。</w:t>
      </w:r>
    </w:p>
    <w:p>
      <w:pPr>
        <w:tabs>
          <w:tab w:val="left" w:pos="2350"/>
          <w:tab w:val="center" w:pos="4367"/>
        </w:tabs>
        <w:snapToGrid w:val="0"/>
        <w:spacing w:line="360" w:lineRule="auto"/>
        <w:jc w:val="center"/>
        <w:rPr>
          <w:b/>
          <w:color w:val="auto"/>
          <w:sz w:val="24"/>
          <w:szCs w:val="24"/>
        </w:rPr>
      </w:pPr>
      <w:r>
        <w:rPr>
          <w:rFonts w:hint="eastAsia" w:hAnsi="宋体"/>
          <w:b/>
          <w:color w:val="auto"/>
          <w:sz w:val="24"/>
          <w:szCs w:val="24"/>
        </w:rPr>
        <w:t>表3-6-2</w:t>
      </w:r>
      <w:r>
        <w:rPr>
          <w:b/>
          <w:color w:val="auto"/>
          <w:sz w:val="24"/>
          <w:szCs w:val="24"/>
        </w:rPr>
        <w:t xml:space="preserve">       </w:t>
      </w:r>
      <w:r>
        <w:rPr>
          <w:rFonts w:hAnsi="宋体"/>
          <w:b/>
          <w:color w:val="auto"/>
          <w:sz w:val="24"/>
          <w:szCs w:val="24"/>
        </w:rPr>
        <w:t>施工期生活污水污染负荷</w:t>
      </w:r>
    </w:p>
    <w:tbl>
      <w:tblPr>
        <w:tblStyle w:val="28"/>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1480"/>
        <w:gridCol w:w="1659"/>
        <w:gridCol w:w="1660"/>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rPr>
                <w:b/>
                <w:color w:val="auto"/>
                <w:szCs w:val="22"/>
              </w:rPr>
            </w:pPr>
            <w:r>
              <w:rPr>
                <w:rFonts w:hAnsi="宋体"/>
                <w:b/>
                <w:color w:val="auto"/>
                <w:szCs w:val="22"/>
              </w:rPr>
              <w:t>项目</w:t>
            </w:r>
          </w:p>
        </w:tc>
        <w:tc>
          <w:tcPr>
            <w:tcW w:w="1480" w:type="dxa"/>
            <w:vAlign w:val="center"/>
          </w:tcPr>
          <w:p>
            <w:pPr>
              <w:pStyle w:val="54"/>
              <w:rPr>
                <w:b/>
                <w:color w:val="auto"/>
                <w:szCs w:val="22"/>
              </w:rPr>
            </w:pPr>
            <w:r>
              <w:rPr>
                <w:b/>
                <w:color w:val="auto"/>
                <w:szCs w:val="22"/>
              </w:rPr>
              <w:t>COD</w:t>
            </w:r>
          </w:p>
        </w:tc>
        <w:tc>
          <w:tcPr>
            <w:tcW w:w="1659" w:type="dxa"/>
            <w:vAlign w:val="center"/>
          </w:tcPr>
          <w:p>
            <w:pPr>
              <w:pStyle w:val="54"/>
              <w:rPr>
                <w:b/>
                <w:color w:val="auto"/>
                <w:szCs w:val="22"/>
              </w:rPr>
            </w:pPr>
            <w:r>
              <w:rPr>
                <w:b/>
                <w:color w:val="auto"/>
                <w:szCs w:val="22"/>
              </w:rPr>
              <w:t>BOD</w:t>
            </w:r>
            <w:r>
              <w:rPr>
                <w:b/>
                <w:color w:val="auto"/>
                <w:szCs w:val="22"/>
                <w:vertAlign w:val="subscript"/>
              </w:rPr>
              <w:t>5</w:t>
            </w:r>
          </w:p>
        </w:tc>
        <w:tc>
          <w:tcPr>
            <w:tcW w:w="1660" w:type="dxa"/>
            <w:vAlign w:val="center"/>
          </w:tcPr>
          <w:p>
            <w:pPr>
              <w:pStyle w:val="54"/>
              <w:rPr>
                <w:b/>
                <w:color w:val="auto"/>
                <w:szCs w:val="22"/>
              </w:rPr>
            </w:pPr>
            <w:r>
              <w:rPr>
                <w:b/>
                <w:color w:val="auto"/>
                <w:szCs w:val="22"/>
              </w:rPr>
              <w:t>SS</w:t>
            </w:r>
          </w:p>
        </w:tc>
        <w:tc>
          <w:tcPr>
            <w:tcW w:w="1660" w:type="dxa"/>
            <w:vAlign w:val="center"/>
          </w:tcPr>
          <w:p>
            <w:pPr>
              <w:pStyle w:val="54"/>
              <w:rPr>
                <w:b/>
                <w:color w:val="auto"/>
                <w:szCs w:val="22"/>
              </w:rPr>
            </w:pPr>
            <w:r>
              <w:rPr>
                <w:b/>
                <w:color w:val="auto"/>
                <w:szCs w:val="22"/>
              </w:rPr>
              <w:t>NH</w:t>
            </w:r>
            <w:r>
              <w:rPr>
                <w:b/>
                <w:color w:val="auto"/>
                <w:szCs w:val="22"/>
                <w:vertAlign w:val="subscript"/>
              </w:rPr>
              <w:t>3</w:t>
            </w:r>
            <w:r>
              <w:rPr>
                <w:b/>
                <w:color w:val="auto"/>
                <w:szCs w:val="22"/>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rPr>
                <w:color w:val="auto"/>
                <w:szCs w:val="22"/>
              </w:rPr>
            </w:pPr>
            <w:r>
              <w:rPr>
                <w:rFonts w:hAnsi="宋体"/>
                <w:color w:val="auto"/>
                <w:szCs w:val="22"/>
              </w:rPr>
              <w:t>原始浓度（</w:t>
            </w:r>
            <w:r>
              <w:rPr>
                <w:color w:val="auto"/>
                <w:szCs w:val="22"/>
              </w:rPr>
              <w:t>mg/L</w:t>
            </w:r>
            <w:r>
              <w:rPr>
                <w:rFonts w:hAnsi="宋体"/>
                <w:color w:val="auto"/>
                <w:szCs w:val="22"/>
              </w:rPr>
              <w:t>）</w:t>
            </w:r>
          </w:p>
        </w:tc>
        <w:tc>
          <w:tcPr>
            <w:tcW w:w="1480" w:type="dxa"/>
            <w:vAlign w:val="center"/>
          </w:tcPr>
          <w:p>
            <w:pPr>
              <w:jc w:val="center"/>
              <w:rPr>
                <w:color w:val="auto"/>
                <w:sz w:val="21"/>
                <w:szCs w:val="21"/>
              </w:rPr>
            </w:pPr>
            <w:r>
              <w:rPr>
                <w:color w:val="auto"/>
                <w:sz w:val="21"/>
                <w:szCs w:val="21"/>
              </w:rPr>
              <w:t>400</w:t>
            </w:r>
          </w:p>
        </w:tc>
        <w:tc>
          <w:tcPr>
            <w:tcW w:w="1659" w:type="dxa"/>
            <w:vAlign w:val="center"/>
          </w:tcPr>
          <w:p>
            <w:pPr>
              <w:jc w:val="center"/>
              <w:rPr>
                <w:color w:val="auto"/>
                <w:sz w:val="21"/>
                <w:szCs w:val="21"/>
              </w:rPr>
            </w:pPr>
            <w:r>
              <w:rPr>
                <w:color w:val="auto"/>
                <w:sz w:val="21"/>
                <w:szCs w:val="21"/>
              </w:rPr>
              <w:t>200</w:t>
            </w:r>
          </w:p>
        </w:tc>
        <w:tc>
          <w:tcPr>
            <w:tcW w:w="1660" w:type="dxa"/>
            <w:vAlign w:val="center"/>
          </w:tcPr>
          <w:p>
            <w:pPr>
              <w:jc w:val="center"/>
              <w:rPr>
                <w:color w:val="auto"/>
                <w:sz w:val="21"/>
                <w:szCs w:val="21"/>
              </w:rPr>
            </w:pPr>
            <w:r>
              <w:rPr>
                <w:color w:val="auto"/>
                <w:sz w:val="21"/>
                <w:szCs w:val="21"/>
              </w:rPr>
              <w:t>220</w:t>
            </w:r>
          </w:p>
        </w:tc>
        <w:tc>
          <w:tcPr>
            <w:tcW w:w="1660" w:type="dxa"/>
            <w:vAlign w:val="center"/>
          </w:tcPr>
          <w:p>
            <w:pPr>
              <w:jc w:val="center"/>
              <w:rPr>
                <w:color w:val="auto"/>
                <w:sz w:val="21"/>
                <w:szCs w:val="21"/>
              </w:rPr>
            </w:pPr>
            <w:r>
              <w:rPr>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rPr>
                <w:color w:val="auto"/>
                <w:szCs w:val="22"/>
              </w:rPr>
            </w:pPr>
            <w:r>
              <w:rPr>
                <w:rFonts w:hAnsi="宋体"/>
                <w:color w:val="auto"/>
                <w:szCs w:val="22"/>
              </w:rPr>
              <w:t>产生量（</w:t>
            </w:r>
            <w:r>
              <w:rPr>
                <w:color w:val="auto"/>
                <w:szCs w:val="22"/>
              </w:rPr>
              <w:t>kg/d</w:t>
            </w:r>
            <w:r>
              <w:rPr>
                <w:rFonts w:hAnsi="宋体"/>
                <w:color w:val="auto"/>
                <w:szCs w:val="22"/>
              </w:rPr>
              <w:t>）</w:t>
            </w:r>
          </w:p>
        </w:tc>
        <w:tc>
          <w:tcPr>
            <w:tcW w:w="1480" w:type="dxa"/>
            <w:vAlign w:val="center"/>
          </w:tcPr>
          <w:p>
            <w:pPr>
              <w:jc w:val="center"/>
              <w:rPr>
                <w:color w:val="auto"/>
                <w:sz w:val="21"/>
                <w:szCs w:val="21"/>
              </w:rPr>
            </w:pPr>
            <w:r>
              <w:rPr>
                <w:color w:val="auto"/>
                <w:sz w:val="21"/>
                <w:szCs w:val="21"/>
              </w:rPr>
              <w:t>0.90</w:t>
            </w:r>
          </w:p>
        </w:tc>
        <w:tc>
          <w:tcPr>
            <w:tcW w:w="1659" w:type="dxa"/>
            <w:vAlign w:val="center"/>
          </w:tcPr>
          <w:p>
            <w:pPr>
              <w:jc w:val="center"/>
              <w:rPr>
                <w:color w:val="auto"/>
                <w:sz w:val="21"/>
                <w:szCs w:val="21"/>
              </w:rPr>
            </w:pPr>
            <w:r>
              <w:rPr>
                <w:color w:val="auto"/>
                <w:sz w:val="21"/>
                <w:szCs w:val="21"/>
              </w:rPr>
              <w:t>0.45</w:t>
            </w:r>
          </w:p>
        </w:tc>
        <w:tc>
          <w:tcPr>
            <w:tcW w:w="1660" w:type="dxa"/>
            <w:vAlign w:val="center"/>
          </w:tcPr>
          <w:p>
            <w:pPr>
              <w:jc w:val="center"/>
              <w:rPr>
                <w:color w:val="auto"/>
                <w:sz w:val="21"/>
                <w:szCs w:val="21"/>
              </w:rPr>
            </w:pPr>
            <w:r>
              <w:rPr>
                <w:color w:val="auto"/>
                <w:sz w:val="21"/>
                <w:szCs w:val="21"/>
              </w:rPr>
              <w:t>0.50</w:t>
            </w:r>
          </w:p>
        </w:tc>
        <w:tc>
          <w:tcPr>
            <w:tcW w:w="1660" w:type="dxa"/>
            <w:vAlign w:val="center"/>
          </w:tcPr>
          <w:p>
            <w:pPr>
              <w:jc w:val="center"/>
              <w:rPr>
                <w:color w:val="auto"/>
                <w:sz w:val="21"/>
                <w:szCs w:val="21"/>
              </w:rPr>
            </w:pPr>
            <w:r>
              <w:rPr>
                <w:color w:val="auto"/>
                <w:sz w:val="21"/>
                <w:szCs w:val="21"/>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rPr>
                <w:color w:val="auto"/>
                <w:szCs w:val="22"/>
              </w:rPr>
            </w:pPr>
            <w:r>
              <w:rPr>
                <w:rFonts w:hAnsi="宋体"/>
                <w:color w:val="auto"/>
                <w:szCs w:val="22"/>
              </w:rPr>
              <w:t>产生量（</w:t>
            </w:r>
            <w:r>
              <w:rPr>
                <w:color w:val="auto"/>
                <w:szCs w:val="22"/>
              </w:rPr>
              <w:t>t/</w:t>
            </w:r>
            <w:r>
              <w:rPr>
                <w:rFonts w:hAnsi="宋体"/>
                <w:color w:val="auto"/>
                <w:szCs w:val="22"/>
              </w:rPr>
              <w:t>施工期）</w:t>
            </w:r>
          </w:p>
        </w:tc>
        <w:tc>
          <w:tcPr>
            <w:tcW w:w="1480" w:type="dxa"/>
            <w:vAlign w:val="center"/>
          </w:tcPr>
          <w:p>
            <w:pPr>
              <w:jc w:val="center"/>
              <w:rPr>
                <w:color w:val="auto"/>
                <w:sz w:val="21"/>
                <w:szCs w:val="21"/>
              </w:rPr>
            </w:pPr>
            <w:r>
              <w:rPr>
                <w:color w:val="auto"/>
                <w:sz w:val="21"/>
                <w:szCs w:val="21"/>
              </w:rPr>
              <w:t xml:space="preserve">0.27 </w:t>
            </w:r>
          </w:p>
        </w:tc>
        <w:tc>
          <w:tcPr>
            <w:tcW w:w="1659" w:type="dxa"/>
            <w:vAlign w:val="center"/>
          </w:tcPr>
          <w:p>
            <w:pPr>
              <w:jc w:val="center"/>
              <w:rPr>
                <w:color w:val="auto"/>
                <w:sz w:val="21"/>
                <w:szCs w:val="21"/>
              </w:rPr>
            </w:pPr>
            <w:r>
              <w:rPr>
                <w:color w:val="auto"/>
                <w:sz w:val="21"/>
                <w:szCs w:val="21"/>
              </w:rPr>
              <w:t xml:space="preserve">0.14 </w:t>
            </w:r>
          </w:p>
        </w:tc>
        <w:tc>
          <w:tcPr>
            <w:tcW w:w="1660" w:type="dxa"/>
            <w:vAlign w:val="center"/>
          </w:tcPr>
          <w:p>
            <w:pPr>
              <w:jc w:val="center"/>
              <w:rPr>
                <w:color w:val="auto"/>
                <w:sz w:val="21"/>
                <w:szCs w:val="21"/>
              </w:rPr>
            </w:pPr>
            <w:r>
              <w:rPr>
                <w:color w:val="auto"/>
                <w:sz w:val="21"/>
                <w:szCs w:val="21"/>
              </w:rPr>
              <w:t xml:space="preserve">0.15 </w:t>
            </w:r>
          </w:p>
        </w:tc>
        <w:tc>
          <w:tcPr>
            <w:tcW w:w="1660" w:type="dxa"/>
            <w:vAlign w:val="center"/>
          </w:tcPr>
          <w:p>
            <w:pPr>
              <w:jc w:val="center"/>
              <w:rPr>
                <w:color w:val="auto"/>
                <w:sz w:val="21"/>
                <w:szCs w:val="21"/>
              </w:rPr>
            </w:pPr>
            <w:r>
              <w:rPr>
                <w:color w:val="auto"/>
                <w:sz w:val="21"/>
                <w:szCs w:val="21"/>
              </w:rPr>
              <w:t xml:space="preserve">0.02 </w:t>
            </w:r>
          </w:p>
        </w:tc>
      </w:tr>
    </w:tbl>
    <w:p>
      <w:pPr>
        <w:snapToGrid w:val="0"/>
        <w:spacing w:line="360" w:lineRule="auto"/>
        <w:ind w:firstLine="480" w:firstLineChars="200"/>
        <w:jc w:val="left"/>
        <w:rPr>
          <w:color w:val="auto"/>
          <w:sz w:val="24"/>
        </w:rPr>
      </w:pPr>
      <w:r>
        <w:rPr>
          <w:rFonts w:hAnsi="宋体"/>
          <w:color w:val="auto"/>
          <w:sz w:val="24"/>
        </w:rPr>
        <w:t>注：每月施工时间按</w:t>
      </w:r>
      <w:r>
        <w:rPr>
          <w:color w:val="auto"/>
          <w:sz w:val="24"/>
        </w:rPr>
        <w:t>25d</w:t>
      </w:r>
      <w:r>
        <w:rPr>
          <w:rFonts w:hAnsi="宋体"/>
          <w:color w:val="auto"/>
          <w:sz w:val="24"/>
        </w:rPr>
        <w:t>计。</w:t>
      </w:r>
    </w:p>
    <w:p>
      <w:pPr>
        <w:snapToGrid w:val="0"/>
        <w:spacing w:line="360" w:lineRule="auto"/>
        <w:ind w:firstLine="480" w:firstLineChars="200"/>
        <w:jc w:val="left"/>
        <w:rPr>
          <w:color w:val="auto"/>
          <w:sz w:val="24"/>
        </w:rPr>
      </w:pPr>
      <w:r>
        <w:rPr>
          <w:rFonts w:hint="eastAsia" w:hAnsi="宋体"/>
          <w:color w:val="auto"/>
          <w:sz w:val="24"/>
          <w:lang w:val="zh-CN"/>
        </w:rPr>
        <w:t>项目内不设置施工营地，施工人员食宿利用周边村庄的配套设施解决，施工人员洗手、如厕可利用地块内设置的临时公厕解决。施工期生活污水经化粪池厌氧消化处理后，用于周边林地灌溉。</w:t>
      </w:r>
    </w:p>
    <w:p>
      <w:pPr>
        <w:snapToGrid w:val="0"/>
        <w:spacing w:line="360" w:lineRule="auto"/>
        <w:ind w:firstLine="482" w:firstLineChars="200"/>
        <w:jc w:val="left"/>
        <w:rPr>
          <w:b/>
          <w:color w:val="auto"/>
          <w:sz w:val="24"/>
        </w:rPr>
      </w:pPr>
      <w:r>
        <w:rPr>
          <w:rFonts w:hint="eastAsia"/>
          <w:b/>
          <w:color w:val="auto"/>
          <w:sz w:val="24"/>
        </w:rPr>
        <w:t>2、</w:t>
      </w:r>
      <w:r>
        <w:rPr>
          <w:rFonts w:hAnsi="宋体"/>
          <w:b/>
          <w:color w:val="auto"/>
          <w:sz w:val="24"/>
        </w:rPr>
        <w:t>施工废水</w:t>
      </w:r>
    </w:p>
    <w:p>
      <w:pPr>
        <w:spacing w:line="360" w:lineRule="auto"/>
        <w:ind w:firstLine="480" w:firstLineChars="200"/>
        <w:rPr>
          <w:color w:val="auto"/>
          <w:sz w:val="24"/>
          <w:lang w:val="zh-CN"/>
        </w:rPr>
      </w:pPr>
      <w:r>
        <w:rPr>
          <w:rFonts w:hAnsi="宋体"/>
          <w:color w:val="auto"/>
          <w:sz w:val="24"/>
        </w:rPr>
        <w:t>施工废水主要为雨天堆土场冲刷水及车辆机械冲洗水等。工程施工时临时堆土场若管理防护不当被雨水冲刷，会对周围水体水质造成污染，对区域水质的影响主要表现为</w:t>
      </w:r>
      <w:r>
        <w:rPr>
          <w:color w:val="auto"/>
          <w:sz w:val="24"/>
        </w:rPr>
        <w:t>SS</w:t>
      </w:r>
      <w:r>
        <w:rPr>
          <w:rFonts w:hAnsi="宋体"/>
          <w:color w:val="auto"/>
          <w:sz w:val="24"/>
        </w:rPr>
        <w:t>的增高。另外，在施工场地对车辆、机械设备冲洗时，施工机械渗漏的污油及露天机械受雨水冲刷等也将产生少量含油污水。污水的主要污染物为</w:t>
      </w:r>
      <w:r>
        <w:rPr>
          <w:color w:val="auto"/>
          <w:sz w:val="24"/>
        </w:rPr>
        <w:t>COD</w:t>
      </w:r>
      <w:r>
        <w:rPr>
          <w:rFonts w:hAnsi="宋体"/>
          <w:color w:val="auto"/>
          <w:sz w:val="24"/>
        </w:rPr>
        <w:t>、</w:t>
      </w:r>
      <w:r>
        <w:rPr>
          <w:color w:val="auto"/>
          <w:sz w:val="24"/>
        </w:rPr>
        <w:t>SS</w:t>
      </w:r>
      <w:r>
        <w:rPr>
          <w:rFonts w:hAnsi="宋体"/>
          <w:color w:val="auto"/>
          <w:sz w:val="24"/>
        </w:rPr>
        <w:t>和石油类，浓度约为</w:t>
      </w:r>
      <w:r>
        <w:rPr>
          <w:color w:val="auto"/>
          <w:sz w:val="24"/>
        </w:rPr>
        <w:t>COD 300mg/L</w:t>
      </w:r>
      <w:r>
        <w:rPr>
          <w:rFonts w:hAnsi="宋体"/>
          <w:color w:val="auto"/>
          <w:sz w:val="24"/>
        </w:rPr>
        <w:t>、</w:t>
      </w:r>
      <w:r>
        <w:rPr>
          <w:color w:val="auto"/>
          <w:sz w:val="24"/>
        </w:rPr>
        <w:t>SS 800mg/L</w:t>
      </w:r>
      <w:r>
        <w:rPr>
          <w:rFonts w:hAnsi="宋体"/>
          <w:color w:val="auto"/>
          <w:sz w:val="24"/>
        </w:rPr>
        <w:t>、石油类</w:t>
      </w:r>
      <w:r>
        <w:rPr>
          <w:color w:val="auto"/>
          <w:sz w:val="24"/>
        </w:rPr>
        <w:t>40mg/L</w:t>
      </w:r>
      <w:r>
        <w:rPr>
          <w:rFonts w:hAnsi="宋体"/>
          <w:color w:val="auto"/>
          <w:sz w:val="24"/>
        </w:rPr>
        <w:t>。</w:t>
      </w:r>
      <w:r>
        <w:rPr>
          <w:rFonts w:hAnsi="宋体"/>
          <w:color w:val="auto"/>
          <w:sz w:val="24"/>
          <w:lang w:val="zh-CN"/>
        </w:rPr>
        <w:t>建议在施工场地内，修建临时废水收集池、沉淀池，将施工过程中产生的施工废水经沉淀、隔油等措施处理后，回用于施工场地洒水等环节。此外，在施工过程中还应加强对机械设备的检修，以防止设备漏油现象的发生</w:t>
      </w:r>
      <w:r>
        <w:rPr>
          <w:rFonts w:hint="eastAsia" w:hAnsi="宋体"/>
          <w:color w:val="auto"/>
          <w:sz w:val="24"/>
          <w:lang w:val="zh-CN"/>
        </w:rPr>
        <w:t>，</w:t>
      </w:r>
      <w:r>
        <w:rPr>
          <w:rFonts w:hAnsi="宋体"/>
          <w:color w:val="auto"/>
          <w:sz w:val="24"/>
          <w:lang w:val="zh-CN"/>
        </w:rPr>
        <w:t>施工机械设备的维修应在专业厂家进行。</w:t>
      </w:r>
    </w:p>
    <w:p>
      <w:pPr>
        <w:spacing w:line="360" w:lineRule="auto"/>
        <w:ind w:firstLine="482" w:firstLineChars="200"/>
        <w:jc w:val="left"/>
        <w:rPr>
          <w:b/>
          <w:color w:val="auto"/>
          <w:sz w:val="24"/>
          <w:szCs w:val="24"/>
        </w:rPr>
      </w:pPr>
      <w:r>
        <w:rPr>
          <w:rFonts w:hint="eastAsia"/>
          <w:b/>
          <w:color w:val="auto"/>
          <w:sz w:val="24"/>
          <w:szCs w:val="24"/>
        </w:rPr>
        <w:t>3、管道试压废水</w:t>
      </w:r>
    </w:p>
    <w:p>
      <w:pPr>
        <w:spacing w:line="360" w:lineRule="auto"/>
        <w:ind w:firstLine="480" w:firstLineChars="200"/>
        <w:jc w:val="left"/>
        <w:rPr>
          <w:color w:val="auto"/>
          <w:sz w:val="24"/>
          <w:szCs w:val="24"/>
        </w:rPr>
      </w:pPr>
      <w:r>
        <w:rPr>
          <w:rFonts w:hint="eastAsia"/>
          <w:color w:val="auto"/>
          <w:sz w:val="24"/>
          <w:szCs w:val="24"/>
        </w:rPr>
        <w:t>由于本项目采取分段试压，试压水约50%回用于下一管段试压。管道试压废水含少量悬浮物和泥砂，直接用于浇灌沿线植被。</w:t>
      </w:r>
    </w:p>
    <w:p>
      <w:pPr>
        <w:pStyle w:val="5"/>
        <w:rPr>
          <w:color w:val="auto"/>
        </w:rPr>
      </w:pPr>
      <w:r>
        <w:rPr>
          <w:rFonts w:hint="eastAsia"/>
          <w:color w:val="auto"/>
        </w:rPr>
        <w:t>3.6.2.3施工期噪声分析</w:t>
      </w:r>
    </w:p>
    <w:p>
      <w:pPr>
        <w:spacing w:line="360" w:lineRule="auto"/>
        <w:ind w:firstLine="480" w:firstLineChars="200"/>
        <w:jc w:val="left"/>
        <w:rPr>
          <w:color w:val="auto"/>
          <w:sz w:val="24"/>
          <w:szCs w:val="24"/>
        </w:rPr>
      </w:pPr>
      <w:r>
        <w:rPr>
          <w:rFonts w:hint="eastAsia"/>
          <w:color w:val="auto"/>
          <w:sz w:val="24"/>
          <w:szCs w:val="24"/>
        </w:rPr>
        <w:t>施工期噪声污染主要来源于施工现场的施工机械运行及作业产生的噪声，以及车辆运输产生的噪声。这些噪声源的数量和种类较多，即有固定源，也有流动源，有的是连续源，也有不少属瞬时源（突发性噪声），但一般其噪声源强较大，易产生扰民问题。</w:t>
      </w:r>
    </w:p>
    <w:p>
      <w:pPr>
        <w:spacing w:line="360" w:lineRule="auto"/>
        <w:ind w:firstLine="480" w:firstLineChars="200"/>
        <w:jc w:val="left"/>
        <w:rPr>
          <w:color w:val="auto"/>
          <w:sz w:val="24"/>
          <w:szCs w:val="24"/>
        </w:rPr>
      </w:pPr>
      <w:r>
        <w:rPr>
          <w:rFonts w:hint="eastAsia"/>
          <w:color w:val="auto"/>
          <w:sz w:val="24"/>
          <w:szCs w:val="24"/>
        </w:rPr>
        <w:t>根据《环境噪声与振动控制工程技术导则》（HJ2034-2013）附录A、《环境工程手册 环境噪声控制卷》（郑长聚主编，高等教育出版社）、《环境噪声控制工程》（洪宗辉主编，高等教育出版社），常用的施工机械设备噪声强度见下表。</w:t>
      </w:r>
    </w:p>
    <w:p>
      <w:pPr>
        <w:spacing w:line="360" w:lineRule="auto"/>
        <w:ind w:firstLine="480" w:firstLineChars="200"/>
        <w:jc w:val="left"/>
        <w:rPr>
          <w:color w:val="auto"/>
          <w:sz w:val="24"/>
          <w:szCs w:val="24"/>
        </w:rPr>
      </w:pPr>
    </w:p>
    <w:p>
      <w:pPr>
        <w:spacing w:line="360" w:lineRule="auto"/>
        <w:jc w:val="center"/>
        <w:rPr>
          <w:b/>
          <w:color w:val="auto"/>
          <w:sz w:val="24"/>
          <w:szCs w:val="24"/>
        </w:rPr>
      </w:pPr>
      <w:r>
        <w:rPr>
          <w:rFonts w:hint="eastAsia"/>
          <w:b/>
          <w:color w:val="auto"/>
          <w:sz w:val="24"/>
          <w:szCs w:val="24"/>
        </w:rPr>
        <w:t>表3-6-3   管道施工期主要噪声源及其声级值</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4"/>
        <w:gridCol w:w="1417"/>
        <w:gridCol w:w="340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adjustRightInd w:val="0"/>
              <w:snapToGrid w:val="0"/>
              <w:jc w:val="center"/>
              <w:rPr>
                <w:b/>
                <w:color w:val="auto"/>
                <w:sz w:val="21"/>
                <w:szCs w:val="21"/>
              </w:rPr>
            </w:pPr>
            <w:r>
              <w:rPr>
                <w:b/>
                <w:color w:val="auto"/>
                <w:sz w:val="21"/>
                <w:szCs w:val="21"/>
              </w:rPr>
              <w:t>声源</w:t>
            </w:r>
          </w:p>
        </w:tc>
        <w:tc>
          <w:tcPr>
            <w:tcW w:w="1134" w:type="dxa"/>
            <w:vAlign w:val="center"/>
          </w:tcPr>
          <w:p>
            <w:pPr>
              <w:adjustRightInd w:val="0"/>
              <w:snapToGrid w:val="0"/>
              <w:jc w:val="center"/>
              <w:rPr>
                <w:b/>
                <w:color w:val="auto"/>
                <w:sz w:val="21"/>
                <w:szCs w:val="21"/>
              </w:rPr>
            </w:pPr>
            <w:r>
              <w:rPr>
                <w:b/>
                <w:color w:val="auto"/>
                <w:sz w:val="21"/>
                <w:szCs w:val="21"/>
              </w:rPr>
              <w:t>声源强度dB（A）</w:t>
            </w:r>
          </w:p>
        </w:tc>
        <w:tc>
          <w:tcPr>
            <w:tcW w:w="1417" w:type="dxa"/>
            <w:vAlign w:val="center"/>
          </w:tcPr>
          <w:p>
            <w:pPr>
              <w:adjustRightInd w:val="0"/>
              <w:snapToGrid w:val="0"/>
              <w:jc w:val="center"/>
              <w:rPr>
                <w:b/>
                <w:color w:val="auto"/>
                <w:sz w:val="21"/>
                <w:szCs w:val="21"/>
              </w:rPr>
            </w:pPr>
            <w:r>
              <w:rPr>
                <w:b/>
                <w:color w:val="auto"/>
                <w:sz w:val="21"/>
                <w:szCs w:val="21"/>
              </w:rPr>
              <w:t>数量（台/套）</w:t>
            </w:r>
          </w:p>
        </w:tc>
        <w:tc>
          <w:tcPr>
            <w:tcW w:w="3402" w:type="dxa"/>
            <w:vAlign w:val="center"/>
          </w:tcPr>
          <w:p>
            <w:pPr>
              <w:adjustRightInd w:val="0"/>
              <w:snapToGrid w:val="0"/>
              <w:jc w:val="center"/>
              <w:rPr>
                <w:b/>
                <w:color w:val="auto"/>
                <w:sz w:val="21"/>
                <w:szCs w:val="21"/>
              </w:rPr>
            </w:pPr>
            <w:r>
              <w:rPr>
                <w:b/>
                <w:color w:val="auto"/>
                <w:sz w:val="21"/>
                <w:szCs w:val="21"/>
              </w:rPr>
              <w:t>治理措施</w:t>
            </w:r>
          </w:p>
        </w:tc>
        <w:tc>
          <w:tcPr>
            <w:tcW w:w="1468" w:type="dxa"/>
            <w:vAlign w:val="center"/>
          </w:tcPr>
          <w:p>
            <w:pPr>
              <w:adjustRightInd w:val="0"/>
              <w:snapToGrid w:val="0"/>
              <w:jc w:val="center"/>
              <w:rPr>
                <w:b/>
                <w:color w:val="auto"/>
                <w:sz w:val="21"/>
                <w:szCs w:val="21"/>
              </w:rPr>
            </w:pPr>
            <w:r>
              <w:rPr>
                <w:b/>
                <w:color w:val="auto"/>
                <w:sz w:val="21"/>
                <w:szCs w:val="21"/>
              </w:rPr>
              <w:t>治理后声级dB(A)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adjustRightInd w:val="0"/>
              <w:snapToGrid w:val="0"/>
              <w:jc w:val="center"/>
              <w:rPr>
                <w:color w:val="auto"/>
                <w:sz w:val="21"/>
                <w:szCs w:val="21"/>
              </w:rPr>
            </w:pPr>
            <w:r>
              <w:rPr>
                <w:color w:val="auto"/>
                <w:sz w:val="21"/>
                <w:szCs w:val="21"/>
              </w:rPr>
              <w:t>自卸汽车</w:t>
            </w:r>
          </w:p>
        </w:tc>
        <w:tc>
          <w:tcPr>
            <w:tcW w:w="1134" w:type="dxa"/>
            <w:vAlign w:val="center"/>
          </w:tcPr>
          <w:p>
            <w:pPr>
              <w:adjustRightInd w:val="0"/>
              <w:snapToGrid w:val="0"/>
              <w:jc w:val="center"/>
              <w:rPr>
                <w:color w:val="auto"/>
                <w:sz w:val="21"/>
                <w:szCs w:val="21"/>
              </w:rPr>
            </w:pPr>
            <w:r>
              <w:rPr>
                <w:color w:val="auto"/>
                <w:sz w:val="21"/>
                <w:szCs w:val="21"/>
              </w:rPr>
              <w:t>80</w:t>
            </w:r>
          </w:p>
        </w:tc>
        <w:tc>
          <w:tcPr>
            <w:tcW w:w="1417" w:type="dxa"/>
            <w:vAlign w:val="center"/>
          </w:tcPr>
          <w:p>
            <w:pPr>
              <w:adjustRightInd w:val="0"/>
              <w:snapToGrid w:val="0"/>
              <w:jc w:val="center"/>
              <w:rPr>
                <w:color w:val="auto"/>
                <w:sz w:val="21"/>
                <w:szCs w:val="21"/>
              </w:rPr>
            </w:pPr>
            <w:r>
              <w:rPr>
                <w:color w:val="auto"/>
                <w:sz w:val="21"/>
                <w:szCs w:val="21"/>
              </w:rPr>
              <w:t>4</w:t>
            </w:r>
          </w:p>
        </w:tc>
        <w:tc>
          <w:tcPr>
            <w:tcW w:w="3402" w:type="dxa"/>
            <w:vAlign w:val="center"/>
          </w:tcPr>
          <w:p>
            <w:pPr>
              <w:adjustRightInd w:val="0"/>
              <w:snapToGrid w:val="0"/>
              <w:jc w:val="center"/>
              <w:rPr>
                <w:color w:val="auto"/>
                <w:sz w:val="21"/>
                <w:szCs w:val="21"/>
              </w:rPr>
            </w:pPr>
            <w:r>
              <w:rPr>
                <w:color w:val="auto"/>
                <w:sz w:val="21"/>
                <w:szCs w:val="21"/>
              </w:rPr>
              <w:t>合理安排运输路线，运输车辆控制车速，减少鸣笛</w:t>
            </w:r>
          </w:p>
        </w:tc>
        <w:tc>
          <w:tcPr>
            <w:tcW w:w="1468" w:type="dxa"/>
            <w:vAlign w:val="center"/>
          </w:tcPr>
          <w:p>
            <w:pPr>
              <w:adjustRightInd w:val="0"/>
              <w:snapToGrid w:val="0"/>
              <w:jc w:val="center"/>
              <w:rPr>
                <w:color w:val="auto"/>
                <w:sz w:val="21"/>
                <w:szCs w:val="21"/>
              </w:rPr>
            </w:pPr>
            <w:r>
              <w:rPr>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adjustRightInd w:val="0"/>
              <w:snapToGrid w:val="0"/>
              <w:jc w:val="center"/>
              <w:rPr>
                <w:color w:val="auto"/>
                <w:sz w:val="21"/>
                <w:szCs w:val="21"/>
              </w:rPr>
            </w:pPr>
            <w:r>
              <w:rPr>
                <w:color w:val="auto"/>
                <w:sz w:val="21"/>
                <w:szCs w:val="21"/>
              </w:rPr>
              <w:t>电锤</w:t>
            </w:r>
          </w:p>
        </w:tc>
        <w:tc>
          <w:tcPr>
            <w:tcW w:w="1134" w:type="dxa"/>
            <w:vAlign w:val="center"/>
          </w:tcPr>
          <w:p>
            <w:pPr>
              <w:adjustRightInd w:val="0"/>
              <w:snapToGrid w:val="0"/>
              <w:jc w:val="center"/>
              <w:rPr>
                <w:color w:val="auto"/>
                <w:sz w:val="21"/>
                <w:szCs w:val="21"/>
              </w:rPr>
            </w:pPr>
            <w:r>
              <w:rPr>
                <w:color w:val="auto"/>
                <w:sz w:val="21"/>
                <w:szCs w:val="21"/>
              </w:rPr>
              <w:t>100</w:t>
            </w:r>
          </w:p>
        </w:tc>
        <w:tc>
          <w:tcPr>
            <w:tcW w:w="1417" w:type="dxa"/>
            <w:vAlign w:val="center"/>
          </w:tcPr>
          <w:p>
            <w:pPr>
              <w:adjustRightInd w:val="0"/>
              <w:snapToGrid w:val="0"/>
              <w:jc w:val="center"/>
              <w:rPr>
                <w:color w:val="auto"/>
                <w:sz w:val="21"/>
                <w:szCs w:val="21"/>
              </w:rPr>
            </w:pPr>
            <w:r>
              <w:rPr>
                <w:color w:val="auto"/>
                <w:sz w:val="21"/>
                <w:szCs w:val="21"/>
              </w:rPr>
              <w:t>2</w:t>
            </w:r>
          </w:p>
        </w:tc>
        <w:tc>
          <w:tcPr>
            <w:tcW w:w="3402" w:type="dxa"/>
            <w:vMerge w:val="restart"/>
            <w:vAlign w:val="center"/>
          </w:tcPr>
          <w:p>
            <w:pPr>
              <w:adjustRightInd w:val="0"/>
              <w:snapToGrid w:val="0"/>
              <w:jc w:val="center"/>
              <w:rPr>
                <w:color w:val="auto"/>
                <w:sz w:val="21"/>
                <w:szCs w:val="21"/>
              </w:rPr>
            </w:pPr>
            <w:r>
              <w:rPr>
                <w:color w:val="auto"/>
                <w:sz w:val="21"/>
                <w:szCs w:val="21"/>
              </w:rPr>
              <w:t>选用低噪声设备，加强日常维护和保养；合理布局，设置施工围挡</w:t>
            </w:r>
          </w:p>
        </w:tc>
        <w:tc>
          <w:tcPr>
            <w:tcW w:w="1468" w:type="dxa"/>
            <w:vAlign w:val="center"/>
          </w:tcPr>
          <w:p>
            <w:pPr>
              <w:adjustRightInd w:val="0"/>
              <w:snapToGrid w:val="0"/>
              <w:jc w:val="center"/>
              <w:rPr>
                <w:color w:val="auto"/>
                <w:sz w:val="21"/>
                <w:szCs w:val="21"/>
              </w:rPr>
            </w:pPr>
            <w:r>
              <w:rPr>
                <w:color w:val="auto"/>
                <w:sz w:val="21"/>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adjustRightInd w:val="0"/>
              <w:snapToGrid w:val="0"/>
              <w:jc w:val="center"/>
              <w:rPr>
                <w:color w:val="auto"/>
                <w:sz w:val="21"/>
                <w:szCs w:val="21"/>
              </w:rPr>
            </w:pPr>
            <w:r>
              <w:rPr>
                <w:color w:val="auto"/>
                <w:sz w:val="21"/>
                <w:szCs w:val="21"/>
              </w:rPr>
              <w:t>凿岩机</w:t>
            </w:r>
          </w:p>
        </w:tc>
        <w:tc>
          <w:tcPr>
            <w:tcW w:w="1134" w:type="dxa"/>
            <w:vAlign w:val="center"/>
          </w:tcPr>
          <w:p>
            <w:pPr>
              <w:adjustRightInd w:val="0"/>
              <w:snapToGrid w:val="0"/>
              <w:jc w:val="center"/>
              <w:rPr>
                <w:color w:val="auto"/>
                <w:sz w:val="21"/>
                <w:szCs w:val="21"/>
              </w:rPr>
            </w:pPr>
            <w:r>
              <w:rPr>
                <w:color w:val="auto"/>
                <w:sz w:val="21"/>
                <w:szCs w:val="21"/>
              </w:rPr>
              <w:t>95</w:t>
            </w:r>
          </w:p>
        </w:tc>
        <w:tc>
          <w:tcPr>
            <w:tcW w:w="1417" w:type="dxa"/>
            <w:vAlign w:val="center"/>
          </w:tcPr>
          <w:p>
            <w:pPr>
              <w:adjustRightInd w:val="0"/>
              <w:snapToGrid w:val="0"/>
              <w:jc w:val="center"/>
              <w:rPr>
                <w:color w:val="auto"/>
                <w:sz w:val="21"/>
                <w:szCs w:val="21"/>
              </w:rPr>
            </w:pPr>
            <w:r>
              <w:rPr>
                <w:color w:val="auto"/>
                <w:sz w:val="21"/>
                <w:szCs w:val="21"/>
              </w:rPr>
              <w:t>2</w:t>
            </w:r>
          </w:p>
        </w:tc>
        <w:tc>
          <w:tcPr>
            <w:tcW w:w="3402" w:type="dxa"/>
            <w:vMerge w:val="continue"/>
            <w:vAlign w:val="center"/>
          </w:tcPr>
          <w:p>
            <w:pPr>
              <w:adjustRightInd w:val="0"/>
              <w:snapToGrid w:val="0"/>
              <w:jc w:val="center"/>
              <w:rPr>
                <w:color w:val="auto"/>
                <w:sz w:val="21"/>
                <w:szCs w:val="21"/>
              </w:rPr>
            </w:pPr>
          </w:p>
        </w:tc>
        <w:tc>
          <w:tcPr>
            <w:tcW w:w="1468" w:type="dxa"/>
            <w:vAlign w:val="center"/>
          </w:tcPr>
          <w:p>
            <w:pPr>
              <w:adjustRightInd w:val="0"/>
              <w:snapToGrid w:val="0"/>
              <w:jc w:val="center"/>
              <w:rPr>
                <w:color w:val="auto"/>
                <w:sz w:val="21"/>
                <w:szCs w:val="21"/>
              </w:rPr>
            </w:pPr>
            <w:r>
              <w:rPr>
                <w:color w:val="auto"/>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adjustRightInd w:val="0"/>
              <w:snapToGrid w:val="0"/>
              <w:jc w:val="center"/>
              <w:rPr>
                <w:color w:val="auto"/>
                <w:sz w:val="21"/>
                <w:szCs w:val="21"/>
              </w:rPr>
            </w:pPr>
            <w:r>
              <w:rPr>
                <w:color w:val="auto"/>
                <w:sz w:val="21"/>
                <w:szCs w:val="21"/>
              </w:rPr>
              <w:t>起重机</w:t>
            </w:r>
          </w:p>
        </w:tc>
        <w:tc>
          <w:tcPr>
            <w:tcW w:w="1134" w:type="dxa"/>
            <w:vAlign w:val="center"/>
          </w:tcPr>
          <w:p>
            <w:pPr>
              <w:adjustRightInd w:val="0"/>
              <w:snapToGrid w:val="0"/>
              <w:jc w:val="center"/>
              <w:rPr>
                <w:color w:val="auto"/>
                <w:sz w:val="21"/>
                <w:szCs w:val="21"/>
              </w:rPr>
            </w:pPr>
            <w:r>
              <w:rPr>
                <w:color w:val="auto"/>
                <w:sz w:val="21"/>
                <w:szCs w:val="21"/>
              </w:rPr>
              <w:t>95</w:t>
            </w:r>
          </w:p>
        </w:tc>
        <w:tc>
          <w:tcPr>
            <w:tcW w:w="1417" w:type="dxa"/>
            <w:vAlign w:val="center"/>
          </w:tcPr>
          <w:p>
            <w:pPr>
              <w:adjustRightInd w:val="0"/>
              <w:snapToGrid w:val="0"/>
              <w:jc w:val="center"/>
              <w:rPr>
                <w:color w:val="auto"/>
                <w:sz w:val="21"/>
                <w:szCs w:val="21"/>
              </w:rPr>
            </w:pPr>
            <w:r>
              <w:rPr>
                <w:color w:val="auto"/>
                <w:sz w:val="21"/>
                <w:szCs w:val="21"/>
              </w:rPr>
              <w:t>2</w:t>
            </w:r>
          </w:p>
        </w:tc>
        <w:tc>
          <w:tcPr>
            <w:tcW w:w="3402" w:type="dxa"/>
            <w:vMerge w:val="continue"/>
            <w:vAlign w:val="center"/>
          </w:tcPr>
          <w:p>
            <w:pPr>
              <w:adjustRightInd w:val="0"/>
              <w:snapToGrid w:val="0"/>
              <w:jc w:val="center"/>
              <w:rPr>
                <w:color w:val="auto"/>
                <w:sz w:val="21"/>
                <w:szCs w:val="21"/>
              </w:rPr>
            </w:pPr>
          </w:p>
        </w:tc>
        <w:tc>
          <w:tcPr>
            <w:tcW w:w="1468" w:type="dxa"/>
            <w:vAlign w:val="center"/>
          </w:tcPr>
          <w:p>
            <w:pPr>
              <w:adjustRightInd w:val="0"/>
              <w:snapToGrid w:val="0"/>
              <w:jc w:val="center"/>
              <w:rPr>
                <w:color w:val="auto"/>
                <w:sz w:val="21"/>
                <w:szCs w:val="21"/>
              </w:rPr>
            </w:pPr>
            <w:r>
              <w:rPr>
                <w:color w:val="auto"/>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Align w:val="center"/>
          </w:tcPr>
          <w:p>
            <w:pPr>
              <w:adjustRightInd w:val="0"/>
              <w:snapToGrid w:val="0"/>
              <w:jc w:val="center"/>
              <w:rPr>
                <w:color w:val="auto"/>
                <w:sz w:val="21"/>
                <w:szCs w:val="21"/>
              </w:rPr>
            </w:pPr>
            <w:r>
              <w:rPr>
                <w:color w:val="auto"/>
                <w:sz w:val="21"/>
                <w:szCs w:val="21"/>
              </w:rPr>
              <w:t>空压机</w:t>
            </w:r>
          </w:p>
        </w:tc>
        <w:tc>
          <w:tcPr>
            <w:tcW w:w="1134" w:type="dxa"/>
            <w:vAlign w:val="center"/>
          </w:tcPr>
          <w:p>
            <w:pPr>
              <w:adjustRightInd w:val="0"/>
              <w:snapToGrid w:val="0"/>
              <w:jc w:val="center"/>
              <w:rPr>
                <w:color w:val="auto"/>
                <w:sz w:val="21"/>
                <w:szCs w:val="21"/>
              </w:rPr>
            </w:pPr>
            <w:r>
              <w:rPr>
                <w:color w:val="auto"/>
                <w:sz w:val="21"/>
                <w:szCs w:val="21"/>
              </w:rPr>
              <w:t>90</w:t>
            </w:r>
          </w:p>
        </w:tc>
        <w:tc>
          <w:tcPr>
            <w:tcW w:w="1417" w:type="dxa"/>
            <w:vAlign w:val="center"/>
          </w:tcPr>
          <w:p>
            <w:pPr>
              <w:adjustRightInd w:val="0"/>
              <w:snapToGrid w:val="0"/>
              <w:jc w:val="center"/>
              <w:rPr>
                <w:color w:val="auto"/>
                <w:sz w:val="21"/>
                <w:szCs w:val="21"/>
              </w:rPr>
            </w:pPr>
            <w:r>
              <w:rPr>
                <w:color w:val="auto"/>
                <w:sz w:val="21"/>
                <w:szCs w:val="21"/>
              </w:rPr>
              <w:t>2</w:t>
            </w:r>
          </w:p>
        </w:tc>
        <w:tc>
          <w:tcPr>
            <w:tcW w:w="3402" w:type="dxa"/>
            <w:vAlign w:val="center"/>
          </w:tcPr>
          <w:p>
            <w:pPr>
              <w:adjustRightInd w:val="0"/>
              <w:snapToGrid w:val="0"/>
              <w:jc w:val="center"/>
              <w:rPr>
                <w:color w:val="auto"/>
                <w:sz w:val="21"/>
                <w:szCs w:val="21"/>
              </w:rPr>
            </w:pPr>
            <w:r>
              <w:rPr>
                <w:color w:val="auto"/>
                <w:sz w:val="21"/>
                <w:szCs w:val="21"/>
              </w:rPr>
              <w:t>不影响散热的情况下设置隔声罩</w:t>
            </w:r>
          </w:p>
        </w:tc>
        <w:tc>
          <w:tcPr>
            <w:tcW w:w="1468" w:type="dxa"/>
            <w:vAlign w:val="center"/>
          </w:tcPr>
          <w:p>
            <w:pPr>
              <w:adjustRightInd w:val="0"/>
              <w:snapToGrid w:val="0"/>
              <w:jc w:val="center"/>
              <w:rPr>
                <w:color w:val="auto"/>
                <w:sz w:val="21"/>
                <w:szCs w:val="21"/>
              </w:rPr>
            </w:pPr>
            <w:r>
              <w:rPr>
                <w:color w:val="auto"/>
                <w:sz w:val="21"/>
                <w:szCs w:val="21"/>
              </w:rPr>
              <w:t>80</w:t>
            </w:r>
          </w:p>
        </w:tc>
      </w:tr>
    </w:tbl>
    <w:p>
      <w:pPr>
        <w:spacing w:line="360" w:lineRule="auto"/>
        <w:jc w:val="center"/>
        <w:rPr>
          <w:b/>
          <w:color w:val="auto"/>
          <w:sz w:val="24"/>
          <w:szCs w:val="24"/>
        </w:rPr>
      </w:pPr>
      <w:r>
        <w:rPr>
          <w:rFonts w:hint="eastAsia"/>
          <w:b/>
          <w:color w:val="auto"/>
          <w:sz w:val="24"/>
          <w:szCs w:val="24"/>
        </w:rPr>
        <w:t>表3-6-4   污水处理厂施工期主要噪声源及其声级值</w:t>
      </w:r>
    </w:p>
    <w:tbl>
      <w:tblPr>
        <w:tblStyle w:val="28"/>
        <w:tblW w:w="8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1559"/>
        <w:gridCol w:w="1134"/>
        <w:gridCol w:w="1134"/>
        <w:gridCol w:w="2771"/>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Align w:val="center"/>
          </w:tcPr>
          <w:p>
            <w:pPr>
              <w:adjustRightInd w:val="0"/>
              <w:snapToGrid w:val="0"/>
              <w:jc w:val="center"/>
              <w:rPr>
                <w:b/>
                <w:color w:val="auto"/>
                <w:sz w:val="21"/>
                <w:szCs w:val="21"/>
              </w:rPr>
            </w:pPr>
            <w:r>
              <w:rPr>
                <w:b/>
                <w:color w:val="auto"/>
                <w:sz w:val="21"/>
                <w:szCs w:val="21"/>
              </w:rPr>
              <w:t>施工阶段</w:t>
            </w:r>
          </w:p>
        </w:tc>
        <w:tc>
          <w:tcPr>
            <w:tcW w:w="1559" w:type="dxa"/>
            <w:vAlign w:val="center"/>
          </w:tcPr>
          <w:p>
            <w:pPr>
              <w:adjustRightInd w:val="0"/>
              <w:snapToGrid w:val="0"/>
              <w:jc w:val="center"/>
              <w:rPr>
                <w:b/>
                <w:color w:val="auto"/>
                <w:sz w:val="21"/>
                <w:szCs w:val="21"/>
              </w:rPr>
            </w:pPr>
            <w:r>
              <w:rPr>
                <w:b/>
                <w:color w:val="auto"/>
                <w:sz w:val="21"/>
                <w:szCs w:val="21"/>
              </w:rPr>
              <w:t>声源</w:t>
            </w:r>
          </w:p>
        </w:tc>
        <w:tc>
          <w:tcPr>
            <w:tcW w:w="1134" w:type="dxa"/>
            <w:vAlign w:val="center"/>
          </w:tcPr>
          <w:p>
            <w:pPr>
              <w:adjustRightInd w:val="0"/>
              <w:snapToGrid w:val="0"/>
              <w:jc w:val="center"/>
              <w:rPr>
                <w:b/>
                <w:color w:val="auto"/>
                <w:sz w:val="21"/>
                <w:szCs w:val="21"/>
              </w:rPr>
            </w:pPr>
            <w:r>
              <w:rPr>
                <w:b/>
                <w:color w:val="auto"/>
                <w:sz w:val="21"/>
                <w:szCs w:val="21"/>
              </w:rPr>
              <w:t>声源强度dB（A）</w:t>
            </w:r>
          </w:p>
        </w:tc>
        <w:tc>
          <w:tcPr>
            <w:tcW w:w="1134" w:type="dxa"/>
            <w:vAlign w:val="center"/>
          </w:tcPr>
          <w:p>
            <w:pPr>
              <w:adjustRightInd w:val="0"/>
              <w:snapToGrid w:val="0"/>
              <w:jc w:val="center"/>
              <w:rPr>
                <w:b/>
                <w:color w:val="auto"/>
                <w:sz w:val="21"/>
                <w:szCs w:val="21"/>
              </w:rPr>
            </w:pPr>
            <w:r>
              <w:rPr>
                <w:b/>
                <w:color w:val="auto"/>
                <w:sz w:val="21"/>
                <w:szCs w:val="21"/>
              </w:rPr>
              <w:t>数量</w:t>
            </w:r>
          </w:p>
          <w:p>
            <w:pPr>
              <w:adjustRightInd w:val="0"/>
              <w:snapToGrid w:val="0"/>
              <w:jc w:val="center"/>
              <w:rPr>
                <w:b/>
                <w:color w:val="auto"/>
                <w:sz w:val="21"/>
                <w:szCs w:val="21"/>
              </w:rPr>
            </w:pPr>
            <w:r>
              <w:rPr>
                <w:b/>
                <w:color w:val="auto"/>
                <w:sz w:val="21"/>
                <w:szCs w:val="21"/>
              </w:rPr>
              <w:t>（台/套）</w:t>
            </w:r>
          </w:p>
        </w:tc>
        <w:tc>
          <w:tcPr>
            <w:tcW w:w="2771" w:type="dxa"/>
            <w:vAlign w:val="center"/>
          </w:tcPr>
          <w:p>
            <w:pPr>
              <w:adjustRightInd w:val="0"/>
              <w:snapToGrid w:val="0"/>
              <w:jc w:val="center"/>
              <w:rPr>
                <w:b/>
                <w:color w:val="auto"/>
                <w:sz w:val="21"/>
                <w:szCs w:val="21"/>
              </w:rPr>
            </w:pPr>
            <w:r>
              <w:rPr>
                <w:b/>
                <w:color w:val="auto"/>
                <w:sz w:val="21"/>
                <w:szCs w:val="21"/>
              </w:rPr>
              <w:t>治理措施</w:t>
            </w:r>
          </w:p>
        </w:tc>
        <w:tc>
          <w:tcPr>
            <w:tcW w:w="1091" w:type="dxa"/>
            <w:vAlign w:val="center"/>
          </w:tcPr>
          <w:p>
            <w:pPr>
              <w:adjustRightInd w:val="0"/>
              <w:snapToGrid w:val="0"/>
              <w:jc w:val="center"/>
              <w:rPr>
                <w:b/>
                <w:color w:val="auto"/>
                <w:sz w:val="21"/>
                <w:szCs w:val="21"/>
              </w:rPr>
            </w:pPr>
            <w:r>
              <w:rPr>
                <w:b/>
                <w:color w:val="auto"/>
                <w:sz w:val="21"/>
                <w:szCs w:val="21"/>
              </w:rPr>
              <w:t>治理后声级dB(A)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restart"/>
            <w:vAlign w:val="center"/>
          </w:tcPr>
          <w:p>
            <w:pPr>
              <w:adjustRightInd w:val="0"/>
              <w:snapToGrid w:val="0"/>
              <w:jc w:val="center"/>
              <w:rPr>
                <w:color w:val="auto"/>
                <w:sz w:val="21"/>
                <w:szCs w:val="21"/>
              </w:rPr>
            </w:pPr>
            <w:r>
              <w:rPr>
                <w:color w:val="auto"/>
                <w:sz w:val="21"/>
                <w:szCs w:val="21"/>
              </w:rPr>
              <w:t>场平阶段及基础设施</w:t>
            </w:r>
          </w:p>
        </w:tc>
        <w:tc>
          <w:tcPr>
            <w:tcW w:w="1559" w:type="dxa"/>
            <w:vAlign w:val="center"/>
          </w:tcPr>
          <w:p>
            <w:pPr>
              <w:adjustRightInd w:val="0"/>
              <w:snapToGrid w:val="0"/>
              <w:jc w:val="center"/>
              <w:rPr>
                <w:color w:val="auto"/>
                <w:sz w:val="21"/>
                <w:szCs w:val="21"/>
              </w:rPr>
            </w:pPr>
            <w:r>
              <w:rPr>
                <w:color w:val="auto"/>
                <w:sz w:val="21"/>
                <w:szCs w:val="21"/>
              </w:rPr>
              <w:t>自卸汽车</w:t>
            </w:r>
          </w:p>
        </w:tc>
        <w:tc>
          <w:tcPr>
            <w:tcW w:w="1134" w:type="dxa"/>
            <w:vAlign w:val="center"/>
          </w:tcPr>
          <w:p>
            <w:pPr>
              <w:adjustRightInd w:val="0"/>
              <w:snapToGrid w:val="0"/>
              <w:jc w:val="center"/>
              <w:rPr>
                <w:color w:val="auto"/>
                <w:sz w:val="21"/>
                <w:szCs w:val="21"/>
              </w:rPr>
            </w:pPr>
            <w:r>
              <w:rPr>
                <w:color w:val="auto"/>
                <w:sz w:val="21"/>
                <w:szCs w:val="21"/>
              </w:rPr>
              <w:t>5</w:t>
            </w:r>
          </w:p>
        </w:tc>
        <w:tc>
          <w:tcPr>
            <w:tcW w:w="1134" w:type="dxa"/>
            <w:vAlign w:val="center"/>
          </w:tcPr>
          <w:p>
            <w:pPr>
              <w:adjustRightInd w:val="0"/>
              <w:snapToGrid w:val="0"/>
              <w:jc w:val="center"/>
              <w:rPr>
                <w:color w:val="auto"/>
                <w:sz w:val="21"/>
                <w:szCs w:val="21"/>
              </w:rPr>
            </w:pPr>
            <w:r>
              <w:rPr>
                <w:color w:val="auto"/>
                <w:sz w:val="21"/>
                <w:szCs w:val="21"/>
              </w:rPr>
              <w:t>80</w:t>
            </w:r>
          </w:p>
        </w:tc>
        <w:tc>
          <w:tcPr>
            <w:tcW w:w="2771" w:type="dxa"/>
            <w:vAlign w:val="center"/>
          </w:tcPr>
          <w:p>
            <w:pPr>
              <w:adjustRightInd w:val="0"/>
              <w:snapToGrid w:val="0"/>
              <w:jc w:val="center"/>
              <w:rPr>
                <w:color w:val="auto"/>
                <w:sz w:val="21"/>
                <w:szCs w:val="21"/>
              </w:rPr>
            </w:pPr>
            <w:r>
              <w:rPr>
                <w:color w:val="auto"/>
                <w:sz w:val="21"/>
                <w:szCs w:val="21"/>
              </w:rPr>
              <w:t>合理安排运输路线，运输车辆控制车速，减少鸣笛</w:t>
            </w:r>
          </w:p>
        </w:tc>
        <w:tc>
          <w:tcPr>
            <w:tcW w:w="1091" w:type="dxa"/>
            <w:vAlign w:val="center"/>
          </w:tcPr>
          <w:p>
            <w:pPr>
              <w:adjustRightInd w:val="0"/>
              <w:snapToGrid w:val="0"/>
              <w:jc w:val="center"/>
              <w:rPr>
                <w:color w:val="auto"/>
                <w:sz w:val="21"/>
                <w:szCs w:val="21"/>
              </w:rPr>
            </w:pPr>
            <w:r>
              <w:rPr>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挖土机</w:t>
            </w:r>
          </w:p>
        </w:tc>
        <w:tc>
          <w:tcPr>
            <w:tcW w:w="1134" w:type="dxa"/>
            <w:vAlign w:val="center"/>
          </w:tcPr>
          <w:p>
            <w:pPr>
              <w:adjustRightInd w:val="0"/>
              <w:snapToGrid w:val="0"/>
              <w:jc w:val="center"/>
              <w:rPr>
                <w:color w:val="auto"/>
                <w:sz w:val="21"/>
                <w:szCs w:val="21"/>
              </w:rPr>
            </w:pPr>
            <w:r>
              <w:rPr>
                <w:color w:val="auto"/>
                <w:sz w:val="21"/>
                <w:szCs w:val="21"/>
              </w:rPr>
              <w:t>2</w:t>
            </w:r>
          </w:p>
        </w:tc>
        <w:tc>
          <w:tcPr>
            <w:tcW w:w="1134" w:type="dxa"/>
            <w:vAlign w:val="center"/>
          </w:tcPr>
          <w:p>
            <w:pPr>
              <w:adjustRightInd w:val="0"/>
              <w:snapToGrid w:val="0"/>
              <w:jc w:val="center"/>
              <w:rPr>
                <w:color w:val="auto"/>
                <w:sz w:val="21"/>
                <w:szCs w:val="21"/>
              </w:rPr>
            </w:pPr>
            <w:r>
              <w:rPr>
                <w:color w:val="auto"/>
                <w:sz w:val="21"/>
                <w:szCs w:val="21"/>
              </w:rPr>
              <w:t>85</w:t>
            </w:r>
          </w:p>
        </w:tc>
        <w:tc>
          <w:tcPr>
            <w:tcW w:w="2771" w:type="dxa"/>
            <w:vMerge w:val="restart"/>
            <w:vAlign w:val="center"/>
          </w:tcPr>
          <w:p>
            <w:pPr>
              <w:adjustRightInd w:val="0"/>
              <w:snapToGrid w:val="0"/>
              <w:jc w:val="center"/>
              <w:rPr>
                <w:color w:val="auto"/>
                <w:sz w:val="21"/>
                <w:szCs w:val="21"/>
              </w:rPr>
            </w:pPr>
            <w:r>
              <w:rPr>
                <w:color w:val="auto"/>
                <w:sz w:val="21"/>
                <w:szCs w:val="21"/>
              </w:rPr>
              <w:t>选用低噪声设备，加强日常维护和保养；合理布局，合理安排作业时间，设置施工围挡</w:t>
            </w:r>
          </w:p>
        </w:tc>
        <w:tc>
          <w:tcPr>
            <w:tcW w:w="1091" w:type="dxa"/>
            <w:vAlign w:val="center"/>
          </w:tcPr>
          <w:p>
            <w:pPr>
              <w:adjustRightInd w:val="0"/>
              <w:snapToGrid w:val="0"/>
              <w:jc w:val="center"/>
              <w:rPr>
                <w:color w:val="auto"/>
                <w:sz w:val="21"/>
                <w:szCs w:val="21"/>
              </w:rPr>
            </w:pPr>
            <w:r>
              <w:rPr>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推土机</w:t>
            </w:r>
          </w:p>
        </w:tc>
        <w:tc>
          <w:tcPr>
            <w:tcW w:w="1134" w:type="dxa"/>
            <w:vAlign w:val="center"/>
          </w:tcPr>
          <w:p>
            <w:pPr>
              <w:adjustRightInd w:val="0"/>
              <w:snapToGrid w:val="0"/>
              <w:jc w:val="center"/>
              <w:rPr>
                <w:color w:val="auto"/>
                <w:sz w:val="21"/>
                <w:szCs w:val="21"/>
              </w:rPr>
            </w:pPr>
            <w:r>
              <w:rPr>
                <w:color w:val="auto"/>
                <w:sz w:val="21"/>
                <w:szCs w:val="21"/>
              </w:rPr>
              <w:t>2</w:t>
            </w:r>
          </w:p>
        </w:tc>
        <w:tc>
          <w:tcPr>
            <w:tcW w:w="1134" w:type="dxa"/>
            <w:vAlign w:val="center"/>
          </w:tcPr>
          <w:p>
            <w:pPr>
              <w:adjustRightInd w:val="0"/>
              <w:snapToGrid w:val="0"/>
              <w:jc w:val="center"/>
              <w:rPr>
                <w:color w:val="auto"/>
                <w:sz w:val="21"/>
                <w:szCs w:val="21"/>
              </w:rPr>
            </w:pPr>
            <w:r>
              <w:rPr>
                <w:color w:val="auto"/>
                <w:sz w:val="21"/>
                <w:szCs w:val="21"/>
              </w:rPr>
              <w:t>85</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振动碾压机</w:t>
            </w:r>
          </w:p>
        </w:tc>
        <w:tc>
          <w:tcPr>
            <w:tcW w:w="1134" w:type="dxa"/>
            <w:vAlign w:val="center"/>
          </w:tcPr>
          <w:p>
            <w:pPr>
              <w:adjustRightInd w:val="0"/>
              <w:snapToGrid w:val="0"/>
              <w:jc w:val="center"/>
              <w:rPr>
                <w:color w:val="auto"/>
                <w:sz w:val="21"/>
                <w:szCs w:val="21"/>
              </w:rPr>
            </w:pPr>
            <w:r>
              <w:rPr>
                <w:color w:val="auto"/>
                <w:sz w:val="21"/>
                <w:szCs w:val="21"/>
              </w:rPr>
              <w:t>2</w:t>
            </w:r>
          </w:p>
        </w:tc>
        <w:tc>
          <w:tcPr>
            <w:tcW w:w="1134" w:type="dxa"/>
            <w:vAlign w:val="center"/>
          </w:tcPr>
          <w:p>
            <w:pPr>
              <w:adjustRightInd w:val="0"/>
              <w:snapToGrid w:val="0"/>
              <w:jc w:val="center"/>
              <w:rPr>
                <w:color w:val="auto"/>
                <w:sz w:val="21"/>
                <w:szCs w:val="21"/>
              </w:rPr>
            </w:pPr>
            <w:r>
              <w:rPr>
                <w:color w:val="auto"/>
                <w:sz w:val="21"/>
                <w:szCs w:val="21"/>
              </w:rPr>
              <w:t>83</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装载机</w:t>
            </w:r>
          </w:p>
        </w:tc>
        <w:tc>
          <w:tcPr>
            <w:tcW w:w="1134" w:type="dxa"/>
            <w:vAlign w:val="center"/>
          </w:tcPr>
          <w:p>
            <w:pPr>
              <w:adjustRightInd w:val="0"/>
              <w:snapToGrid w:val="0"/>
              <w:jc w:val="center"/>
              <w:rPr>
                <w:color w:val="auto"/>
                <w:sz w:val="21"/>
                <w:szCs w:val="21"/>
              </w:rPr>
            </w:pPr>
            <w:r>
              <w:rPr>
                <w:color w:val="auto"/>
                <w:sz w:val="21"/>
                <w:szCs w:val="21"/>
              </w:rPr>
              <w:t>3</w:t>
            </w:r>
          </w:p>
        </w:tc>
        <w:tc>
          <w:tcPr>
            <w:tcW w:w="1134" w:type="dxa"/>
            <w:vAlign w:val="center"/>
          </w:tcPr>
          <w:p>
            <w:pPr>
              <w:adjustRightInd w:val="0"/>
              <w:snapToGrid w:val="0"/>
              <w:jc w:val="center"/>
              <w:rPr>
                <w:color w:val="auto"/>
                <w:sz w:val="21"/>
                <w:szCs w:val="21"/>
              </w:rPr>
            </w:pPr>
            <w:r>
              <w:rPr>
                <w:color w:val="auto"/>
                <w:sz w:val="21"/>
                <w:szCs w:val="21"/>
              </w:rPr>
              <w:t>85</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空压机</w:t>
            </w:r>
          </w:p>
        </w:tc>
        <w:tc>
          <w:tcPr>
            <w:tcW w:w="1134" w:type="dxa"/>
            <w:vAlign w:val="center"/>
          </w:tcPr>
          <w:p>
            <w:pPr>
              <w:adjustRightInd w:val="0"/>
              <w:snapToGrid w:val="0"/>
              <w:jc w:val="center"/>
              <w:rPr>
                <w:color w:val="auto"/>
                <w:sz w:val="21"/>
                <w:szCs w:val="21"/>
              </w:rPr>
            </w:pPr>
            <w:r>
              <w:rPr>
                <w:color w:val="auto"/>
                <w:sz w:val="21"/>
                <w:szCs w:val="21"/>
              </w:rPr>
              <w:t>1</w:t>
            </w:r>
          </w:p>
        </w:tc>
        <w:tc>
          <w:tcPr>
            <w:tcW w:w="1134" w:type="dxa"/>
            <w:vAlign w:val="center"/>
          </w:tcPr>
          <w:p>
            <w:pPr>
              <w:adjustRightInd w:val="0"/>
              <w:snapToGrid w:val="0"/>
              <w:jc w:val="center"/>
              <w:rPr>
                <w:color w:val="auto"/>
                <w:sz w:val="21"/>
                <w:szCs w:val="21"/>
              </w:rPr>
            </w:pPr>
            <w:r>
              <w:rPr>
                <w:color w:val="auto"/>
                <w:sz w:val="21"/>
                <w:szCs w:val="21"/>
              </w:rPr>
              <w:t>90</w:t>
            </w:r>
          </w:p>
        </w:tc>
        <w:tc>
          <w:tcPr>
            <w:tcW w:w="2771" w:type="dxa"/>
            <w:vAlign w:val="center"/>
          </w:tcPr>
          <w:p>
            <w:pPr>
              <w:adjustRightInd w:val="0"/>
              <w:snapToGrid w:val="0"/>
              <w:jc w:val="center"/>
              <w:rPr>
                <w:color w:val="auto"/>
                <w:sz w:val="21"/>
                <w:szCs w:val="21"/>
              </w:rPr>
            </w:pPr>
            <w:r>
              <w:rPr>
                <w:color w:val="auto"/>
                <w:sz w:val="21"/>
                <w:szCs w:val="21"/>
              </w:rPr>
              <w:t>不影响散热的情况下设置隔声罩</w:t>
            </w:r>
          </w:p>
        </w:tc>
        <w:tc>
          <w:tcPr>
            <w:tcW w:w="1091" w:type="dxa"/>
            <w:vAlign w:val="center"/>
          </w:tcPr>
          <w:p>
            <w:pPr>
              <w:adjustRightInd w:val="0"/>
              <w:snapToGrid w:val="0"/>
              <w:jc w:val="center"/>
              <w:rPr>
                <w:color w:val="auto"/>
                <w:sz w:val="21"/>
                <w:szCs w:val="21"/>
              </w:rPr>
            </w:pPr>
            <w:r>
              <w:rPr>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restart"/>
            <w:vAlign w:val="center"/>
          </w:tcPr>
          <w:p>
            <w:pPr>
              <w:adjustRightInd w:val="0"/>
              <w:snapToGrid w:val="0"/>
              <w:jc w:val="center"/>
              <w:rPr>
                <w:color w:val="auto"/>
                <w:sz w:val="21"/>
                <w:szCs w:val="21"/>
              </w:rPr>
            </w:pPr>
            <w:r>
              <w:rPr>
                <w:color w:val="auto"/>
                <w:sz w:val="21"/>
                <w:szCs w:val="21"/>
              </w:rPr>
              <w:t>底板与结构阶段</w:t>
            </w:r>
          </w:p>
        </w:tc>
        <w:tc>
          <w:tcPr>
            <w:tcW w:w="1559" w:type="dxa"/>
            <w:vAlign w:val="center"/>
          </w:tcPr>
          <w:p>
            <w:pPr>
              <w:adjustRightInd w:val="0"/>
              <w:snapToGrid w:val="0"/>
              <w:jc w:val="center"/>
              <w:rPr>
                <w:color w:val="auto"/>
                <w:sz w:val="21"/>
                <w:szCs w:val="21"/>
              </w:rPr>
            </w:pPr>
            <w:r>
              <w:rPr>
                <w:color w:val="auto"/>
                <w:sz w:val="21"/>
                <w:szCs w:val="21"/>
              </w:rPr>
              <w:t>自卸汽车</w:t>
            </w:r>
          </w:p>
        </w:tc>
        <w:tc>
          <w:tcPr>
            <w:tcW w:w="1134" w:type="dxa"/>
            <w:vAlign w:val="center"/>
          </w:tcPr>
          <w:p>
            <w:pPr>
              <w:adjustRightInd w:val="0"/>
              <w:snapToGrid w:val="0"/>
              <w:jc w:val="center"/>
              <w:rPr>
                <w:color w:val="auto"/>
                <w:sz w:val="21"/>
                <w:szCs w:val="21"/>
              </w:rPr>
            </w:pPr>
            <w:r>
              <w:rPr>
                <w:color w:val="auto"/>
                <w:sz w:val="21"/>
                <w:szCs w:val="21"/>
              </w:rPr>
              <w:t>2</w:t>
            </w:r>
          </w:p>
        </w:tc>
        <w:tc>
          <w:tcPr>
            <w:tcW w:w="1134" w:type="dxa"/>
            <w:vAlign w:val="center"/>
          </w:tcPr>
          <w:p>
            <w:pPr>
              <w:adjustRightInd w:val="0"/>
              <w:snapToGrid w:val="0"/>
              <w:jc w:val="center"/>
              <w:rPr>
                <w:color w:val="auto"/>
                <w:sz w:val="21"/>
                <w:szCs w:val="21"/>
              </w:rPr>
            </w:pPr>
            <w:r>
              <w:rPr>
                <w:color w:val="auto"/>
                <w:sz w:val="21"/>
                <w:szCs w:val="21"/>
              </w:rPr>
              <w:t>80</w:t>
            </w:r>
          </w:p>
        </w:tc>
        <w:tc>
          <w:tcPr>
            <w:tcW w:w="2771" w:type="dxa"/>
            <w:vAlign w:val="center"/>
          </w:tcPr>
          <w:p>
            <w:pPr>
              <w:adjustRightInd w:val="0"/>
              <w:snapToGrid w:val="0"/>
              <w:jc w:val="center"/>
              <w:rPr>
                <w:color w:val="auto"/>
                <w:sz w:val="21"/>
                <w:szCs w:val="21"/>
              </w:rPr>
            </w:pPr>
            <w:r>
              <w:rPr>
                <w:color w:val="auto"/>
                <w:sz w:val="21"/>
                <w:szCs w:val="21"/>
              </w:rPr>
              <w:t>合理安排运输路线，运输车辆控制车速，减少鸣笛</w:t>
            </w:r>
          </w:p>
        </w:tc>
        <w:tc>
          <w:tcPr>
            <w:tcW w:w="1091" w:type="dxa"/>
            <w:vAlign w:val="center"/>
          </w:tcPr>
          <w:p>
            <w:pPr>
              <w:adjustRightInd w:val="0"/>
              <w:snapToGrid w:val="0"/>
              <w:jc w:val="center"/>
              <w:rPr>
                <w:color w:val="auto"/>
                <w:sz w:val="21"/>
                <w:szCs w:val="21"/>
              </w:rPr>
            </w:pPr>
            <w:r>
              <w:rPr>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装载机</w:t>
            </w:r>
          </w:p>
        </w:tc>
        <w:tc>
          <w:tcPr>
            <w:tcW w:w="1134" w:type="dxa"/>
            <w:vAlign w:val="center"/>
          </w:tcPr>
          <w:p>
            <w:pPr>
              <w:adjustRightInd w:val="0"/>
              <w:snapToGrid w:val="0"/>
              <w:jc w:val="center"/>
              <w:rPr>
                <w:color w:val="auto"/>
                <w:sz w:val="21"/>
                <w:szCs w:val="21"/>
              </w:rPr>
            </w:pPr>
            <w:r>
              <w:rPr>
                <w:color w:val="auto"/>
                <w:sz w:val="21"/>
                <w:szCs w:val="21"/>
              </w:rPr>
              <w:t>1</w:t>
            </w:r>
          </w:p>
        </w:tc>
        <w:tc>
          <w:tcPr>
            <w:tcW w:w="1134" w:type="dxa"/>
            <w:vAlign w:val="center"/>
          </w:tcPr>
          <w:p>
            <w:pPr>
              <w:adjustRightInd w:val="0"/>
              <w:snapToGrid w:val="0"/>
              <w:jc w:val="center"/>
              <w:rPr>
                <w:color w:val="auto"/>
                <w:sz w:val="21"/>
                <w:szCs w:val="21"/>
              </w:rPr>
            </w:pPr>
            <w:r>
              <w:rPr>
                <w:color w:val="auto"/>
                <w:sz w:val="21"/>
                <w:szCs w:val="21"/>
              </w:rPr>
              <w:t>85</w:t>
            </w:r>
          </w:p>
        </w:tc>
        <w:tc>
          <w:tcPr>
            <w:tcW w:w="2771" w:type="dxa"/>
            <w:vMerge w:val="restart"/>
            <w:vAlign w:val="center"/>
          </w:tcPr>
          <w:p>
            <w:pPr>
              <w:adjustRightInd w:val="0"/>
              <w:snapToGrid w:val="0"/>
              <w:jc w:val="center"/>
              <w:rPr>
                <w:color w:val="auto"/>
                <w:sz w:val="21"/>
                <w:szCs w:val="21"/>
              </w:rPr>
            </w:pPr>
            <w:r>
              <w:rPr>
                <w:color w:val="auto"/>
                <w:sz w:val="21"/>
                <w:szCs w:val="21"/>
              </w:rPr>
              <w:t>选用低噪声设备，加强日常维护和保养；合理布局，合理安排作业时间，设置施工围挡</w:t>
            </w:r>
          </w:p>
        </w:tc>
        <w:tc>
          <w:tcPr>
            <w:tcW w:w="1091" w:type="dxa"/>
            <w:vAlign w:val="center"/>
          </w:tcPr>
          <w:p>
            <w:pPr>
              <w:adjustRightInd w:val="0"/>
              <w:snapToGrid w:val="0"/>
              <w:jc w:val="center"/>
              <w:rPr>
                <w:color w:val="auto"/>
                <w:sz w:val="21"/>
                <w:szCs w:val="21"/>
              </w:rPr>
            </w:pPr>
            <w:r>
              <w:rPr>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振捣器</w:t>
            </w:r>
          </w:p>
        </w:tc>
        <w:tc>
          <w:tcPr>
            <w:tcW w:w="1134" w:type="dxa"/>
            <w:vAlign w:val="center"/>
          </w:tcPr>
          <w:p>
            <w:pPr>
              <w:adjustRightInd w:val="0"/>
              <w:snapToGrid w:val="0"/>
              <w:jc w:val="center"/>
              <w:rPr>
                <w:color w:val="auto"/>
                <w:sz w:val="21"/>
                <w:szCs w:val="21"/>
              </w:rPr>
            </w:pPr>
            <w:r>
              <w:rPr>
                <w:color w:val="auto"/>
                <w:sz w:val="21"/>
                <w:szCs w:val="21"/>
              </w:rPr>
              <w:t>1</w:t>
            </w:r>
          </w:p>
        </w:tc>
        <w:tc>
          <w:tcPr>
            <w:tcW w:w="1134" w:type="dxa"/>
            <w:vAlign w:val="center"/>
          </w:tcPr>
          <w:p>
            <w:pPr>
              <w:adjustRightInd w:val="0"/>
              <w:snapToGrid w:val="0"/>
              <w:jc w:val="center"/>
              <w:rPr>
                <w:color w:val="auto"/>
                <w:sz w:val="21"/>
                <w:szCs w:val="21"/>
              </w:rPr>
            </w:pPr>
            <w:r>
              <w:rPr>
                <w:color w:val="auto"/>
                <w:sz w:val="21"/>
                <w:szCs w:val="21"/>
              </w:rPr>
              <w:t>95</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电锯</w:t>
            </w:r>
          </w:p>
        </w:tc>
        <w:tc>
          <w:tcPr>
            <w:tcW w:w="1134" w:type="dxa"/>
            <w:vAlign w:val="center"/>
          </w:tcPr>
          <w:p>
            <w:pPr>
              <w:adjustRightInd w:val="0"/>
              <w:snapToGrid w:val="0"/>
              <w:jc w:val="center"/>
              <w:rPr>
                <w:color w:val="auto"/>
                <w:sz w:val="21"/>
                <w:szCs w:val="21"/>
              </w:rPr>
            </w:pPr>
            <w:r>
              <w:rPr>
                <w:color w:val="auto"/>
                <w:sz w:val="21"/>
                <w:szCs w:val="21"/>
              </w:rPr>
              <w:t>3</w:t>
            </w:r>
          </w:p>
        </w:tc>
        <w:tc>
          <w:tcPr>
            <w:tcW w:w="1134" w:type="dxa"/>
            <w:vAlign w:val="center"/>
          </w:tcPr>
          <w:p>
            <w:pPr>
              <w:adjustRightInd w:val="0"/>
              <w:snapToGrid w:val="0"/>
              <w:jc w:val="center"/>
              <w:rPr>
                <w:color w:val="auto"/>
                <w:sz w:val="21"/>
                <w:szCs w:val="21"/>
              </w:rPr>
            </w:pPr>
            <w:r>
              <w:rPr>
                <w:color w:val="auto"/>
                <w:sz w:val="21"/>
                <w:szCs w:val="21"/>
              </w:rPr>
              <w:t>90</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电焊机</w:t>
            </w:r>
          </w:p>
        </w:tc>
        <w:tc>
          <w:tcPr>
            <w:tcW w:w="1134" w:type="dxa"/>
            <w:vAlign w:val="center"/>
          </w:tcPr>
          <w:p>
            <w:pPr>
              <w:adjustRightInd w:val="0"/>
              <w:snapToGrid w:val="0"/>
              <w:jc w:val="center"/>
              <w:rPr>
                <w:color w:val="auto"/>
                <w:sz w:val="21"/>
                <w:szCs w:val="21"/>
              </w:rPr>
            </w:pPr>
            <w:r>
              <w:rPr>
                <w:color w:val="auto"/>
                <w:sz w:val="21"/>
                <w:szCs w:val="21"/>
              </w:rPr>
              <w:t>3</w:t>
            </w:r>
          </w:p>
        </w:tc>
        <w:tc>
          <w:tcPr>
            <w:tcW w:w="1134" w:type="dxa"/>
            <w:vAlign w:val="center"/>
          </w:tcPr>
          <w:p>
            <w:pPr>
              <w:adjustRightInd w:val="0"/>
              <w:snapToGrid w:val="0"/>
              <w:jc w:val="center"/>
              <w:rPr>
                <w:color w:val="auto"/>
                <w:sz w:val="21"/>
                <w:szCs w:val="21"/>
              </w:rPr>
            </w:pPr>
            <w:r>
              <w:rPr>
                <w:color w:val="auto"/>
                <w:sz w:val="21"/>
                <w:szCs w:val="21"/>
              </w:rPr>
              <w:t>90</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restart"/>
            <w:vAlign w:val="center"/>
          </w:tcPr>
          <w:p>
            <w:pPr>
              <w:adjustRightInd w:val="0"/>
              <w:snapToGrid w:val="0"/>
              <w:jc w:val="center"/>
              <w:rPr>
                <w:color w:val="auto"/>
                <w:sz w:val="21"/>
                <w:szCs w:val="21"/>
              </w:rPr>
            </w:pPr>
            <w:r>
              <w:rPr>
                <w:color w:val="auto"/>
                <w:sz w:val="21"/>
                <w:szCs w:val="21"/>
              </w:rPr>
              <w:t>装修、安装阶段</w:t>
            </w:r>
          </w:p>
        </w:tc>
        <w:tc>
          <w:tcPr>
            <w:tcW w:w="1559" w:type="dxa"/>
            <w:vAlign w:val="center"/>
          </w:tcPr>
          <w:p>
            <w:pPr>
              <w:adjustRightInd w:val="0"/>
              <w:snapToGrid w:val="0"/>
              <w:jc w:val="center"/>
              <w:rPr>
                <w:color w:val="auto"/>
                <w:sz w:val="21"/>
                <w:szCs w:val="21"/>
              </w:rPr>
            </w:pPr>
            <w:r>
              <w:rPr>
                <w:color w:val="auto"/>
                <w:sz w:val="21"/>
                <w:szCs w:val="21"/>
              </w:rPr>
              <w:t>电钻</w:t>
            </w:r>
          </w:p>
        </w:tc>
        <w:tc>
          <w:tcPr>
            <w:tcW w:w="1134" w:type="dxa"/>
            <w:vAlign w:val="center"/>
          </w:tcPr>
          <w:p>
            <w:pPr>
              <w:adjustRightInd w:val="0"/>
              <w:snapToGrid w:val="0"/>
              <w:jc w:val="center"/>
              <w:rPr>
                <w:color w:val="auto"/>
                <w:sz w:val="21"/>
                <w:szCs w:val="21"/>
              </w:rPr>
            </w:pPr>
            <w:r>
              <w:rPr>
                <w:color w:val="auto"/>
                <w:sz w:val="21"/>
                <w:szCs w:val="21"/>
              </w:rPr>
              <w:t>4</w:t>
            </w:r>
          </w:p>
        </w:tc>
        <w:tc>
          <w:tcPr>
            <w:tcW w:w="1134" w:type="dxa"/>
            <w:vAlign w:val="center"/>
          </w:tcPr>
          <w:p>
            <w:pPr>
              <w:adjustRightInd w:val="0"/>
              <w:snapToGrid w:val="0"/>
              <w:jc w:val="center"/>
              <w:rPr>
                <w:color w:val="auto"/>
                <w:sz w:val="21"/>
                <w:szCs w:val="21"/>
              </w:rPr>
            </w:pPr>
            <w:r>
              <w:rPr>
                <w:color w:val="auto"/>
                <w:sz w:val="21"/>
                <w:szCs w:val="21"/>
              </w:rPr>
              <w:t>95</w:t>
            </w:r>
          </w:p>
        </w:tc>
        <w:tc>
          <w:tcPr>
            <w:tcW w:w="2771" w:type="dxa"/>
            <w:vMerge w:val="restart"/>
            <w:vAlign w:val="center"/>
          </w:tcPr>
          <w:p>
            <w:pPr>
              <w:adjustRightInd w:val="0"/>
              <w:snapToGrid w:val="0"/>
              <w:jc w:val="center"/>
              <w:rPr>
                <w:color w:val="auto"/>
                <w:sz w:val="21"/>
                <w:szCs w:val="21"/>
              </w:rPr>
            </w:pPr>
            <w:r>
              <w:rPr>
                <w:color w:val="auto"/>
                <w:sz w:val="21"/>
                <w:szCs w:val="21"/>
              </w:rPr>
              <w:t>选用低噪声设备，加强日常维护和保养；合理布局，合理安排作业时间，设置施工围挡</w:t>
            </w:r>
          </w:p>
        </w:tc>
        <w:tc>
          <w:tcPr>
            <w:tcW w:w="1091" w:type="dxa"/>
            <w:vAlign w:val="center"/>
          </w:tcPr>
          <w:p>
            <w:pPr>
              <w:adjustRightInd w:val="0"/>
              <w:snapToGrid w:val="0"/>
              <w:jc w:val="center"/>
              <w:rPr>
                <w:color w:val="auto"/>
                <w:sz w:val="21"/>
                <w:szCs w:val="21"/>
              </w:rPr>
            </w:pPr>
            <w:r>
              <w:rPr>
                <w:color w:val="auto"/>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电锤</w:t>
            </w:r>
          </w:p>
        </w:tc>
        <w:tc>
          <w:tcPr>
            <w:tcW w:w="1134" w:type="dxa"/>
            <w:vAlign w:val="center"/>
          </w:tcPr>
          <w:p>
            <w:pPr>
              <w:adjustRightInd w:val="0"/>
              <w:snapToGrid w:val="0"/>
              <w:jc w:val="center"/>
              <w:rPr>
                <w:color w:val="auto"/>
                <w:sz w:val="21"/>
                <w:szCs w:val="21"/>
              </w:rPr>
            </w:pPr>
            <w:r>
              <w:rPr>
                <w:color w:val="auto"/>
                <w:sz w:val="21"/>
                <w:szCs w:val="21"/>
              </w:rPr>
              <w:t>3</w:t>
            </w:r>
          </w:p>
        </w:tc>
        <w:tc>
          <w:tcPr>
            <w:tcW w:w="1134" w:type="dxa"/>
            <w:vAlign w:val="center"/>
          </w:tcPr>
          <w:p>
            <w:pPr>
              <w:adjustRightInd w:val="0"/>
              <w:snapToGrid w:val="0"/>
              <w:jc w:val="center"/>
              <w:rPr>
                <w:color w:val="auto"/>
                <w:sz w:val="21"/>
                <w:szCs w:val="21"/>
              </w:rPr>
            </w:pPr>
            <w:r>
              <w:rPr>
                <w:color w:val="auto"/>
                <w:sz w:val="21"/>
                <w:szCs w:val="21"/>
              </w:rPr>
              <w:t>100</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手工钻</w:t>
            </w:r>
          </w:p>
        </w:tc>
        <w:tc>
          <w:tcPr>
            <w:tcW w:w="1134" w:type="dxa"/>
            <w:vAlign w:val="center"/>
          </w:tcPr>
          <w:p>
            <w:pPr>
              <w:adjustRightInd w:val="0"/>
              <w:snapToGrid w:val="0"/>
              <w:jc w:val="center"/>
              <w:rPr>
                <w:color w:val="auto"/>
                <w:sz w:val="21"/>
                <w:szCs w:val="21"/>
              </w:rPr>
            </w:pPr>
            <w:r>
              <w:rPr>
                <w:color w:val="auto"/>
                <w:sz w:val="21"/>
                <w:szCs w:val="21"/>
              </w:rPr>
              <w:t>2</w:t>
            </w:r>
          </w:p>
        </w:tc>
        <w:tc>
          <w:tcPr>
            <w:tcW w:w="1134" w:type="dxa"/>
            <w:vAlign w:val="center"/>
          </w:tcPr>
          <w:p>
            <w:pPr>
              <w:adjustRightInd w:val="0"/>
              <w:snapToGrid w:val="0"/>
              <w:jc w:val="center"/>
              <w:rPr>
                <w:color w:val="auto"/>
                <w:sz w:val="21"/>
                <w:szCs w:val="21"/>
              </w:rPr>
            </w:pPr>
            <w:r>
              <w:rPr>
                <w:color w:val="auto"/>
                <w:sz w:val="21"/>
                <w:szCs w:val="21"/>
              </w:rPr>
              <w:t>90</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无齿锯</w:t>
            </w:r>
          </w:p>
        </w:tc>
        <w:tc>
          <w:tcPr>
            <w:tcW w:w="1134" w:type="dxa"/>
            <w:vAlign w:val="center"/>
          </w:tcPr>
          <w:p>
            <w:pPr>
              <w:adjustRightInd w:val="0"/>
              <w:snapToGrid w:val="0"/>
              <w:jc w:val="center"/>
              <w:rPr>
                <w:color w:val="auto"/>
                <w:sz w:val="21"/>
                <w:szCs w:val="21"/>
              </w:rPr>
            </w:pPr>
            <w:r>
              <w:rPr>
                <w:color w:val="auto"/>
                <w:sz w:val="21"/>
                <w:szCs w:val="21"/>
              </w:rPr>
              <w:t>1</w:t>
            </w:r>
          </w:p>
        </w:tc>
        <w:tc>
          <w:tcPr>
            <w:tcW w:w="1134" w:type="dxa"/>
            <w:vAlign w:val="center"/>
          </w:tcPr>
          <w:p>
            <w:pPr>
              <w:adjustRightInd w:val="0"/>
              <w:snapToGrid w:val="0"/>
              <w:jc w:val="center"/>
              <w:rPr>
                <w:color w:val="auto"/>
                <w:sz w:val="21"/>
                <w:szCs w:val="21"/>
              </w:rPr>
            </w:pPr>
            <w:r>
              <w:rPr>
                <w:color w:val="auto"/>
                <w:sz w:val="21"/>
                <w:szCs w:val="21"/>
              </w:rPr>
              <w:t>90</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多功能木工刨</w:t>
            </w:r>
          </w:p>
        </w:tc>
        <w:tc>
          <w:tcPr>
            <w:tcW w:w="1134" w:type="dxa"/>
            <w:vAlign w:val="center"/>
          </w:tcPr>
          <w:p>
            <w:pPr>
              <w:adjustRightInd w:val="0"/>
              <w:snapToGrid w:val="0"/>
              <w:jc w:val="center"/>
              <w:rPr>
                <w:color w:val="auto"/>
                <w:sz w:val="21"/>
                <w:szCs w:val="21"/>
              </w:rPr>
            </w:pPr>
            <w:r>
              <w:rPr>
                <w:color w:val="auto"/>
                <w:sz w:val="21"/>
                <w:szCs w:val="21"/>
              </w:rPr>
              <w:t>1</w:t>
            </w:r>
          </w:p>
        </w:tc>
        <w:tc>
          <w:tcPr>
            <w:tcW w:w="1134" w:type="dxa"/>
            <w:vAlign w:val="center"/>
          </w:tcPr>
          <w:p>
            <w:pPr>
              <w:adjustRightInd w:val="0"/>
              <w:snapToGrid w:val="0"/>
              <w:jc w:val="center"/>
              <w:rPr>
                <w:color w:val="auto"/>
                <w:sz w:val="21"/>
                <w:szCs w:val="21"/>
              </w:rPr>
            </w:pPr>
            <w:r>
              <w:rPr>
                <w:color w:val="auto"/>
                <w:sz w:val="21"/>
                <w:szCs w:val="21"/>
              </w:rPr>
              <w:t>90</w:t>
            </w:r>
          </w:p>
        </w:tc>
        <w:tc>
          <w:tcPr>
            <w:tcW w:w="2771" w:type="dxa"/>
            <w:vMerge w:val="continue"/>
            <w:vAlign w:val="center"/>
          </w:tcPr>
          <w:p>
            <w:pPr>
              <w:adjustRightInd w:val="0"/>
              <w:snapToGrid w:val="0"/>
              <w:jc w:val="center"/>
              <w:rPr>
                <w:color w:val="auto"/>
                <w:sz w:val="21"/>
                <w:szCs w:val="21"/>
              </w:rPr>
            </w:pPr>
          </w:p>
        </w:tc>
        <w:tc>
          <w:tcPr>
            <w:tcW w:w="1091" w:type="dxa"/>
            <w:vAlign w:val="center"/>
          </w:tcPr>
          <w:p>
            <w:pPr>
              <w:adjustRightInd w:val="0"/>
              <w:snapToGrid w:val="0"/>
              <w:jc w:val="center"/>
              <w:rPr>
                <w:color w:val="auto"/>
                <w:sz w:val="21"/>
                <w:szCs w:val="21"/>
              </w:rPr>
            </w:pPr>
            <w:r>
              <w:rPr>
                <w:color w:val="auto"/>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1" w:type="dxa"/>
            <w:vMerge w:val="continue"/>
            <w:vAlign w:val="center"/>
          </w:tcPr>
          <w:p>
            <w:pPr>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轻型载重汽车</w:t>
            </w:r>
          </w:p>
        </w:tc>
        <w:tc>
          <w:tcPr>
            <w:tcW w:w="1134" w:type="dxa"/>
            <w:vAlign w:val="center"/>
          </w:tcPr>
          <w:p>
            <w:pPr>
              <w:adjustRightInd w:val="0"/>
              <w:snapToGrid w:val="0"/>
              <w:jc w:val="center"/>
              <w:rPr>
                <w:color w:val="auto"/>
                <w:sz w:val="21"/>
                <w:szCs w:val="21"/>
              </w:rPr>
            </w:pPr>
            <w:r>
              <w:rPr>
                <w:color w:val="auto"/>
                <w:sz w:val="21"/>
                <w:szCs w:val="21"/>
              </w:rPr>
              <w:t>2</w:t>
            </w:r>
          </w:p>
        </w:tc>
        <w:tc>
          <w:tcPr>
            <w:tcW w:w="1134" w:type="dxa"/>
            <w:vAlign w:val="center"/>
          </w:tcPr>
          <w:p>
            <w:pPr>
              <w:adjustRightInd w:val="0"/>
              <w:snapToGrid w:val="0"/>
              <w:jc w:val="center"/>
              <w:rPr>
                <w:color w:val="auto"/>
                <w:sz w:val="21"/>
                <w:szCs w:val="21"/>
              </w:rPr>
            </w:pPr>
            <w:r>
              <w:rPr>
                <w:color w:val="auto"/>
                <w:sz w:val="21"/>
                <w:szCs w:val="21"/>
              </w:rPr>
              <w:t>80</w:t>
            </w:r>
          </w:p>
        </w:tc>
        <w:tc>
          <w:tcPr>
            <w:tcW w:w="2771" w:type="dxa"/>
            <w:vAlign w:val="center"/>
          </w:tcPr>
          <w:p>
            <w:pPr>
              <w:adjustRightInd w:val="0"/>
              <w:snapToGrid w:val="0"/>
              <w:jc w:val="center"/>
              <w:rPr>
                <w:color w:val="auto"/>
                <w:sz w:val="21"/>
                <w:szCs w:val="21"/>
              </w:rPr>
            </w:pPr>
            <w:r>
              <w:rPr>
                <w:color w:val="auto"/>
                <w:sz w:val="21"/>
                <w:szCs w:val="21"/>
              </w:rPr>
              <w:t>合理安排运输路线，运输车辆控制车速，减少鸣笛</w:t>
            </w:r>
          </w:p>
        </w:tc>
        <w:tc>
          <w:tcPr>
            <w:tcW w:w="1091" w:type="dxa"/>
            <w:vAlign w:val="center"/>
          </w:tcPr>
          <w:p>
            <w:pPr>
              <w:adjustRightInd w:val="0"/>
              <w:snapToGrid w:val="0"/>
              <w:jc w:val="center"/>
              <w:rPr>
                <w:color w:val="auto"/>
                <w:sz w:val="21"/>
                <w:szCs w:val="21"/>
              </w:rPr>
            </w:pPr>
            <w:r>
              <w:rPr>
                <w:color w:val="auto"/>
                <w:sz w:val="21"/>
                <w:szCs w:val="21"/>
              </w:rPr>
              <w:t>75</w:t>
            </w:r>
          </w:p>
        </w:tc>
      </w:tr>
    </w:tbl>
    <w:p>
      <w:pPr>
        <w:pStyle w:val="5"/>
        <w:rPr>
          <w:color w:val="auto"/>
        </w:rPr>
      </w:pPr>
      <w:r>
        <w:rPr>
          <w:rFonts w:hint="eastAsia"/>
          <w:color w:val="auto"/>
        </w:rPr>
        <w:t>3.6.2.4施工期固体废物分析</w:t>
      </w:r>
    </w:p>
    <w:p>
      <w:pPr>
        <w:snapToGrid w:val="0"/>
        <w:spacing w:line="360" w:lineRule="auto"/>
        <w:ind w:firstLine="482" w:firstLineChars="200"/>
        <w:jc w:val="left"/>
        <w:rPr>
          <w:b/>
          <w:color w:val="auto"/>
          <w:sz w:val="24"/>
        </w:rPr>
      </w:pPr>
      <w:r>
        <w:rPr>
          <w:rFonts w:hint="eastAsia"/>
          <w:b/>
          <w:color w:val="auto"/>
          <w:sz w:val="24"/>
        </w:rPr>
        <w:t>1、</w:t>
      </w:r>
      <w:r>
        <w:rPr>
          <w:rFonts w:hAnsi="宋体"/>
          <w:b/>
          <w:color w:val="auto"/>
          <w:sz w:val="24"/>
        </w:rPr>
        <w:t>建筑垃圾</w:t>
      </w:r>
    </w:p>
    <w:p>
      <w:pPr>
        <w:snapToGrid w:val="0"/>
        <w:spacing w:line="360" w:lineRule="auto"/>
        <w:ind w:firstLine="480" w:firstLineChars="200"/>
        <w:jc w:val="left"/>
        <w:rPr>
          <w:color w:val="auto"/>
          <w:sz w:val="24"/>
        </w:rPr>
      </w:pPr>
      <w:r>
        <w:rPr>
          <w:rFonts w:hint="eastAsia" w:hAnsi="宋体"/>
          <w:color w:val="auto"/>
          <w:sz w:val="24"/>
        </w:rPr>
        <w:t>施工过程中产生的建筑垃圾包括石块、混凝土、废钢筋、废油漆桶等，其产生量与施工水平、管理水平、建筑类型有直接的联系，难以进行定量计算。</w:t>
      </w:r>
      <w:r>
        <w:rPr>
          <w:rFonts w:hAnsi="宋体"/>
          <w:color w:val="auto"/>
          <w:kern w:val="0"/>
          <w:sz w:val="24"/>
        </w:rPr>
        <w:t>建筑垃圾绝大部分为无害物，其中能回收的应尽可能回收，如废钢筋可卖给废品回收单位处理，部分建筑垃圾可运用于低</w:t>
      </w:r>
      <w:r>
        <w:rPr>
          <w:rFonts w:hint="eastAsia" w:hAnsi="宋体"/>
          <w:color w:val="auto"/>
          <w:kern w:val="0"/>
          <w:sz w:val="24"/>
        </w:rPr>
        <w:t>洼</w:t>
      </w:r>
      <w:r>
        <w:rPr>
          <w:rFonts w:hAnsi="宋体"/>
          <w:color w:val="auto"/>
          <w:kern w:val="0"/>
          <w:sz w:val="24"/>
        </w:rPr>
        <w:t>路或其他工地的填方，剩余不能回收利用的建筑垃圾将</w:t>
      </w:r>
      <w:r>
        <w:rPr>
          <w:rFonts w:hAnsi="宋体"/>
          <w:color w:val="auto"/>
          <w:sz w:val="24"/>
        </w:rPr>
        <w:t>运至指定的建筑垃圾堆放场。</w:t>
      </w:r>
      <w:r>
        <w:rPr>
          <w:rFonts w:hint="eastAsia" w:hAnsi="宋体"/>
          <w:color w:val="auto"/>
          <w:sz w:val="24"/>
        </w:rPr>
        <w:t>此外，</w:t>
      </w:r>
      <w:r>
        <w:rPr>
          <w:rFonts w:hint="eastAsia"/>
          <w:color w:val="auto"/>
          <w:sz w:val="24"/>
          <w:szCs w:val="24"/>
        </w:rPr>
        <w:t>在施工期后期，会产生一部分废油漆桶以及废涂料桶，属于危险废物，建议施工单位设置专门的危废暂存室，由专人负责收集，交有具备资质的危废处理单位妥善处理。</w:t>
      </w:r>
    </w:p>
    <w:p>
      <w:pPr>
        <w:snapToGrid w:val="0"/>
        <w:spacing w:line="360" w:lineRule="auto"/>
        <w:ind w:firstLine="482" w:firstLineChars="200"/>
        <w:jc w:val="left"/>
        <w:rPr>
          <w:b/>
          <w:color w:val="auto"/>
          <w:sz w:val="24"/>
        </w:rPr>
      </w:pPr>
      <w:r>
        <w:rPr>
          <w:rFonts w:hint="eastAsia"/>
          <w:b/>
          <w:color w:val="auto"/>
          <w:sz w:val="24"/>
        </w:rPr>
        <w:t>2、</w:t>
      </w:r>
      <w:r>
        <w:rPr>
          <w:rFonts w:hAnsi="宋体"/>
          <w:b/>
          <w:color w:val="auto"/>
          <w:sz w:val="24"/>
        </w:rPr>
        <w:t>施工人员生活垃圾</w:t>
      </w:r>
    </w:p>
    <w:p>
      <w:pPr>
        <w:spacing w:line="360" w:lineRule="auto"/>
        <w:ind w:firstLine="480" w:firstLineChars="200"/>
        <w:rPr>
          <w:rFonts w:hAnsi="宋体"/>
          <w:color w:val="auto"/>
          <w:sz w:val="24"/>
        </w:rPr>
      </w:pPr>
      <w:r>
        <w:rPr>
          <w:rFonts w:hAnsi="宋体"/>
          <w:color w:val="auto"/>
          <w:sz w:val="24"/>
        </w:rPr>
        <w:t>本项目施工人员按</w:t>
      </w:r>
      <w:r>
        <w:rPr>
          <w:rFonts w:hint="eastAsia"/>
          <w:color w:val="auto"/>
          <w:sz w:val="24"/>
        </w:rPr>
        <w:t>50</w:t>
      </w:r>
      <w:r>
        <w:rPr>
          <w:rFonts w:hAnsi="宋体"/>
          <w:color w:val="auto"/>
          <w:sz w:val="24"/>
        </w:rPr>
        <w:t>人计，施工人员生活垃圾产生量按</w:t>
      </w:r>
      <w:r>
        <w:rPr>
          <w:color w:val="auto"/>
          <w:sz w:val="24"/>
        </w:rPr>
        <w:t>0.5kg/</w:t>
      </w:r>
      <w:r>
        <w:rPr>
          <w:rFonts w:hAnsi="宋体"/>
          <w:color w:val="auto"/>
          <w:sz w:val="24"/>
        </w:rPr>
        <w:t>（人</w:t>
      </w:r>
      <w:r>
        <w:rPr>
          <w:color w:val="auto"/>
          <w:sz w:val="24"/>
        </w:rPr>
        <w:t>·d</w:t>
      </w:r>
      <w:r>
        <w:rPr>
          <w:rFonts w:hAnsi="宋体"/>
          <w:color w:val="auto"/>
          <w:sz w:val="24"/>
        </w:rPr>
        <w:t>）估算，则施工期施工人员生活垃圾产生量为</w:t>
      </w:r>
      <w:r>
        <w:rPr>
          <w:rFonts w:hint="eastAsia"/>
          <w:color w:val="auto"/>
          <w:sz w:val="24"/>
        </w:rPr>
        <w:t>25</w:t>
      </w:r>
      <w:r>
        <w:rPr>
          <w:color w:val="auto"/>
          <w:sz w:val="24"/>
        </w:rPr>
        <w:t xml:space="preserve"> kg/d</w:t>
      </w:r>
      <w:r>
        <w:rPr>
          <w:rFonts w:hAnsi="宋体"/>
          <w:color w:val="auto"/>
          <w:sz w:val="24"/>
        </w:rPr>
        <w:t>。</w:t>
      </w:r>
    </w:p>
    <w:p>
      <w:pPr>
        <w:spacing w:line="360" w:lineRule="auto"/>
        <w:ind w:firstLine="480" w:firstLineChars="200"/>
        <w:rPr>
          <w:rFonts w:hAnsi="宋体"/>
          <w:color w:val="auto"/>
          <w:sz w:val="24"/>
        </w:rPr>
      </w:pPr>
      <w:r>
        <w:rPr>
          <w:rFonts w:hAnsi="宋体"/>
          <w:color w:val="auto"/>
          <w:sz w:val="24"/>
        </w:rPr>
        <w:t>施工期生活垃圾以有机类废物为主，其成分为易拉罐、矿泉水瓶、塑料袋、一次性饭盒、剩余食品等。由于这些生活垃圾的污染物含量很高，如处理不当，不但影响景观、散发臭气、滋生蝇鼠，若管理不善，垃圾在暴雨的冲刷下进入</w:t>
      </w:r>
      <w:r>
        <w:rPr>
          <w:rFonts w:hint="eastAsia" w:hAnsi="宋体"/>
          <w:color w:val="auto"/>
          <w:sz w:val="24"/>
        </w:rPr>
        <w:t>水</w:t>
      </w:r>
      <w:r>
        <w:rPr>
          <w:rFonts w:hAnsi="宋体"/>
          <w:color w:val="auto"/>
          <w:sz w:val="24"/>
        </w:rPr>
        <w:t>体，还将对其水质产生不良影响。因此，在施工现场，施工单位要设立桶装生活垃圾桶，并向环卫部门提供生活垃圾收集运输和处置费用，环卫部门按照双方签订的合同定期地收集、处置施工现场的生活垃圾。</w:t>
      </w:r>
    </w:p>
    <w:p>
      <w:pPr>
        <w:spacing w:line="360" w:lineRule="auto"/>
        <w:ind w:firstLine="482" w:firstLineChars="200"/>
        <w:rPr>
          <w:rFonts w:hAnsi="宋体"/>
          <w:b/>
          <w:color w:val="auto"/>
          <w:sz w:val="24"/>
        </w:rPr>
      </w:pPr>
      <w:r>
        <w:rPr>
          <w:rFonts w:hint="eastAsia" w:hAnsi="宋体"/>
          <w:b/>
          <w:color w:val="auto"/>
          <w:sz w:val="24"/>
        </w:rPr>
        <w:t>3、弃土</w:t>
      </w:r>
    </w:p>
    <w:p>
      <w:pPr>
        <w:spacing w:line="360" w:lineRule="auto"/>
        <w:ind w:firstLine="480" w:firstLineChars="200"/>
        <w:rPr>
          <w:rFonts w:hAnsi="宋体"/>
          <w:color w:val="auto"/>
          <w:sz w:val="24"/>
        </w:rPr>
      </w:pPr>
      <w:r>
        <w:rPr>
          <w:rFonts w:hAnsi="宋体"/>
          <w:color w:val="auto"/>
          <w:sz w:val="24"/>
        </w:rPr>
        <w:t>弃方主要包括剥离表土、开挖弃土方等。根据初步设计估算，本项目工程挖方</w:t>
      </w:r>
      <w:r>
        <w:rPr>
          <w:rFonts w:hint="eastAsia"/>
          <w:color w:val="auto"/>
          <w:sz w:val="24"/>
        </w:rPr>
        <w:t>90000</w:t>
      </w:r>
      <w:r>
        <w:rPr>
          <w:color w:val="auto"/>
          <w:sz w:val="24"/>
        </w:rPr>
        <w:t>m</w:t>
      </w:r>
      <w:r>
        <w:rPr>
          <w:color w:val="auto"/>
          <w:sz w:val="24"/>
          <w:vertAlign w:val="superscript"/>
        </w:rPr>
        <w:t>3</w:t>
      </w:r>
      <w:r>
        <w:rPr>
          <w:color w:val="auto"/>
          <w:sz w:val="24"/>
        </w:rPr>
        <w:t>,</w:t>
      </w:r>
      <w:r>
        <w:rPr>
          <w:rFonts w:hAnsi="宋体"/>
          <w:color w:val="auto"/>
          <w:sz w:val="24"/>
        </w:rPr>
        <w:t>填方</w:t>
      </w:r>
      <w:r>
        <w:rPr>
          <w:rFonts w:hint="eastAsia" w:hAnsi="宋体"/>
          <w:color w:val="auto"/>
          <w:sz w:val="24"/>
        </w:rPr>
        <w:t>70000</w:t>
      </w:r>
      <w:r>
        <w:rPr>
          <w:color w:val="auto"/>
          <w:sz w:val="24"/>
        </w:rPr>
        <w:t>m</w:t>
      </w:r>
      <w:r>
        <w:rPr>
          <w:color w:val="auto"/>
          <w:sz w:val="24"/>
          <w:vertAlign w:val="superscript"/>
        </w:rPr>
        <w:t>3</w:t>
      </w:r>
      <w:r>
        <w:rPr>
          <w:color w:val="auto"/>
          <w:sz w:val="24"/>
        </w:rPr>
        <w:t>,</w:t>
      </w:r>
      <w:r>
        <w:rPr>
          <w:rFonts w:hAnsi="宋体"/>
          <w:color w:val="auto"/>
          <w:sz w:val="24"/>
        </w:rPr>
        <w:t>弃方量约为</w:t>
      </w:r>
      <w:r>
        <w:rPr>
          <w:rFonts w:hint="eastAsia"/>
          <w:color w:val="auto"/>
          <w:sz w:val="24"/>
        </w:rPr>
        <w:t>20000</w:t>
      </w:r>
      <w:r>
        <w:rPr>
          <w:color w:val="auto"/>
          <w:sz w:val="24"/>
        </w:rPr>
        <w:t>m</w:t>
      </w:r>
      <w:r>
        <w:rPr>
          <w:color w:val="auto"/>
          <w:sz w:val="24"/>
          <w:vertAlign w:val="superscript"/>
        </w:rPr>
        <w:t>3</w:t>
      </w:r>
      <w:r>
        <w:rPr>
          <w:rFonts w:hint="eastAsia" w:hAnsi="宋体"/>
          <w:color w:val="auto"/>
          <w:sz w:val="24"/>
        </w:rPr>
        <w:t>，</w:t>
      </w:r>
      <w:r>
        <w:rPr>
          <w:rFonts w:hAnsi="宋体"/>
          <w:color w:val="auto"/>
          <w:sz w:val="24"/>
        </w:rPr>
        <w:t>难以利用的弃土弃渣运往政府指定地点处理。</w:t>
      </w:r>
    </w:p>
    <w:p>
      <w:pPr>
        <w:pStyle w:val="4"/>
        <w:rPr>
          <w:color w:val="auto"/>
        </w:rPr>
      </w:pPr>
      <w:bookmarkStart w:id="98" w:name="_Toc26276828"/>
      <w:r>
        <w:rPr>
          <w:rFonts w:hint="eastAsia"/>
          <w:color w:val="auto"/>
        </w:rPr>
        <w:t>3.6.3运营期污染</w:t>
      </w:r>
      <w:bookmarkEnd w:id="98"/>
      <w:r>
        <w:rPr>
          <w:rFonts w:hint="eastAsia"/>
          <w:color w:val="auto"/>
        </w:rPr>
        <w:t>源分析</w:t>
      </w:r>
    </w:p>
    <w:p>
      <w:pPr>
        <w:pStyle w:val="5"/>
        <w:rPr>
          <w:color w:val="auto"/>
        </w:rPr>
      </w:pPr>
      <w:r>
        <w:rPr>
          <w:rFonts w:hint="eastAsia"/>
          <w:color w:val="auto"/>
        </w:rPr>
        <w:t>3.6.3.1大气污染源分析</w:t>
      </w:r>
    </w:p>
    <w:p>
      <w:pPr>
        <w:spacing w:line="360" w:lineRule="auto"/>
        <w:ind w:firstLine="480" w:firstLineChars="200"/>
        <w:rPr>
          <w:color w:val="auto"/>
          <w:sz w:val="24"/>
          <w:szCs w:val="24"/>
        </w:rPr>
      </w:pPr>
      <w:r>
        <w:rPr>
          <w:rFonts w:hint="eastAsia"/>
          <w:color w:val="auto"/>
          <w:sz w:val="24"/>
          <w:szCs w:val="24"/>
        </w:rPr>
        <w:t>本项目运营期产生的大气污染物主要为污水处理构筑物及污泥脱水间产生的恶臭及食堂废气。</w:t>
      </w:r>
    </w:p>
    <w:p>
      <w:pPr>
        <w:spacing w:line="360" w:lineRule="auto"/>
        <w:ind w:firstLine="482" w:firstLineChars="200"/>
        <w:rPr>
          <w:b/>
          <w:color w:val="auto"/>
          <w:sz w:val="24"/>
          <w:szCs w:val="24"/>
        </w:rPr>
      </w:pPr>
      <w:r>
        <w:rPr>
          <w:rFonts w:hint="eastAsia"/>
          <w:b/>
          <w:color w:val="auto"/>
          <w:sz w:val="24"/>
          <w:szCs w:val="24"/>
        </w:rPr>
        <w:t>1、恶臭</w:t>
      </w:r>
    </w:p>
    <w:p>
      <w:pPr>
        <w:spacing w:line="360" w:lineRule="auto"/>
        <w:ind w:firstLine="480" w:firstLineChars="200"/>
        <w:rPr>
          <w:color w:val="auto"/>
          <w:sz w:val="24"/>
          <w:szCs w:val="24"/>
        </w:rPr>
      </w:pPr>
      <w:r>
        <w:rPr>
          <w:rFonts w:hint="eastAsia"/>
          <w:color w:val="auto"/>
          <w:sz w:val="24"/>
          <w:szCs w:val="24"/>
        </w:rPr>
        <w:t>本项目收纳污水流入污水处理系统后，污水由地下转入地上，液面气压降低，特别是在出水渠，水位有一定的落差，污水在泵站运行期间形成水流湍动，使原来产生和溶解于污水中的硫化氢从集水井逸出。污水进入处理设施中，一般含有较高浓度的硫离子，进水池内的机械格栅的搅动会导致硫化氢的释放。污水处理系统中大部分的恶臭来自于初级处理过程，进水堰与水池表面的落差使污水中部分的硫离子被释放出来，在池内静止数小时，在缺氧的环境下污水在初沉池中极易产生硫离子，尤其在夏天高温时硫离子产生量最大。此外，在污泥中也存在发酵菌，并产生硫化氢等恶臭气体，在污泥浓缩池中，一旦污泥处于较长时间的缺氧环境就会导致硫酸盐的产生，为恶臭的形成创造条件，而浓缩池的排泥、撇上清液及污泥回流操作都会产生恶臭气体。</w:t>
      </w:r>
    </w:p>
    <w:p>
      <w:pPr>
        <w:spacing w:line="360" w:lineRule="auto"/>
        <w:ind w:firstLine="480" w:firstLineChars="200"/>
        <w:rPr>
          <w:color w:val="auto"/>
          <w:sz w:val="24"/>
          <w:szCs w:val="24"/>
        </w:rPr>
      </w:pPr>
      <w:r>
        <w:rPr>
          <w:rFonts w:hint="eastAsia"/>
          <w:color w:val="auto"/>
          <w:sz w:val="24"/>
          <w:szCs w:val="24"/>
        </w:rPr>
        <w:t>（1）有组织恶臭</w:t>
      </w:r>
    </w:p>
    <w:p>
      <w:pPr>
        <w:spacing w:line="360" w:lineRule="auto"/>
        <w:ind w:firstLine="480" w:firstLineChars="200"/>
        <w:rPr>
          <w:color w:val="auto"/>
          <w:sz w:val="24"/>
          <w:szCs w:val="24"/>
        </w:rPr>
      </w:pPr>
      <w:r>
        <w:rPr>
          <w:rFonts w:hint="eastAsia"/>
          <w:color w:val="auto"/>
          <w:sz w:val="24"/>
          <w:szCs w:val="24"/>
        </w:rPr>
        <w:t>根据有关研究及调查结果（郭静等，污水处理厂恶臭污染状况分析与评价，中国给排水，2002，18(2)，41-42），污水处理厂恶臭发生源主要是格栅井、曝气池、储泥池、污泥浓缩池处，臭气浓度随扩散距离的增大而衰减，100m外其影响明显减弱，距恶臭源300m基本无影响。</w:t>
      </w:r>
    </w:p>
    <w:p>
      <w:pPr>
        <w:spacing w:line="360" w:lineRule="auto"/>
        <w:ind w:firstLine="480" w:firstLineChars="200"/>
        <w:rPr>
          <w:color w:val="auto"/>
          <w:sz w:val="24"/>
          <w:szCs w:val="24"/>
        </w:rPr>
      </w:pPr>
      <w:r>
        <w:rPr>
          <w:rFonts w:hint="eastAsia"/>
          <w:color w:val="auto"/>
          <w:sz w:val="24"/>
          <w:szCs w:val="24"/>
        </w:rPr>
        <w:t>污水中恶臭的化合物种类较多，可划分为硫化物、低级脂肪胺、芳烃、羟基化合物、醇类、酚类、低级脂肪酸、吲哚八大类，目前经常提到的有：H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int="eastAsia"/>
          <w:color w:val="auto"/>
          <w:sz w:val="24"/>
          <w:szCs w:val="24"/>
        </w:rPr>
        <w:t>、（CH</w:t>
      </w:r>
      <w:r>
        <w:rPr>
          <w:rFonts w:hint="eastAsia"/>
          <w:color w:val="auto"/>
          <w:sz w:val="24"/>
          <w:szCs w:val="24"/>
          <w:vertAlign w:val="subscript"/>
        </w:rPr>
        <w:t>3</w:t>
      </w:r>
      <w:r>
        <w:rPr>
          <w:rFonts w:hint="eastAsia"/>
          <w:color w:val="auto"/>
          <w:sz w:val="24"/>
          <w:szCs w:val="24"/>
        </w:rPr>
        <w:t>）</w:t>
      </w:r>
      <w:r>
        <w:rPr>
          <w:rFonts w:hint="eastAsia"/>
          <w:color w:val="auto"/>
          <w:sz w:val="24"/>
          <w:szCs w:val="24"/>
          <w:vertAlign w:val="subscript"/>
        </w:rPr>
        <w:t>3</w:t>
      </w:r>
      <w:r>
        <w:rPr>
          <w:rFonts w:hint="eastAsia"/>
          <w:color w:val="auto"/>
          <w:sz w:val="24"/>
          <w:szCs w:val="24"/>
        </w:rPr>
        <w:t>N、CH</w:t>
      </w:r>
      <w:r>
        <w:rPr>
          <w:rFonts w:hint="eastAsia"/>
          <w:color w:val="auto"/>
          <w:sz w:val="24"/>
          <w:szCs w:val="24"/>
          <w:vertAlign w:val="subscript"/>
        </w:rPr>
        <w:t>3</w:t>
      </w:r>
      <w:r>
        <w:rPr>
          <w:rFonts w:hint="eastAsia"/>
          <w:color w:val="auto"/>
          <w:sz w:val="24"/>
          <w:szCs w:val="24"/>
        </w:rPr>
        <w:t>SH、DMS、CH</w:t>
      </w:r>
      <w:r>
        <w:rPr>
          <w:rFonts w:hint="eastAsia"/>
          <w:color w:val="auto"/>
          <w:sz w:val="24"/>
          <w:szCs w:val="24"/>
          <w:vertAlign w:val="subscript"/>
        </w:rPr>
        <w:t>3</w:t>
      </w:r>
      <w:r>
        <w:rPr>
          <w:rFonts w:hint="eastAsia"/>
          <w:color w:val="auto"/>
          <w:sz w:val="24"/>
          <w:szCs w:val="24"/>
        </w:rPr>
        <w:t>SSCH</w:t>
      </w:r>
      <w:r>
        <w:rPr>
          <w:rFonts w:hint="eastAsia"/>
          <w:color w:val="auto"/>
          <w:sz w:val="24"/>
          <w:szCs w:val="24"/>
          <w:vertAlign w:val="subscript"/>
        </w:rPr>
        <w:t>3</w:t>
      </w:r>
      <w:r>
        <w:rPr>
          <w:rFonts w:hint="eastAsia"/>
          <w:color w:val="auto"/>
          <w:sz w:val="24"/>
          <w:szCs w:val="24"/>
        </w:rPr>
        <w:t>、DMDS（二甲基二硫）、乙醛、苯乙烯等。水质净化厂臭气污染浓度可采用硫化氢、氨气等常规因子表示。</w:t>
      </w:r>
    </w:p>
    <w:p>
      <w:pPr>
        <w:spacing w:line="360" w:lineRule="auto"/>
        <w:ind w:firstLine="480" w:firstLineChars="200"/>
        <w:rPr>
          <w:color w:val="auto"/>
          <w:sz w:val="24"/>
          <w:szCs w:val="24"/>
        </w:rPr>
      </w:pPr>
      <w:r>
        <w:rPr>
          <w:rFonts w:hint="eastAsia"/>
          <w:color w:val="auto"/>
          <w:sz w:val="24"/>
          <w:szCs w:val="24"/>
        </w:rPr>
        <w:t>根据《环境工程技术手册：废水污染控制技术手册》（潘涛等，化学工业出版社），污水厂臭气污染物浓度应根据实测数据确定。当无实测数据时，可采用经验数据或按下表的规定取值。</w:t>
      </w:r>
    </w:p>
    <w:p>
      <w:pPr>
        <w:spacing w:line="360" w:lineRule="auto"/>
        <w:jc w:val="center"/>
        <w:rPr>
          <w:b/>
          <w:color w:val="auto"/>
          <w:sz w:val="24"/>
          <w:szCs w:val="24"/>
        </w:rPr>
      </w:pPr>
      <w:r>
        <w:rPr>
          <w:rFonts w:hint="eastAsia"/>
          <w:b/>
          <w:color w:val="auto"/>
          <w:sz w:val="24"/>
          <w:szCs w:val="24"/>
        </w:rPr>
        <w:t>表3-6-5   污水处理厂臭气污染物浓度</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1985"/>
        <w:gridCol w:w="1417"/>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jc w:val="center"/>
              <w:rPr>
                <w:b/>
                <w:color w:val="auto"/>
                <w:sz w:val="21"/>
                <w:szCs w:val="21"/>
              </w:rPr>
            </w:pPr>
            <w:r>
              <w:rPr>
                <w:rFonts w:hint="eastAsia"/>
                <w:b/>
                <w:color w:val="auto"/>
                <w:sz w:val="21"/>
                <w:szCs w:val="21"/>
              </w:rPr>
              <w:t>处理区域</w:t>
            </w:r>
          </w:p>
        </w:tc>
        <w:tc>
          <w:tcPr>
            <w:tcW w:w="1985" w:type="dxa"/>
          </w:tcPr>
          <w:p>
            <w:pPr>
              <w:jc w:val="center"/>
              <w:rPr>
                <w:b/>
                <w:color w:val="auto"/>
                <w:sz w:val="21"/>
                <w:szCs w:val="21"/>
              </w:rPr>
            </w:pPr>
            <w:r>
              <w:rPr>
                <w:rFonts w:hint="eastAsia"/>
                <w:b/>
                <w:color w:val="auto"/>
                <w:sz w:val="21"/>
                <w:szCs w:val="21"/>
              </w:rPr>
              <w:t>硫化氢（mg/m</w:t>
            </w:r>
            <w:r>
              <w:rPr>
                <w:rFonts w:hint="eastAsia"/>
                <w:b/>
                <w:color w:val="auto"/>
                <w:sz w:val="21"/>
                <w:szCs w:val="21"/>
                <w:vertAlign w:val="superscript"/>
              </w:rPr>
              <w:t>3</w:t>
            </w:r>
            <w:r>
              <w:rPr>
                <w:rFonts w:hint="eastAsia"/>
                <w:b/>
                <w:color w:val="auto"/>
                <w:sz w:val="21"/>
                <w:szCs w:val="21"/>
              </w:rPr>
              <w:t>）</w:t>
            </w:r>
          </w:p>
        </w:tc>
        <w:tc>
          <w:tcPr>
            <w:tcW w:w="1417" w:type="dxa"/>
          </w:tcPr>
          <w:p>
            <w:pPr>
              <w:jc w:val="center"/>
              <w:rPr>
                <w:b/>
                <w:color w:val="auto"/>
                <w:sz w:val="21"/>
                <w:szCs w:val="21"/>
              </w:rPr>
            </w:pPr>
            <w:r>
              <w:rPr>
                <w:rFonts w:hint="eastAsia"/>
                <w:b/>
                <w:color w:val="auto"/>
                <w:sz w:val="21"/>
                <w:szCs w:val="21"/>
              </w:rPr>
              <w:t>氨（mg/m</w:t>
            </w:r>
            <w:r>
              <w:rPr>
                <w:rFonts w:hint="eastAsia"/>
                <w:b/>
                <w:color w:val="auto"/>
                <w:sz w:val="21"/>
                <w:szCs w:val="21"/>
                <w:vertAlign w:val="superscript"/>
              </w:rPr>
              <w:t>3</w:t>
            </w:r>
            <w:r>
              <w:rPr>
                <w:rFonts w:hint="eastAsia"/>
                <w:b/>
                <w:color w:val="auto"/>
                <w:sz w:val="21"/>
                <w:szCs w:val="21"/>
              </w:rPr>
              <w:t>）</w:t>
            </w:r>
          </w:p>
        </w:tc>
        <w:tc>
          <w:tcPr>
            <w:tcW w:w="2035" w:type="dxa"/>
          </w:tcPr>
          <w:p>
            <w:pPr>
              <w:jc w:val="center"/>
              <w:rPr>
                <w:b/>
                <w:color w:val="auto"/>
                <w:sz w:val="21"/>
                <w:szCs w:val="21"/>
              </w:rPr>
            </w:pPr>
            <w:r>
              <w:rPr>
                <w:rFonts w:hint="eastAsia"/>
                <w:b/>
                <w:color w:val="auto"/>
                <w:sz w:val="21"/>
                <w:szCs w:val="21"/>
              </w:rPr>
              <w:t>臭气浓度（无量纲）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jc w:val="center"/>
              <w:rPr>
                <w:color w:val="auto"/>
                <w:sz w:val="21"/>
                <w:szCs w:val="21"/>
              </w:rPr>
            </w:pPr>
            <w:r>
              <w:rPr>
                <w:rFonts w:hint="eastAsia"/>
                <w:color w:val="auto"/>
                <w:sz w:val="21"/>
                <w:szCs w:val="21"/>
              </w:rPr>
              <w:t>污水预处理区域</w:t>
            </w:r>
          </w:p>
        </w:tc>
        <w:tc>
          <w:tcPr>
            <w:tcW w:w="1985" w:type="dxa"/>
          </w:tcPr>
          <w:p>
            <w:pPr>
              <w:jc w:val="center"/>
              <w:rPr>
                <w:color w:val="auto"/>
                <w:sz w:val="21"/>
                <w:szCs w:val="21"/>
              </w:rPr>
            </w:pPr>
            <w:r>
              <w:rPr>
                <w:rFonts w:hint="eastAsia"/>
                <w:color w:val="auto"/>
                <w:sz w:val="21"/>
                <w:szCs w:val="21"/>
              </w:rPr>
              <w:t>1~10</w:t>
            </w:r>
          </w:p>
        </w:tc>
        <w:tc>
          <w:tcPr>
            <w:tcW w:w="1417" w:type="dxa"/>
          </w:tcPr>
          <w:p>
            <w:pPr>
              <w:jc w:val="center"/>
              <w:rPr>
                <w:color w:val="auto"/>
                <w:sz w:val="21"/>
                <w:szCs w:val="21"/>
              </w:rPr>
            </w:pPr>
            <w:r>
              <w:rPr>
                <w:rFonts w:hint="eastAsia"/>
                <w:color w:val="auto"/>
                <w:sz w:val="21"/>
                <w:szCs w:val="21"/>
              </w:rPr>
              <w:t>0.5~5.0</w:t>
            </w:r>
          </w:p>
        </w:tc>
        <w:tc>
          <w:tcPr>
            <w:tcW w:w="2035" w:type="dxa"/>
          </w:tcPr>
          <w:p>
            <w:pPr>
              <w:jc w:val="center"/>
              <w:rPr>
                <w:color w:val="auto"/>
                <w:sz w:val="21"/>
                <w:szCs w:val="21"/>
              </w:rPr>
            </w:pPr>
            <w:r>
              <w:rPr>
                <w:rFonts w:hint="eastAsia"/>
                <w:color w:val="auto"/>
                <w:sz w:val="21"/>
                <w:szCs w:val="21"/>
              </w:rPr>
              <w:t>1000~5000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jc w:val="center"/>
              <w:rPr>
                <w:color w:val="auto"/>
                <w:sz w:val="21"/>
                <w:szCs w:val="21"/>
              </w:rPr>
            </w:pPr>
            <w:r>
              <w:rPr>
                <w:rFonts w:hint="eastAsia"/>
                <w:color w:val="auto"/>
                <w:sz w:val="21"/>
                <w:szCs w:val="21"/>
              </w:rPr>
              <w:t>污泥处理区域</w:t>
            </w:r>
          </w:p>
        </w:tc>
        <w:tc>
          <w:tcPr>
            <w:tcW w:w="1985" w:type="dxa"/>
          </w:tcPr>
          <w:p>
            <w:pPr>
              <w:jc w:val="center"/>
              <w:rPr>
                <w:color w:val="auto"/>
                <w:sz w:val="21"/>
                <w:szCs w:val="21"/>
              </w:rPr>
            </w:pPr>
            <w:r>
              <w:rPr>
                <w:rFonts w:hint="eastAsia"/>
                <w:color w:val="auto"/>
                <w:sz w:val="21"/>
                <w:szCs w:val="21"/>
              </w:rPr>
              <w:t>5~30</w:t>
            </w:r>
          </w:p>
        </w:tc>
        <w:tc>
          <w:tcPr>
            <w:tcW w:w="1417" w:type="dxa"/>
          </w:tcPr>
          <w:p>
            <w:pPr>
              <w:jc w:val="center"/>
              <w:rPr>
                <w:color w:val="auto"/>
                <w:sz w:val="21"/>
                <w:szCs w:val="21"/>
              </w:rPr>
            </w:pPr>
            <w:r>
              <w:rPr>
                <w:rFonts w:hint="eastAsia"/>
                <w:color w:val="auto"/>
                <w:sz w:val="21"/>
                <w:szCs w:val="21"/>
              </w:rPr>
              <w:t>1~10</w:t>
            </w:r>
          </w:p>
        </w:tc>
        <w:tc>
          <w:tcPr>
            <w:tcW w:w="2035" w:type="dxa"/>
          </w:tcPr>
          <w:p>
            <w:pPr>
              <w:jc w:val="center"/>
              <w:rPr>
                <w:color w:val="auto"/>
                <w:sz w:val="21"/>
                <w:szCs w:val="21"/>
              </w:rPr>
            </w:pPr>
            <w:r>
              <w:rPr>
                <w:rFonts w:hint="eastAsia"/>
                <w:color w:val="auto"/>
                <w:sz w:val="21"/>
                <w:szCs w:val="21"/>
              </w:rPr>
              <w:t>5000~100000</w:t>
            </w:r>
          </w:p>
        </w:tc>
      </w:tr>
    </w:tbl>
    <w:p>
      <w:pPr>
        <w:spacing w:line="360" w:lineRule="auto"/>
        <w:ind w:firstLine="480" w:firstLineChars="200"/>
        <w:jc w:val="left"/>
        <w:rPr>
          <w:color w:val="auto"/>
          <w:sz w:val="24"/>
          <w:szCs w:val="24"/>
        </w:rPr>
      </w:pPr>
      <w:r>
        <w:rPr>
          <w:rFonts w:hint="eastAsia"/>
          <w:color w:val="auto"/>
          <w:sz w:val="24"/>
          <w:szCs w:val="24"/>
        </w:rPr>
        <w:t>本项目为水质净化厂新建项目，无实测数据，故臭气污染物浓度采用上表数据进行估算。根据建设单位提供的资料，本项目分别在污水预处理单元及污泥脱水机房设置除臭装置，采用化学洗涤+生物滤池工艺。其中，污水预处理单元处除臭装置（主要收集并处理粗格栅及进水泵房、细格栅及曝气沉砂池、应急沉淀池内臭气）处理风量为6000m</w:t>
      </w:r>
      <w:r>
        <w:rPr>
          <w:rFonts w:hint="eastAsia"/>
          <w:color w:val="auto"/>
          <w:sz w:val="24"/>
          <w:szCs w:val="24"/>
          <w:vertAlign w:val="superscript"/>
        </w:rPr>
        <w:t>3</w:t>
      </w:r>
      <w:r>
        <w:rPr>
          <w:rFonts w:hint="eastAsia"/>
          <w:color w:val="auto"/>
          <w:sz w:val="24"/>
          <w:szCs w:val="24"/>
        </w:rPr>
        <w:t>/h，污泥脱水机房处除臭装置（主要收集并处理污泥浓缩池、污泥均质池、污泥脱水机房内臭气）处理风量为22000m</w:t>
      </w:r>
      <w:r>
        <w:rPr>
          <w:rFonts w:hint="eastAsia"/>
          <w:color w:val="auto"/>
          <w:sz w:val="24"/>
          <w:szCs w:val="24"/>
          <w:vertAlign w:val="superscript"/>
        </w:rPr>
        <w:t>3</w:t>
      </w:r>
      <w:r>
        <w:rPr>
          <w:rFonts w:hint="eastAsia"/>
          <w:color w:val="auto"/>
          <w:sz w:val="24"/>
          <w:szCs w:val="24"/>
        </w:rPr>
        <w:t>/h。项目污水预处理单元均加盖封闭，污泥脱水机房为负压密闭，在易散发到大气的地点（如盖板附近）布置收集风口，闸门等可能存在臭气泄露的区域使用不锈钢+丁腈橡胶对闸门接缝处密闭，保证臭气不外溢，污水预处理单元及污泥脱水机房产生的臭气通过抽风机收集至化学洗涤+生物滤池除臭装置，收集效率可达100%。参考同类项目（李亮, 赵忠富, 张明杰, et al. 猎德污水处理厂污泥系统除臭工程设计[J]. 给水排水(12):41-44.），化学洗涤+生物滤池工艺对H</w:t>
      </w:r>
      <w:r>
        <w:rPr>
          <w:rFonts w:hint="eastAsia"/>
          <w:color w:val="auto"/>
          <w:sz w:val="24"/>
          <w:szCs w:val="24"/>
          <w:vertAlign w:val="subscript"/>
        </w:rPr>
        <w:t>2</w:t>
      </w:r>
      <w:r>
        <w:rPr>
          <w:rFonts w:hint="eastAsia"/>
          <w:color w:val="auto"/>
          <w:sz w:val="24"/>
          <w:szCs w:val="24"/>
        </w:rPr>
        <w:t>S实测处理效率大于99%，对NH</w:t>
      </w:r>
      <w:r>
        <w:rPr>
          <w:rFonts w:hint="eastAsia"/>
          <w:color w:val="auto"/>
          <w:sz w:val="24"/>
          <w:szCs w:val="24"/>
          <w:vertAlign w:val="subscript"/>
        </w:rPr>
        <w:t>3</w:t>
      </w:r>
      <w:r>
        <w:rPr>
          <w:rFonts w:hint="eastAsia"/>
          <w:color w:val="auto"/>
          <w:sz w:val="24"/>
          <w:szCs w:val="24"/>
        </w:rPr>
        <w:t>实测处理效率大于90%。根据上述参数，本项目建成后恶臭气体产、排情况如下表所示。</w:t>
      </w:r>
    </w:p>
    <w:p>
      <w:pPr>
        <w:spacing w:line="360" w:lineRule="auto"/>
        <w:jc w:val="center"/>
        <w:rPr>
          <w:b/>
          <w:color w:val="auto"/>
          <w:sz w:val="24"/>
          <w:szCs w:val="24"/>
        </w:rPr>
      </w:pPr>
      <w:r>
        <w:rPr>
          <w:rFonts w:hint="eastAsia"/>
          <w:b/>
          <w:color w:val="auto"/>
          <w:sz w:val="24"/>
          <w:szCs w:val="24"/>
        </w:rPr>
        <w:t>表3-6-6   本项目有组织恶臭污染物产排情况一览表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1"/>
        <w:gridCol w:w="2837"/>
        <w:gridCol w:w="1843"/>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restart"/>
            <w:vAlign w:val="center"/>
          </w:tcPr>
          <w:p>
            <w:pPr>
              <w:jc w:val="center"/>
              <w:rPr>
                <w:color w:val="auto"/>
                <w:sz w:val="21"/>
                <w:szCs w:val="21"/>
              </w:rPr>
            </w:pPr>
            <w:r>
              <w:rPr>
                <w:color w:val="auto"/>
                <w:sz w:val="21"/>
                <w:szCs w:val="21"/>
              </w:rPr>
              <w:t>污水预处理区域</w:t>
            </w:r>
          </w:p>
          <w:p>
            <w:pPr>
              <w:jc w:val="center"/>
              <w:rPr>
                <w:color w:val="auto"/>
                <w:sz w:val="21"/>
                <w:szCs w:val="21"/>
              </w:rPr>
            </w:pPr>
            <w:r>
              <w:rPr>
                <w:rFonts w:hint="eastAsia"/>
                <w:color w:val="auto"/>
                <w:sz w:val="21"/>
                <w:szCs w:val="21"/>
              </w:rPr>
              <w:t>（包括粗格栅及进水泵房、细格栅及曝气沉砂池、应急沉淀池）</w:t>
            </w:r>
          </w:p>
        </w:tc>
        <w:tc>
          <w:tcPr>
            <w:tcW w:w="2837" w:type="dxa"/>
            <w:vAlign w:val="center"/>
          </w:tcPr>
          <w:p>
            <w:pPr>
              <w:jc w:val="center"/>
              <w:rPr>
                <w:b/>
                <w:color w:val="auto"/>
                <w:sz w:val="21"/>
                <w:szCs w:val="21"/>
              </w:rPr>
            </w:pPr>
            <w:r>
              <w:rPr>
                <w:b/>
                <w:color w:val="auto"/>
                <w:sz w:val="21"/>
                <w:szCs w:val="21"/>
              </w:rPr>
              <w:t>污染物</w:t>
            </w:r>
          </w:p>
        </w:tc>
        <w:tc>
          <w:tcPr>
            <w:tcW w:w="1843" w:type="dxa"/>
            <w:vAlign w:val="center"/>
          </w:tcPr>
          <w:p>
            <w:pPr>
              <w:jc w:val="center"/>
              <w:rPr>
                <w:b/>
                <w:color w:val="auto"/>
                <w:sz w:val="21"/>
                <w:szCs w:val="21"/>
              </w:rPr>
            </w:pPr>
            <w:r>
              <w:rPr>
                <w:b/>
                <w:color w:val="auto"/>
                <w:sz w:val="21"/>
                <w:szCs w:val="21"/>
              </w:rPr>
              <w:t>H</w:t>
            </w:r>
            <w:r>
              <w:rPr>
                <w:b/>
                <w:color w:val="auto"/>
                <w:sz w:val="21"/>
                <w:szCs w:val="21"/>
                <w:vertAlign w:val="subscript"/>
              </w:rPr>
              <w:t>2</w:t>
            </w:r>
            <w:r>
              <w:rPr>
                <w:b/>
                <w:color w:val="auto"/>
                <w:sz w:val="21"/>
                <w:szCs w:val="21"/>
              </w:rPr>
              <w:t>S</w:t>
            </w:r>
          </w:p>
        </w:tc>
        <w:tc>
          <w:tcPr>
            <w:tcW w:w="1751" w:type="dxa"/>
            <w:vAlign w:val="center"/>
          </w:tcPr>
          <w:p>
            <w:pPr>
              <w:jc w:val="center"/>
              <w:rPr>
                <w:b/>
                <w:color w:val="auto"/>
                <w:sz w:val="21"/>
                <w:szCs w:val="21"/>
              </w:rPr>
            </w:pPr>
            <w:r>
              <w:rPr>
                <w:b/>
                <w:color w:val="auto"/>
                <w:sz w:val="21"/>
                <w:szCs w:val="21"/>
              </w:rPr>
              <w:t>NH</w:t>
            </w:r>
            <w:r>
              <w:rPr>
                <w:b/>
                <w:color w:val="auto"/>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产生浓度（mg/m</w:t>
            </w:r>
            <w:r>
              <w:rPr>
                <w:color w:val="auto"/>
                <w:sz w:val="21"/>
                <w:szCs w:val="21"/>
                <w:vertAlign w:val="superscript"/>
              </w:rPr>
              <w:t>3</w:t>
            </w:r>
            <w:r>
              <w:rPr>
                <w:color w:val="auto"/>
                <w:sz w:val="21"/>
                <w:szCs w:val="21"/>
              </w:rPr>
              <w:t>）</w:t>
            </w:r>
          </w:p>
        </w:tc>
        <w:tc>
          <w:tcPr>
            <w:tcW w:w="1843" w:type="dxa"/>
            <w:vAlign w:val="center"/>
          </w:tcPr>
          <w:p>
            <w:pPr>
              <w:jc w:val="center"/>
              <w:rPr>
                <w:color w:val="auto"/>
                <w:sz w:val="21"/>
                <w:szCs w:val="21"/>
              </w:rPr>
            </w:pPr>
            <w:r>
              <w:rPr>
                <w:color w:val="auto"/>
                <w:sz w:val="21"/>
                <w:szCs w:val="21"/>
              </w:rPr>
              <w:t>10</w:t>
            </w:r>
          </w:p>
        </w:tc>
        <w:tc>
          <w:tcPr>
            <w:tcW w:w="1751" w:type="dxa"/>
            <w:vAlign w:val="center"/>
          </w:tcPr>
          <w:p>
            <w:pPr>
              <w:jc w:val="center"/>
              <w:rPr>
                <w:color w:val="auto"/>
                <w:sz w:val="21"/>
                <w:szCs w:val="21"/>
              </w:rPr>
            </w:pPr>
            <w:r>
              <w:rPr>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产生</w:t>
            </w:r>
            <w:r>
              <w:rPr>
                <w:rFonts w:hint="eastAsia"/>
                <w:color w:val="auto"/>
                <w:sz w:val="21"/>
                <w:szCs w:val="21"/>
              </w:rPr>
              <w:t>速率</w:t>
            </w:r>
            <w:r>
              <w:rPr>
                <w:color w:val="auto"/>
                <w:sz w:val="21"/>
                <w:szCs w:val="21"/>
              </w:rPr>
              <w:t>（kg/h）</w:t>
            </w:r>
          </w:p>
        </w:tc>
        <w:tc>
          <w:tcPr>
            <w:tcW w:w="1843" w:type="dxa"/>
            <w:vAlign w:val="center"/>
          </w:tcPr>
          <w:p>
            <w:pPr>
              <w:jc w:val="center"/>
              <w:rPr>
                <w:color w:val="auto"/>
                <w:sz w:val="21"/>
                <w:szCs w:val="21"/>
              </w:rPr>
            </w:pPr>
            <w:r>
              <w:rPr>
                <w:color w:val="auto"/>
                <w:sz w:val="21"/>
                <w:szCs w:val="21"/>
              </w:rPr>
              <w:t>0.06</w:t>
            </w:r>
          </w:p>
        </w:tc>
        <w:tc>
          <w:tcPr>
            <w:tcW w:w="1751" w:type="dxa"/>
            <w:vAlign w:val="center"/>
          </w:tcPr>
          <w:p>
            <w:pPr>
              <w:jc w:val="center"/>
              <w:rPr>
                <w:color w:val="auto"/>
                <w:sz w:val="21"/>
                <w:szCs w:val="21"/>
              </w:rPr>
            </w:pPr>
            <w:r>
              <w:rPr>
                <w:color w:val="auto"/>
                <w:sz w:val="21"/>
                <w:szCs w:val="2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处理效率</w:t>
            </w:r>
          </w:p>
        </w:tc>
        <w:tc>
          <w:tcPr>
            <w:tcW w:w="1843" w:type="dxa"/>
            <w:vAlign w:val="center"/>
          </w:tcPr>
          <w:p>
            <w:pPr>
              <w:jc w:val="center"/>
              <w:rPr>
                <w:color w:val="auto"/>
                <w:sz w:val="21"/>
                <w:szCs w:val="21"/>
              </w:rPr>
            </w:pPr>
            <w:r>
              <w:rPr>
                <w:color w:val="auto"/>
                <w:sz w:val="21"/>
                <w:szCs w:val="21"/>
              </w:rPr>
              <w:t>99%</w:t>
            </w:r>
          </w:p>
        </w:tc>
        <w:tc>
          <w:tcPr>
            <w:tcW w:w="1751" w:type="dxa"/>
            <w:vAlign w:val="center"/>
          </w:tcPr>
          <w:p>
            <w:pPr>
              <w:jc w:val="center"/>
              <w:rPr>
                <w:color w:val="auto"/>
                <w:sz w:val="21"/>
                <w:szCs w:val="21"/>
              </w:rPr>
            </w:pPr>
            <w:r>
              <w:rPr>
                <w:color w:val="auto"/>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排放</w:t>
            </w:r>
            <w:r>
              <w:rPr>
                <w:rFonts w:hint="eastAsia"/>
                <w:color w:val="auto"/>
                <w:sz w:val="21"/>
                <w:szCs w:val="21"/>
              </w:rPr>
              <w:t>速率</w:t>
            </w:r>
            <w:r>
              <w:rPr>
                <w:color w:val="auto"/>
                <w:sz w:val="21"/>
                <w:szCs w:val="21"/>
              </w:rPr>
              <w:t>（kg/h）</w:t>
            </w:r>
          </w:p>
        </w:tc>
        <w:tc>
          <w:tcPr>
            <w:tcW w:w="1843" w:type="dxa"/>
            <w:vAlign w:val="center"/>
          </w:tcPr>
          <w:p>
            <w:pPr>
              <w:jc w:val="center"/>
              <w:rPr>
                <w:color w:val="auto"/>
                <w:sz w:val="21"/>
                <w:szCs w:val="21"/>
              </w:rPr>
            </w:pPr>
            <w:r>
              <w:rPr>
                <w:color w:val="auto"/>
                <w:sz w:val="21"/>
                <w:szCs w:val="21"/>
              </w:rPr>
              <w:t>0.0006</w:t>
            </w:r>
          </w:p>
        </w:tc>
        <w:tc>
          <w:tcPr>
            <w:tcW w:w="1751" w:type="dxa"/>
            <w:vAlign w:val="center"/>
          </w:tcPr>
          <w:p>
            <w:pPr>
              <w:jc w:val="center"/>
              <w:rPr>
                <w:color w:val="auto"/>
                <w:sz w:val="21"/>
                <w:szCs w:val="21"/>
              </w:rPr>
            </w:pPr>
            <w:r>
              <w:rPr>
                <w:color w:val="auto"/>
                <w:sz w:val="21"/>
                <w:szCs w:val="21"/>
              </w:rPr>
              <w:t>0.0030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排放浓度（mg/m</w:t>
            </w:r>
            <w:r>
              <w:rPr>
                <w:color w:val="auto"/>
                <w:sz w:val="21"/>
                <w:szCs w:val="21"/>
                <w:vertAlign w:val="superscript"/>
              </w:rPr>
              <w:t>3</w:t>
            </w:r>
            <w:r>
              <w:rPr>
                <w:color w:val="auto"/>
                <w:sz w:val="21"/>
                <w:szCs w:val="21"/>
              </w:rPr>
              <w:t>）</w:t>
            </w:r>
          </w:p>
        </w:tc>
        <w:tc>
          <w:tcPr>
            <w:tcW w:w="1843" w:type="dxa"/>
            <w:vAlign w:val="center"/>
          </w:tcPr>
          <w:p>
            <w:pPr>
              <w:jc w:val="center"/>
              <w:rPr>
                <w:color w:val="auto"/>
                <w:sz w:val="21"/>
                <w:szCs w:val="21"/>
              </w:rPr>
            </w:pPr>
            <w:r>
              <w:rPr>
                <w:color w:val="auto"/>
                <w:sz w:val="21"/>
                <w:szCs w:val="21"/>
              </w:rPr>
              <w:t>0.10</w:t>
            </w:r>
          </w:p>
        </w:tc>
        <w:tc>
          <w:tcPr>
            <w:tcW w:w="1751" w:type="dxa"/>
            <w:vAlign w:val="center"/>
          </w:tcPr>
          <w:p>
            <w:pPr>
              <w:jc w:val="center"/>
              <w:rPr>
                <w:color w:val="auto"/>
                <w:sz w:val="21"/>
                <w:szCs w:val="21"/>
              </w:rPr>
            </w:pPr>
            <w:r>
              <w:rPr>
                <w:color w:val="auto"/>
                <w:sz w:val="21"/>
                <w:szCs w:val="21"/>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restart"/>
            <w:vAlign w:val="center"/>
          </w:tcPr>
          <w:p>
            <w:pPr>
              <w:jc w:val="center"/>
              <w:rPr>
                <w:color w:val="auto"/>
                <w:sz w:val="21"/>
                <w:szCs w:val="21"/>
              </w:rPr>
            </w:pPr>
            <w:r>
              <w:rPr>
                <w:color w:val="auto"/>
                <w:sz w:val="21"/>
                <w:szCs w:val="21"/>
              </w:rPr>
              <w:t>污泥处理区域</w:t>
            </w:r>
          </w:p>
          <w:p>
            <w:pPr>
              <w:jc w:val="center"/>
              <w:rPr>
                <w:color w:val="auto"/>
                <w:sz w:val="21"/>
                <w:szCs w:val="21"/>
              </w:rPr>
            </w:pPr>
            <w:r>
              <w:rPr>
                <w:rFonts w:hint="eastAsia"/>
                <w:color w:val="auto"/>
                <w:sz w:val="21"/>
                <w:szCs w:val="21"/>
              </w:rPr>
              <w:t>（包括污泥浓缩池、污泥均质池、污泥脱水机房）</w:t>
            </w:r>
          </w:p>
        </w:tc>
        <w:tc>
          <w:tcPr>
            <w:tcW w:w="2837" w:type="dxa"/>
            <w:vAlign w:val="center"/>
          </w:tcPr>
          <w:p>
            <w:pPr>
              <w:jc w:val="center"/>
              <w:rPr>
                <w:b/>
                <w:color w:val="auto"/>
                <w:sz w:val="21"/>
                <w:szCs w:val="21"/>
              </w:rPr>
            </w:pPr>
            <w:r>
              <w:rPr>
                <w:b/>
                <w:color w:val="auto"/>
                <w:sz w:val="21"/>
                <w:szCs w:val="21"/>
              </w:rPr>
              <w:t>污染物</w:t>
            </w:r>
          </w:p>
        </w:tc>
        <w:tc>
          <w:tcPr>
            <w:tcW w:w="1843" w:type="dxa"/>
            <w:vAlign w:val="center"/>
          </w:tcPr>
          <w:p>
            <w:pPr>
              <w:jc w:val="center"/>
              <w:rPr>
                <w:b/>
                <w:color w:val="auto"/>
                <w:sz w:val="21"/>
                <w:szCs w:val="21"/>
              </w:rPr>
            </w:pPr>
            <w:r>
              <w:rPr>
                <w:b/>
                <w:color w:val="auto"/>
                <w:sz w:val="21"/>
                <w:szCs w:val="21"/>
              </w:rPr>
              <w:t>H</w:t>
            </w:r>
            <w:r>
              <w:rPr>
                <w:b/>
                <w:color w:val="auto"/>
                <w:sz w:val="21"/>
                <w:szCs w:val="21"/>
                <w:vertAlign w:val="subscript"/>
              </w:rPr>
              <w:t>2</w:t>
            </w:r>
            <w:r>
              <w:rPr>
                <w:b/>
                <w:color w:val="auto"/>
                <w:sz w:val="21"/>
                <w:szCs w:val="21"/>
              </w:rPr>
              <w:t>S</w:t>
            </w:r>
          </w:p>
        </w:tc>
        <w:tc>
          <w:tcPr>
            <w:tcW w:w="1751" w:type="dxa"/>
            <w:vAlign w:val="center"/>
          </w:tcPr>
          <w:p>
            <w:pPr>
              <w:jc w:val="center"/>
              <w:rPr>
                <w:b/>
                <w:color w:val="auto"/>
                <w:sz w:val="21"/>
                <w:szCs w:val="21"/>
              </w:rPr>
            </w:pPr>
            <w:r>
              <w:rPr>
                <w:b/>
                <w:color w:val="auto"/>
                <w:sz w:val="21"/>
                <w:szCs w:val="21"/>
              </w:rPr>
              <w:t>NH</w:t>
            </w:r>
            <w:r>
              <w:rPr>
                <w:b/>
                <w:color w:val="auto"/>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产生浓度（mg/m</w:t>
            </w:r>
            <w:r>
              <w:rPr>
                <w:color w:val="auto"/>
                <w:sz w:val="21"/>
                <w:szCs w:val="21"/>
                <w:vertAlign w:val="superscript"/>
              </w:rPr>
              <w:t>3</w:t>
            </w:r>
            <w:r>
              <w:rPr>
                <w:color w:val="auto"/>
                <w:sz w:val="21"/>
                <w:szCs w:val="21"/>
              </w:rPr>
              <w:t>）</w:t>
            </w:r>
          </w:p>
        </w:tc>
        <w:tc>
          <w:tcPr>
            <w:tcW w:w="1843" w:type="dxa"/>
            <w:vAlign w:val="center"/>
          </w:tcPr>
          <w:p>
            <w:pPr>
              <w:jc w:val="center"/>
              <w:rPr>
                <w:color w:val="auto"/>
                <w:sz w:val="21"/>
                <w:szCs w:val="21"/>
              </w:rPr>
            </w:pPr>
            <w:r>
              <w:rPr>
                <w:color w:val="auto"/>
                <w:sz w:val="21"/>
                <w:szCs w:val="21"/>
              </w:rPr>
              <w:t>30</w:t>
            </w:r>
          </w:p>
        </w:tc>
        <w:tc>
          <w:tcPr>
            <w:tcW w:w="1751" w:type="dxa"/>
            <w:vAlign w:val="center"/>
          </w:tcPr>
          <w:p>
            <w:pPr>
              <w:jc w:val="center"/>
              <w:rPr>
                <w:color w:val="auto"/>
                <w:sz w:val="21"/>
                <w:szCs w:val="21"/>
              </w:rPr>
            </w:pPr>
            <w:r>
              <w:rPr>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产生</w:t>
            </w:r>
            <w:r>
              <w:rPr>
                <w:rFonts w:hint="eastAsia"/>
                <w:color w:val="auto"/>
                <w:sz w:val="21"/>
                <w:szCs w:val="21"/>
              </w:rPr>
              <w:t>速率</w:t>
            </w:r>
            <w:r>
              <w:rPr>
                <w:color w:val="auto"/>
                <w:sz w:val="21"/>
                <w:szCs w:val="21"/>
              </w:rPr>
              <w:t>（kg/h）</w:t>
            </w:r>
          </w:p>
        </w:tc>
        <w:tc>
          <w:tcPr>
            <w:tcW w:w="1843" w:type="dxa"/>
            <w:vAlign w:val="center"/>
          </w:tcPr>
          <w:p>
            <w:pPr>
              <w:jc w:val="center"/>
              <w:rPr>
                <w:color w:val="auto"/>
                <w:sz w:val="21"/>
                <w:szCs w:val="21"/>
              </w:rPr>
            </w:pPr>
            <w:r>
              <w:rPr>
                <w:color w:val="auto"/>
                <w:sz w:val="21"/>
                <w:szCs w:val="21"/>
              </w:rPr>
              <w:t>0.66</w:t>
            </w:r>
          </w:p>
        </w:tc>
        <w:tc>
          <w:tcPr>
            <w:tcW w:w="1751" w:type="dxa"/>
            <w:vAlign w:val="center"/>
          </w:tcPr>
          <w:p>
            <w:pPr>
              <w:jc w:val="center"/>
              <w:rPr>
                <w:color w:val="auto"/>
                <w:sz w:val="21"/>
                <w:szCs w:val="21"/>
              </w:rPr>
            </w:pPr>
            <w:r>
              <w:rPr>
                <w:color w:val="auto"/>
                <w:sz w:val="21"/>
                <w:szCs w:val="21"/>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处理效率</w:t>
            </w:r>
          </w:p>
        </w:tc>
        <w:tc>
          <w:tcPr>
            <w:tcW w:w="1843" w:type="dxa"/>
            <w:vAlign w:val="center"/>
          </w:tcPr>
          <w:p>
            <w:pPr>
              <w:jc w:val="center"/>
              <w:rPr>
                <w:color w:val="auto"/>
                <w:sz w:val="21"/>
                <w:szCs w:val="21"/>
              </w:rPr>
            </w:pPr>
            <w:r>
              <w:rPr>
                <w:color w:val="auto"/>
                <w:sz w:val="21"/>
                <w:szCs w:val="21"/>
              </w:rPr>
              <w:t>99%</w:t>
            </w:r>
          </w:p>
        </w:tc>
        <w:tc>
          <w:tcPr>
            <w:tcW w:w="1751" w:type="dxa"/>
            <w:vAlign w:val="center"/>
          </w:tcPr>
          <w:p>
            <w:pPr>
              <w:jc w:val="center"/>
              <w:rPr>
                <w:color w:val="auto"/>
                <w:sz w:val="21"/>
                <w:szCs w:val="21"/>
              </w:rPr>
            </w:pPr>
            <w:r>
              <w:rPr>
                <w:color w:val="auto"/>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排放</w:t>
            </w:r>
            <w:r>
              <w:rPr>
                <w:rFonts w:hint="eastAsia"/>
                <w:color w:val="auto"/>
                <w:sz w:val="21"/>
                <w:szCs w:val="21"/>
              </w:rPr>
              <w:t>速率</w:t>
            </w:r>
            <w:r>
              <w:rPr>
                <w:color w:val="auto"/>
                <w:sz w:val="21"/>
                <w:szCs w:val="21"/>
              </w:rPr>
              <w:t>（kg/h）</w:t>
            </w:r>
          </w:p>
        </w:tc>
        <w:tc>
          <w:tcPr>
            <w:tcW w:w="1843" w:type="dxa"/>
            <w:vAlign w:val="center"/>
          </w:tcPr>
          <w:p>
            <w:pPr>
              <w:jc w:val="center"/>
              <w:rPr>
                <w:color w:val="auto"/>
                <w:sz w:val="21"/>
                <w:szCs w:val="21"/>
              </w:rPr>
            </w:pPr>
            <w:r>
              <w:rPr>
                <w:rFonts w:hint="eastAsia"/>
                <w:color w:val="auto"/>
                <w:sz w:val="21"/>
                <w:szCs w:val="21"/>
              </w:rPr>
              <w:t>0.0066</w:t>
            </w:r>
          </w:p>
        </w:tc>
        <w:tc>
          <w:tcPr>
            <w:tcW w:w="1751" w:type="dxa"/>
            <w:vAlign w:val="center"/>
          </w:tcPr>
          <w:p>
            <w:pPr>
              <w:jc w:val="center"/>
              <w:rPr>
                <w:color w:val="auto"/>
                <w:sz w:val="21"/>
                <w:szCs w:val="21"/>
              </w:rPr>
            </w:pPr>
            <w:r>
              <w:rPr>
                <w:rFonts w:hint="eastAsia"/>
                <w:color w:val="auto"/>
                <w:sz w:val="21"/>
                <w:szCs w:val="21"/>
              </w:rPr>
              <w:t>0.0220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Merge w:val="continue"/>
            <w:vAlign w:val="center"/>
          </w:tcPr>
          <w:p>
            <w:pPr>
              <w:jc w:val="center"/>
              <w:rPr>
                <w:color w:val="auto"/>
                <w:sz w:val="21"/>
                <w:szCs w:val="21"/>
              </w:rPr>
            </w:pPr>
          </w:p>
        </w:tc>
        <w:tc>
          <w:tcPr>
            <w:tcW w:w="2837" w:type="dxa"/>
            <w:vAlign w:val="center"/>
          </w:tcPr>
          <w:p>
            <w:pPr>
              <w:jc w:val="center"/>
              <w:rPr>
                <w:color w:val="auto"/>
                <w:sz w:val="21"/>
                <w:szCs w:val="21"/>
              </w:rPr>
            </w:pPr>
            <w:r>
              <w:rPr>
                <w:color w:val="auto"/>
                <w:sz w:val="21"/>
                <w:szCs w:val="21"/>
              </w:rPr>
              <w:t>排放浓度（mg/m</w:t>
            </w:r>
            <w:r>
              <w:rPr>
                <w:color w:val="auto"/>
                <w:sz w:val="21"/>
                <w:szCs w:val="21"/>
                <w:vertAlign w:val="superscript"/>
              </w:rPr>
              <w:t>3</w:t>
            </w:r>
            <w:r>
              <w:rPr>
                <w:color w:val="auto"/>
                <w:sz w:val="21"/>
                <w:szCs w:val="21"/>
              </w:rPr>
              <w:t>）</w:t>
            </w:r>
          </w:p>
        </w:tc>
        <w:tc>
          <w:tcPr>
            <w:tcW w:w="1843" w:type="dxa"/>
            <w:vAlign w:val="center"/>
          </w:tcPr>
          <w:p>
            <w:pPr>
              <w:jc w:val="center"/>
              <w:rPr>
                <w:color w:val="auto"/>
                <w:sz w:val="21"/>
                <w:szCs w:val="21"/>
              </w:rPr>
            </w:pPr>
            <w:r>
              <w:rPr>
                <w:rFonts w:hint="eastAsia"/>
                <w:color w:val="auto"/>
                <w:sz w:val="21"/>
                <w:szCs w:val="21"/>
              </w:rPr>
              <w:t>0.30</w:t>
            </w:r>
          </w:p>
        </w:tc>
        <w:tc>
          <w:tcPr>
            <w:tcW w:w="1751" w:type="dxa"/>
            <w:vAlign w:val="center"/>
          </w:tcPr>
          <w:p>
            <w:pPr>
              <w:jc w:val="center"/>
              <w:rPr>
                <w:color w:val="auto"/>
                <w:sz w:val="21"/>
                <w:szCs w:val="21"/>
              </w:rPr>
            </w:pPr>
            <w:r>
              <w:rPr>
                <w:rFonts w:hint="eastAsia"/>
                <w:color w:val="auto"/>
                <w:sz w:val="21"/>
                <w:szCs w:val="21"/>
              </w:rPr>
              <w:t>1.00</w:t>
            </w:r>
          </w:p>
        </w:tc>
      </w:tr>
    </w:tbl>
    <w:p>
      <w:pPr>
        <w:spacing w:line="360" w:lineRule="auto"/>
        <w:ind w:firstLine="480" w:firstLineChars="200"/>
        <w:jc w:val="left"/>
        <w:rPr>
          <w:color w:val="auto"/>
          <w:sz w:val="24"/>
          <w:szCs w:val="24"/>
        </w:rPr>
      </w:pPr>
      <w:r>
        <w:rPr>
          <w:rFonts w:hint="eastAsia"/>
          <w:color w:val="auto"/>
          <w:sz w:val="24"/>
          <w:szCs w:val="24"/>
        </w:rPr>
        <w:t>（2）无组织恶臭</w:t>
      </w:r>
    </w:p>
    <w:p>
      <w:pPr>
        <w:spacing w:line="360" w:lineRule="auto"/>
        <w:ind w:firstLine="480" w:firstLineChars="200"/>
        <w:jc w:val="left"/>
        <w:rPr>
          <w:color w:val="auto"/>
          <w:sz w:val="24"/>
          <w:szCs w:val="24"/>
        </w:rPr>
      </w:pPr>
      <w:r>
        <w:rPr>
          <w:rFonts w:hint="eastAsia"/>
          <w:color w:val="auto"/>
          <w:sz w:val="24"/>
          <w:szCs w:val="24"/>
        </w:rPr>
        <w:t>本项目无组织恶臭排放源主要为生化处理单元，生化处理区恶臭排放强度参考高粱坪园区污水处理厂项目（其污水处理量为0.6万m</w:t>
      </w:r>
      <w:r>
        <w:rPr>
          <w:rFonts w:hint="eastAsia"/>
          <w:color w:val="auto"/>
          <w:sz w:val="24"/>
          <w:szCs w:val="24"/>
          <w:vertAlign w:val="superscript"/>
        </w:rPr>
        <w:t>3</w:t>
      </w:r>
      <w:r>
        <w:rPr>
          <w:rFonts w:hint="eastAsia"/>
          <w:color w:val="auto"/>
          <w:sz w:val="24"/>
          <w:szCs w:val="24"/>
        </w:rPr>
        <w:t>/d，生化处理工艺为高级氧化+A/O生化处理，由厌缺氧区和好氧区构成，生化处理单元同本项目相似），厌、缺氧区的H</w:t>
      </w:r>
      <w:r>
        <w:rPr>
          <w:rFonts w:hint="eastAsia"/>
          <w:color w:val="auto"/>
          <w:sz w:val="24"/>
          <w:szCs w:val="24"/>
          <w:vertAlign w:val="subscript"/>
        </w:rPr>
        <w:t>2</w:t>
      </w:r>
      <w:r>
        <w:rPr>
          <w:rFonts w:hint="eastAsia"/>
          <w:color w:val="auto"/>
          <w:sz w:val="24"/>
          <w:szCs w:val="24"/>
        </w:rPr>
        <w:t>S无组织单位排放强度为0.00026mg/（s.m</w:t>
      </w:r>
      <w:r>
        <w:rPr>
          <w:rFonts w:hint="eastAsia"/>
          <w:color w:val="auto"/>
          <w:sz w:val="24"/>
          <w:szCs w:val="24"/>
          <w:vertAlign w:val="superscript"/>
        </w:rPr>
        <w:t>2</w:t>
      </w:r>
      <w:r>
        <w:rPr>
          <w:rFonts w:hint="eastAsia"/>
          <w:color w:val="auto"/>
          <w:sz w:val="24"/>
          <w:szCs w:val="24"/>
        </w:rPr>
        <w:t>），NH</w:t>
      </w:r>
      <w:r>
        <w:rPr>
          <w:rFonts w:hint="eastAsia"/>
          <w:color w:val="auto"/>
          <w:sz w:val="24"/>
          <w:szCs w:val="24"/>
          <w:vertAlign w:val="subscript"/>
        </w:rPr>
        <w:t>3</w:t>
      </w:r>
      <w:r>
        <w:rPr>
          <w:rFonts w:hint="eastAsia"/>
          <w:color w:val="auto"/>
          <w:sz w:val="24"/>
          <w:szCs w:val="24"/>
        </w:rPr>
        <w:t>-N的排放系数为0.000087mg/（s.m</w:t>
      </w:r>
      <w:r>
        <w:rPr>
          <w:rFonts w:hint="eastAsia"/>
          <w:color w:val="auto"/>
          <w:sz w:val="24"/>
          <w:szCs w:val="24"/>
          <w:vertAlign w:val="superscript"/>
        </w:rPr>
        <w:t>2</w:t>
      </w:r>
      <w:r>
        <w:rPr>
          <w:rFonts w:hint="eastAsia"/>
          <w:color w:val="auto"/>
          <w:sz w:val="24"/>
          <w:szCs w:val="24"/>
        </w:rPr>
        <w:t>）；好氧区的H</w:t>
      </w:r>
      <w:r>
        <w:rPr>
          <w:rFonts w:hint="eastAsia"/>
          <w:color w:val="auto"/>
          <w:sz w:val="24"/>
          <w:szCs w:val="24"/>
          <w:vertAlign w:val="subscript"/>
        </w:rPr>
        <w:t>2</w:t>
      </w:r>
      <w:r>
        <w:rPr>
          <w:rFonts w:hint="eastAsia"/>
          <w:color w:val="auto"/>
          <w:sz w:val="24"/>
          <w:szCs w:val="24"/>
        </w:rPr>
        <w:t>S无组织单位排放强度为5.9×10</w:t>
      </w:r>
      <w:r>
        <w:rPr>
          <w:rFonts w:hint="eastAsia"/>
          <w:color w:val="auto"/>
          <w:sz w:val="24"/>
          <w:szCs w:val="24"/>
          <w:vertAlign w:val="superscript"/>
        </w:rPr>
        <w:t>-5</w:t>
      </w:r>
      <w:r>
        <w:rPr>
          <w:rFonts w:hint="eastAsia"/>
          <w:color w:val="auto"/>
          <w:sz w:val="24"/>
          <w:szCs w:val="24"/>
        </w:rPr>
        <w:t>mg/（s.m</w:t>
      </w:r>
      <w:r>
        <w:rPr>
          <w:rFonts w:hint="eastAsia"/>
          <w:color w:val="auto"/>
          <w:sz w:val="24"/>
          <w:szCs w:val="24"/>
          <w:vertAlign w:val="superscript"/>
        </w:rPr>
        <w:t>2</w:t>
      </w:r>
      <w:r>
        <w:rPr>
          <w:rFonts w:hint="eastAsia"/>
          <w:color w:val="auto"/>
          <w:sz w:val="24"/>
          <w:szCs w:val="24"/>
        </w:rPr>
        <w:t>），NH</w:t>
      </w:r>
      <w:r>
        <w:rPr>
          <w:rFonts w:hint="eastAsia"/>
          <w:color w:val="auto"/>
          <w:sz w:val="24"/>
          <w:szCs w:val="24"/>
          <w:vertAlign w:val="subscript"/>
        </w:rPr>
        <w:t>3</w:t>
      </w:r>
      <w:r>
        <w:rPr>
          <w:rFonts w:hint="eastAsia"/>
          <w:color w:val="auto"/>
          <w:sz w:val="24"/>
          <w:szCs w:val="24"/>
        </w:rPr>
        <w:t>-N的排放系数为2.0×10</w:t>
      </w:r>
      <w:r>
        <w:rPr>
          <w:rFonts w:hint="eastAsia"/>
          <w:color w:val="auto"/>
          <w:sz w:val="24"/>
          <w:szCs w:val="24"/>
          <w:vertAlign w:val="superscript"/>
        </w:rPr>
        <w:t>-5</w:t>
      </w:r>
      <w:r>
        <w:rPr>
          <w:rFonts w:hint="eastAsia"/>
          <w:color w:val="auto"/>
          <w:sz w:val="24"/>
          <w:szCs w:val="24"/>
        </w:rPr>
        <w:t>mg/（s.m</w:t>
      </w:r>
      <w:r>
        <w:rPr>
          <w:rFonts w:hint="eastAsia"/>
          <w:color w:val="auto"/>
          <w:sz w:val="24"/>
          <w:szCs w:val="24"/>
          <w:vertAlign w:val="superscript"/>
        </w:rPr>
        <w:t>2</w:t>
      </w:r>
      <w:r>
        <w:rPr>
          <w:rFonts w:hint="eastAsia"/>
          <w:color w:val="auto"/>
          <w:sz w:val="24"/>
          <w:szCs w:val="24"/>
        </w:rPr>
        <w:t>）。根据上述参数，本项目建成后生化处理区恶臭气体产生情况如下表所示。</w:t>
      </w:r>
    </w:p>
    <w:p>
      <w:pPr>
        <w:spacing w:line="360" w:lineRule="auto"/>
        <w:jc w:val="center"/>
        <w:rPr>
          <w:b/>
          <w:color w:val="auto"/>
          <w:sz w:val="24"/>
          <w:szCs w:val="24"/>
        </w:rPr>
      </w:pPr>
      <w:r>
        <w:rPr>
          <w:rFonts w:hint="eastAsia"/>
          <w:b/>
          <w:color w:val="auto"/>
          <w:sz w:val="24"/>
          <w:szCs w:val="24"/>
        </w:rPr>
        <w:t>表3-6-7  本项目无组织恶臭污染物产生情况一览表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jc w:val="center"/>
              <w:rPr>
                <w:b/>
                <w:color w:val="auto"/>
                <w:sz w:val="21"/>
                <w:szCs w:val="21"/>
              </w:rPr>
            </w:pPr>
            <w:r>
              <w:rPr>
                <w:rFonts w:hint="eastAsia"/>
                <w:b/>
                <w:color w:val="auto"/>
                <w:sz w:val="21"/>
                <w:szCs w:val="21"/>
              </w:rPr>
              <w:t>构筑物名称</w:t>
            </w:r>
          </w:p>
        </w:tc>
        <w:tc>
          <w:tcPr>
            <w:tcW w:w="1420" w:type="dxa"/>
            <w:vMerge w:val="restart"/>
            <w:vAlign w:val="center"/>
          </w:tcPr>
          <w:p>
            <w:pPr>
              <w:jc w:val="center"/>
              <w:rPr>
                <w:b/>
                <w:color w:val="auto"/>
                <w:sz w:val="21"/>
                <w:szCs w:val="21"/>
              </w:rPr>
            </w:pPr>
            <w:r>
              <w:rPr>
                <w:rFonts w:hint="eastAsia"/>
                <w:b/>
                <w:color w:val="auto"/>
                <w:sz w:val="21"/>
                <w:szCs w:val="21"/>
              </w:rPr>
              <w:t>建筑面积（m</w:t>
            </w:r>
            <w:r>
              <w:rPr>
                <w:rFonts w:hint="eastAsia"/>
                <w:b/>
                <w:color w:val="auto"/>
                <w:sz w:val="21"/>
                <w:szCs w:val="21"/>
                <w:vertAlign w:val="superscript"/>
              </w:rPr>
              <w:t>2</w:t>
            </w:r>
            <w:r>
              <w:rPr>
                <w:rFonts w:hint="eastAsia"/>
                <w:b/>
                <w:color w:val="auto"/>
                <w:sz w:val="21"/>
                <w:szCs w:val="21"/>
              </w:rPr>
              <w:t>）</w:t>
            </w:r>
          </w:p>
        </w:tc>
        <w:tc>
          <w:tcPr>
            <w:tcW w:w="2840" w:type="dxa"/>
            <w:gridSpan w:val="2"/>
            <w:vAlign w:val="center"/>
          </w:tcPr>
          <w:p>
            <w:pPr>
              <w:jc w:val="center"/>
              <w:rPr>
                <w:b/>
                <w:color w:val="auto"/>
                <w:sz w:val="21"/>
                <w:szCs w:val="21"/>
              </w:rPr>
            </w:pPr>
            <w:r>
              <w:rPr>
                <w:rFonts w:hint="eastAsia"/>
                <w:b/>
                <w:color w:val="auto"/>
                <w:sz w:val="21"/>
                <w:szCs w:val="21"/>
              </w:rPr>
              <w:t>H</w:t>
            </w:r>
            <w:r>
              <w:rPr>
                <w:rFonts w:hint="eastAsia"/>
                <w:b/>
                <w:color w:val="auto"/>
                <w:sz w:val="21"/>
                <w:szCs w:val="21"/>
                <w:vertAlign w:val="subscript"/>
              </w:rPr>
              <w:t>2</w:t>
            </w:r>
            <w:r>
              <w:rPr>
                <w:rFonts w:hint="eastAsia"/>
                <w:b/>
                <w:color w:val="auto"/>
                <w:sz w:val="21"/>
                <w:szCs w:val="21"/>
              </w:rPr>
              <w:t>S</w:t>
            </w:r>
          </w:p>
        </w:tc>
        <w:tc>
          <w:tcPr>
            <w:tcW w:w="2842" w:type="dxa"/>
            <w:gridSpan w:val="2"/>
            <w:vAlign w:val="center"/>
          </w:tcPr>
          <w:p>
            <w:pPr>
              <w:jc w:val="center"/>
              <w:rPr>
                <w:b/>
                <w:color w:val="auto"/>
                <w:sz w:val="21"/>
                <w:szCs w:val="21"/>
              </w:rPr>
            </w:pPr>
            <w:r>
              <w:rPr>
                <w:rFonts w:hint="eastAsia"/>
                <w:b/>
                <w:color w:val="auto"/>
                <w:sz w:val="21"/>
                <w:szCs w:val="21"/>
              </w:rPr>
              <w:t>NH</w:t>
            </w:r>
            <w:r>
              <w:rPr>
                <w:rFonts w:hint="eastAsia"/>
                <w:b/>
                <w:color w:val="auto"/>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jc w:val="center"/>
              <w:rPr>
                <w:b/>
                <w:color w:val="auto"/>
                <w:sz w:val="21"/>
                <w:szCs w:val="21"/>
              </w:rPr>
            </w:pPr>
          </w:p>
        </w:tc>
        <w:tc>
          <w:tcPr>
            <w:tcW w:w="1420" w:type="dxa"/>
            <w:vMerge w:val="continue"/>
            <w:vAlign w:val="center"/>
          </w:tcPr>
          <w:p>
            <w:pPr>
              <w:jc w:val="center"/>
              <w:rPr>
                <w:b/>
                <w:color w:val="auto"/>
                <w:sz w:val="21"/>
                <w:szCs w:val="21"/>
              </w:rPr>
            </w:pPr>
          </w:p>
        </w:tc>
        <w:tc>
          <w:tcPr>
            <w:tcW w:w="1420" w:type="dxa"/>
            <w:vAlign w:val="center"/>
          </w:tcPr>
          <w:p>
            <w:pPr>
              <w:jc w:val="center"/>
              <w:rPr>
                <w:b/>
                <w:color w:val="auto"/>
                <w:sz w:val="21"/>
                <w:szCs w:val="21"/>
              </w:rPr>
            </w:pPr>
            <w:r>
              <w:rPr>
                <w:rFonts w:hint="eastAsia"/>
                <w:b/>
                <w:color w:val="auto"/>
                <w:sz w:val="21"/>
                <w:szCs w:val="21"/>
              </w:rPr>
              <w:t>排放系数</w:t>
            </w:r>
          </w:p>
          <w:p>
            <w:pPr>
              <w:jc w:val="center"/>
              <w:rPr>
                <w:b/>
                <w:color w:val="auto"/>
                <w:sz w:val="21"/>
                <w:szCs w:val="21"/>
              </w:rPr>
            </w:pPr>
            <w:r>
              <w:rPr>
                <w:b/>
                <w:color w:val="auto"/>
                <w:sz w:val="21"/>
                <w:szCs w:val="21"/>
              </w:rPr>
              <w:t>mg/</w:t>
            </w:r>
            <w:r>
              <w:rPr>
                <w:rFonts w:hint="eastAsia"/>
                <w:b/>
                <w:color w:val="auto"/>
                <w:sz w:val="21"/>
                <w:szCs w:val="21"/>
              </w:rPr>
              <w:t>（</w:t>
            </w:r>
            <w:r>
              <w:rPr>
                <w:b/>
                <w:color w:val="auto"/>
                <w:sz w:val="21"/>
                <w:szCs w:val="21"/>
              </w:rPr>
              <w:t>s.m</w:t>
            </w:r>
            <w:r>
              <w:rPr>
                <w:b/>
                <w:color w:val="auto"/>
                <w:sz w:val="21"/>
                <w:szCs w:val="21"/>
                <w:vertAlign w:val="superscript"/>
              </w:rPr>
              <w:t>2</w:t>
            </w:r>
            <w:r>
              <w:rPr>
                <w:rFonts w:hint="eastAsia"/>
                <w:b/>
                <w:color w:val="auto"/>
                <w:sz w:val="21"/>
                <w:szCs w:val="21"/>
              </w:rPr>
              <w:t>）</w:t>
            </w:r>
          </w:p>
        </w:tc>
        <w:tc>
          <w:tcPr>
            <w:tcW w:w="1420" w:type="dxa"/>
            <w:vAlign w:val="center"/>
          </w:tcPr>
          <w:p>
            <w:pPr>
              <w:jc w:val="center"/>
              <w:rPr>
                <w:b/>
                <w:color w:val="auto"/>
                <w:sz w:val="21"/>
                <w:szCs w:val="21"/>
              </w:rPr>
            </w:pPr>
            <w:r>
              <w:rPr>
                <w:rFonts w:hint="eastAsia"/>
                <w:b/>
                <w:color w:val="auto"/>
                <w:sz w:val="21"/>
                <w:szCs w:val="21"/>
              </w:rPr>
              <w:t>产生速率</w:t>
            </w:r>
          </w:p>
          <w:p>
            <w:pPr>
              <w:jc w:val="center"/>
              <w:rPr>
                <w:b/>
                <w:color w:val="auto"/>
                <w:sz w:val="21"/>
                <w:szCs w:val="21"/>
              </w:rPr>
            </w:pPr>
            <w:r>
              <w:rPr>
                <w:b/>
                <w:color w:val="auto"/>
                <w:sz w:val="21"/>
                <w:szCs w:val="21"/>
              </w:rPr>
              <w:t>kg/h</w:t>
            </w:r>
          </w:p>
        </w:tc>
        <w:tc>
          <w:tcPr>
            <w:tcW w:w="1421" w:type="dxa"/>
            <w:vAlign w:val="center"/>
          </w:tcPr>
          <w:p>
            <w:pPr>
              <w:jc w:val="center"/>
              <w:rPr>
                <w:b/>
                <w:color w:val="auto"/>
                <w:sz w:val="21"/>
                <w:szCs w:val="21"/>
              </w:rPr>
            </w:pPr>
            <w:r>
              <w:rPr>
                <w:rFonts w:hint="eastAsia"/>
                <w:b/>
                <w:color w:val="auto"/>
                <w:sz w:val="21"/>
                <w:szCs w:val="21"/>
              </w:rPr>
              <w:t>排放系数</w:t>
            </w:r>
          </w:p>
          <w:p>
            <w:pPr>
              <w:jc w:val="center"/>
              <w:rPr>
                <w:b/>
                <w:color w:val="auto"/>
                <w:sz w:val="21"/>
                <w:szCs w:val="21"/>
              </w:rPr>
            </w:pPr>
            <w:r>
              <w:rPr>
                <w:b/>
                <w:color w:val="auto"/>
                <w:sz w:val="21"/>
                <w:szCs w:val="21"/>
              </w:rPr>
              <w:t>mg/</w:t>
            </w:r>
            <w:r>
              <w:rPr>
                <w:rFonts w:hint="eastAsia"/>
                <w:b/>
                <w:color w:val="auto"/>
                <w:sz w:val="21"/>
                <w:szCs w:val="21"/>
              </w:rPr>
              <w:t>（</w:t>
            </w:r>
            <w:r>
              <w:rPr>
                <w:b/>
                <w:color w:val="auto"/>
                <w:sz w:val="21"/>
                <w:szCs w:val="21"/>
              </w:rPr>
              <w:t>s.m</w:t>
            </w:r>
            <w:r>
              <w:rPr>
                <w:b/>
                <w:color w:val="auto"/>
                <w:sz w:val="21"/>
                <w:szCs w:val="21"/>
                <w:vertAlign w:val="superscript"/>
              </w:rPr>
              <w:t>2</w:t>
            </w:r>
            <w:r>
              <w:rPr>
                <w:rFonts w:hint="eastAsia"/>
                <w:b/>
                <w:color w:val="auto"/>
                <w:sz w:val="21"/>
                <w:szCs w:val="21"/>
              </w:rPr>
              <w:t>）</w:t>
            </w:r>
          </w:p>
        </w:tc>
        <w:tc>
          <w:tcPr>
            <w:tcW w:w="1421" w:type="dxa"/>
            <w:vAlign w:val="center"/>
          </w:tcPr>
          <w:p>
            <w:pPr>
              <w:jc w:val="center"/>
              <w:rPr>
                <w:b/>
                <w:color w:val="auto"/>
                <w:sz w:val="21"/>
                <w:szCs w:val="21"/>
              </w:rPr>
            </w:pPr>
            <w:r>
              <w:rPr>
                <w:rFonts w:hint="eastAsia"/>
                <w:b/>
                <w:color w:val="auto"/>
                <w:sz w:val="21"/>
                <w:szCs w:val="21"/>
              </w:rPr>
              <w:t>产生速率</w:t>
            </w:r>
          </w:p>
          <w:p>
            <w:pPr>
              <w:jc w:val="center"/>
              <w:rPr>
                <w:b/>
                <w:color w:val="auto"/>
                <w:sz w:val="21"/>
                <w:szCs w:val="21"/>
              </w:rPr>
            </w:pPr>
            <w:r>
              <w:rPr>
                <w:b/>
                <w:color w:val="auto"/>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jc w:val="center"/>
              <w:rPr>
                <w:color w:val="auto"/>
                <w:sz w:val="21"/>
                <w:szCs w:val="21"/>
              </w:rPr>
            </w:pPr>
            <w:r>
              <w:rPr>
                <w:rFonts w:hint="eastAsia"/>
                <w:color w:val="auto"/>
                <w:sz w:val="21"/>
                <w:szCs w:val="21"/>
              </w:rPr>
              <w:t>好氧区</w:t>
            </w:r>
          </w:p>
        </w:tc>
        <w:tc>
          <w:tcPr>
            <w:tcW w:w="1420" w:type="dxa"/>
            <w:vAlign w:val="center"/>
          </w:tcPr>
          <w:p>
            <w:pPr>
              <w:jc w:val="center"/>
              <w:rPr>
                <w:color w:val="auto"/>
                <w:sz w:val="21"/>
                <w:szCs w:val="21"/>
              </w:rPr>
            </w:pPr>
            <w:r>
              <w:rPr>
                <w:rFonts w:hint="eastAsia"/>
                <w:color w:val="auto"/>
                <w:sz w:val="21"/>
                <w:szCs w:val="21"/>
              </w:rPr>
              <w:t>634.7</w:t>
            </w:r>
          </w:p>
        </w:tc>
        <w:tc>
          <w:tcPr>
            <w:tcW w:w="1420" w:type="dxa"/>
            <w:vAlign w:val="center"/>
          </w:tcPr>
          <w:p>
            <w:pPr>
              <w:jc w:val="center"/>
              <w:rPr>
                <w:color w:val="auto"/>
                <w:sz w:val="21"/>
                <w:szCs w:val="21"/>
              </w:rPr>
            </w:pPr>
            <w:r>
              <w:rPr>
                <w:rFonts w:hint="eastAsia"/>
                <w:color w:val="auto"/>
                <w:sz w:val="21"/>
                <w:szCs w:val="21"/>
              </w:rPr>
              <w:t>5.9×10</w:t>
            </w:r>
            <w:r>
              <w:rPr>
                <w:rFonts w:hint="eastAsia"/>
                <w:color w:val="auto"/>
                <w:sz w:val="21"/>
                <w:szCs w:val="21"/>
                <w:vertAlign w:val="superscript"/>
              </w:rPr>
              <w:t>-5</w:t>
            </w:r>
          </w:p>
        </w:tc>
        <w:tc>
          <w:tcPr>
            <w:tcW w:w="1420" w:type="dxa"/>
            <w:vAlign w:val="center"/>
          </w:tcPr>
          <w:p>
            <w:pPr>
              <w:jc w:val="center"/>
              <w:rPr>
                <w:rFonts w:ascii="宋体" w:hAnsi="宋体" w:cs="宋体"/>
                <w:color w:val="auto"/>
                <w:sz w:val="21"/>
                <w:szCs w:val="21"/>
              </w:rPr>
            </w:pPr>
            <w:r>
              <w:rPr>
                <w:rFonts w:hint="eastAsia"/>
                <w:color w:val="auto"/>
                <w:sz w:val="21"/>
                <w:szCs w:val="21"/>
              </w:rPr>
              <w:t>0.000135</w:t>
            </w:r>
          </w:p>
        </w:tc>
        <w:tc>
          <w:tcPr>
            <w:tcW w:w="1421" w:type="dxa"/>
            <w:vAlign w:val="center"/>
          </w:tcPr>
          <w:p>
            <w:pPr>
              <w:jc w:val="center"/>
              <w:rPr>
                <w:color w:val="auto"/>
                <w:sz w:val="21"/>
                <w:szCs w:val="21"/>
              </w:rPr>
            </w:pPr>
            <w:r>
              <w:rPr>
                <w:rFonts w:hint="eastAsia"/>
                <w:color w:val="auto"/>
                <w:sz w:val="21"/>
                <w:szCs w:val="21"/>
              </w:rPr>
              <w:t>2.0×10</w:t>
            </w:r>
            <w:r>
              <w:rPr>
                <w:rFonts w:hint="eastAsia"/>
                <w:color w:val="auto"/>
                <w:sz w:val="21"/>
                <w:szCs w:val="21"/>
                <w:vertAlign w:val="superscript"/>
              </w:rPr>
              <w:t>-5</w:t>
            </w:r>
          </w:p>
        </w:tc>
        <w:tc>
          <w:tcPr>
            <w:tcW w:w="1421" w:type="dxa"/>
            <w:vAlign w:val="center"/>
          </w:tcPr>
          <w:p>
            <w:pPr>
              <w:jc w:val="center"/>
              <w:rPr>
                <w:rFonts w:ascii="宋体" w:hAnsi="宋体" w:cs="宋体"/>
                <w:color w:val="auto"/>
                <w:sz w:val="21"/>
                <w:szCs w:val="21"/>
              </w:rPr>
            </w:pPr>
            <w:r>
              <w:rPr>
                <w:rFonts w:hint="eastAsia"/>
                <w:color w:val="auto"/>
                <w:sz w:val="21"/>
                <w:szCs w:val="21"/>
              </w:rPr>
              <w:t>0.000046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jc w:val="center"/>
              <w:rPr>
                <w:color w:val="auto"/>
                <w:sz w:val="21"/>
                <w:szCs w:val="21"/>
              </w:rPr>
            </w:pPr>
            <w:r>
              <w:rPr>
                <w:rFonts w:hint="eastAsia"/>
                <w:color w:val="auto"/>
                <w:sz w:val="21"/>
                <w:szCs w:val="21"/>
              </w:rPr>
              <w:t>缺氧区</w:t>
            </w:r>
          </w:p>
        </w:tc>
        <w:tc>
          <w:tcPr>
            <w:tcW w:w="1420" w:type="dxa"/>
            <w:vAlign w:val="center"/>
          </w:tcPr>
          <w:p>
            <w:pPr>
              <w:jc w:val="center"/>
              <w:rPr>
                <w:color w:val="auto"/>
                <w:sz w:val="21"/>
                <w:szCs w:val="21"/>
              </w:rPr>
            </w:pPr>
            <w:r>
              <w:rPr>
                <w:rFonts w:hint="eastAsia"/>
                <w:color w:val="auto"/>
                <w:sz w:val="21"/>
                <w:szCs w:val="21"/>
              </w:rPr>
              <w:t>415.8</w:t>
            </w:r>
          </w:p>
        </w:tc>
        <w:tc>
          <w:tcPr>
            <w:tcW w:w="1420" w:type="dxa"/>
            <w:vAlign w:val="center"/>
          </w:tcPr>
          <w:p>
            <w:pPr>
              <w:jc w:val="center"/>
              <w:rPr>
                <w:color w:val="auto"/>
                <w:sz w:val="21"/>
                <w:szCs w:val="21"/>
              </w:rPr>
            </w:pPr>
            <w:r>
              <w:rPr>
                <w:rFonts w:hint="eastAsia"/>
                <w:color w:val="auto"/>
                <w:sz w:val="21"/>
                <w:szCs w:val="21"/>
              </w:rPr>
              <w:t>0.00026</w:t>
            </w:r>
          </w:p>
        </w:tc>
        <w:tc>
          <w:tcPr>
            <w:tcW w:w="1420" w:type="dxa"/>
            <w:vAlign w:val="center"/>
          </w:tcPr>
          <w:p>
            <w:pPr>
              <w:jc w:val="center"/>
              <w:rPr>
                <w:rFonts w:ascii="宋体" w:hAnsi="宋体" w:cs="宋体"/>
                <w:color w:val="auto"/>
                <w:sz w:val="21"/>
                <w:szCs w:val="21"/>
              </w:rPr>
            </w:pPr>
            <w:r>
              <w:rPr>
                <w:rFonts w:hint="eastAsia"/>
                <w:color w:val="auto"/>
                <w:sz w:val="21"/>
                <w:szCs w:val="21"/>
              </w:rPr>
              <w:t>0.000389</w:t>
            </w:r>
          </w:p>
        </w:tc>
        <w:tc>
          <w:tcPr>
            <w:tcW w:w="1421" w:type="dxa"/>
            <w:vAlign w:val="center"/>
          </w:tcPr>
          <w:p>
            <w:pPr>
              <w:jc w:val="center"/>
              <w:rPr>
                <w:color w:val="auto"/>
                <w:sz w:val="21"/>
                <w:szCs w:val="21"/>
              </w:rPr>
            </w:pPr>
            <w:r>
              <w:rPr>
                <w:rFonts w:hint="eastAsia"/>
                <w:color w:val="auto"/>
                <w:sz w:val="21"/>
                <w:szCs w:val="21"/>
              </w:rPr>
              <w:t>0.000087</w:t>
            </w:r>
          </w:p>
        </w:tc>
        <w:tc>
          <w:tcPr>
            <w:tcW w:w="1421" w:type="dxa"/>
            <w:vAlign w:val="center"/>
          </w:tcPr>
          <w:p>
            <w:pPr>
              <w:jc w:val="center"/>
              <w:rPr>
                <w:rFonts w:ascii="宋体" w:hAnsi="宋体" w:cs="宋体"/>
                <w:color w:val="auto"/>
                <w:sz w:val="21"/>
                <w:szCs w:val="21"/>
              </w:rPr>
            </w:pPr>
            <w:r>
              <w:rPr>
                <w:rFonts w:hint="eastAsia"/>
                <w:color w:val="auto"/>
                <w:sz w:val="21"/>
                <w:szCs w:val="21"/>
              </w:rPr>
              <w:t>0.000130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jc w:val="center"/>
              <w:rPr>
                <w:color w:val="auto"/>
                <w:sz w:val="21"/>
                <w:szCs w:val="21"/>
              </w:rPr>
            </w:pPr>
            <w:r>
              <w:rPr>
                <w:rFonts w:hint="eastAsia"/>
                <w:color w:val="auto"/>
                <w:sz w:val="21"/>
                <w:szCs w:val="21"/>
              </w:rPr>
              <w:t>厌氧区</w:t>
            </w:r>
          </w:p>
        </w:tc>
        <w:tc>
          <w:tcPr>
            <w:tcW w:w="1420" w:type="dxa"/>
            <w:vAlign w:val="center"/>
          </w:tcPr>
          <w:p>
            <w:pPr>
              <w:jc w:val="center"/>
              <w:rPr>
                <w:color w:val="auto"/>
                <w:sz w:val="21"/>
                <w:szCs w:val="21"/>
              </w:rPr>
            </w:pPr>
            <w:r>
              <w:rPr>
                <w:rFonts w:hint="eastAsia"/>
                <w:color w:val="auto"/>
                <w:sz w:val="21"/>
                <w:szCs w:val="21"/>
              </w:rPr>
              <w:t>60.5</w:t>
            </w:r>
          </w:p>
        </w:tc>
        <w:tc>
          <w:tcPr>
            <w:tcW w:w="1420" w:type="dxa"/>
            <w:vAlign w:val="center"/>
          </w:tcPr>
          <w:p>
            <w:pPr>
              <w:jc w:val="center"/>
              <w:rPr>
                <w:color w:val="auto"/>
                <w:sz w:val="21"/>
                <w:szCs w:val="21"/>
              </w:rPr>
            </w:pPr>
            <w:r>
              <w:rPr>
                <w:rFonts w:hint="eastAsia"/>
                <w:color w:val="auto"/>
                <w:sz w:val="21"/>
                <w:szCs w:val="21"/>
              </w:rPr>
              <w:t>0.00026</w:t>
            </w:r>
          </w:p>
        </w:tc>
        <w:tc>
          <w:tcPr>
            <w:tcW w:w="1420" w:type="dxa"/>
            <w:vAlign w:val="center"/>
          </w:tcPr>
          <w:p>
            <w:pPr>
              <w:jc w:val="center"/>
              <w:rPr>
                <w:rFonts w:ascii="宋体" w:hAnsi="宋体" w:cs="宋体"/>
                <w:color w:val="auto"/>
                <w:sz w:val="21"/>
                <w:szCs w:val="21"/>
              </w:rPr>
            </w:pPr>
            <w:r>
              <w:rPr>
                <w:rFonts w:hint="eastAsia"/>
                <w:color w:val="auto"/>
                <w:sz w:val="21"/>
                <w:szCs w:val="21"/>
              </w:rPr>
              <w:t>0.000057</w:t>
            </w:r>
          </w:p>
        </w:tc>
        <w:tc>
          <w:tcPr>
            <w:tcW w:w="1421" w:type="dxa"/>
            <w:vAlign w:val="center"/>
          </w:tcPr>
          <w:p>
            <w:pPr>
              <w:jc w:val="center"/>
              <w:rPr>
                <w:color w:val="auto"/>
                <w:sz w:val="21"/>
                <w:szCs w:val="21"/>
              </w:rPr>
            </w:pPr>
            <w:r>
              <w:rPr>
                <w:rFonts w:hint="eastAsia"/>
                <w:color w:val="auto"/>
                <w:sz w:val="21"/>
                <w:szCs w:val="21"/>
              </w:rPr>
              <w:t>0.000087</w:t>
            </w:r>
          </w:p>
        </w:tc>
        <w:tc>
          <w:tcPr>
            <w:tcW w:w="1421" w:type="dxa"/>
            <w:vAlign w:val="center"/>
          </w:tcPr>
          <w:p>
            <w:pPr>
              <w:jc w:val="center"/>
              <w:rPr>
                <w:rFonts w:ascii="宋体" w:hAnsi="宋体" w:cs="宋体"/>
                <w:color w:val="auto"/>
                <w:sz w:val="21"/>
                <w:szCs w:val="21"/>
              </w:rPr>
            </w:pPr>
            <w:r>
              <w:rPr>
                <w:rFonts w:hint="eastAsia"/>
                <w:color w:val="auto"/>
                <w:sz w:val="21"/>
                <w:szCs w:val="21"/>
              </w:rPr>
              <w:t>0.000019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gridSpan w:val="2"/>
            <w:vAlign w:val="center"/>
          </w:tcPr>
          <w:p>
            <w:pPr>
              <w:jc w:val="center"/>
              <w:rPr>
                <w:color w:val="auto"/>
                <w:sz w:val="21"/>
                <w:szCs w:val="21"/>
              </w:rPr>
            </w:pPr>
            <w:r>
              <w:rPr>
                <w:rFonts w:hint="eastAsia"/>
                <w:color w:val="auto"/>
                <w:sz w:val="21"/>
                <w:szCs w:val="21"/>
              </w:rPr>
              <w:t>合计</w:t>
            </w:r>
          </w:p>
        </w:tc>
        <w:tc>
          <w:tcPr>
            <w:tcW w:w="1420" w:type="dxa"/>
            <w:vAlign w:val="center"/>
          </w:tcPr>
          <w:p>
            <w:pPr>
              <w:jc w:val="center"/>
              <w:rPr>
                <w:color w:val="auto"/>
                <w:sz w:val="21"/>
                <w:szCs w:val="21"/>
              </w:rPr>
            </w:pPr>
            <w:r>
              <w:rPr>
                <w:rFonts w:hint="eastAsia"/>
                <w:color w:val="auto"/>
                <w:sz w:val="21"/>
                <w:szCs w:val="21"/>
              </w:rPr>
              <w:t>/</w:t>
            </w:r>
          </w:p>
        </w:tc>
        <w:tc>
          <w:tcPr>
            <w:tcW w:w="1420" w:type="dxa"/>
            <w:vAlign w:val="center"/>
          </w:tcPr>
          <w:p>
            <w:pPr>
              <w:jc w:val="center"/>
              <w:rPr>
                <w:rFonts w:ascii="宋体" w:hAnsi="宋体" w:cs="宋体"/>
                <w:color w:val="auto"/>
                <w:sz w:val="21"/>
                <w:szCs w:val="21"/>
              </w:rPr>
            </w:pPr>
            <w:r>
              <w:rPr>
                <w:rFonts w:hint="eastAsia"/>
                <w:color w:val="auto"/>
                <w:sz w:val="21"/>
                <w:szCs w:val="21"/>
              </w:rPr>
              <w:t>0.000581</w:t>
            </w:r>
          </w:p>
        </w:tc>
        <w:tc>
          <w:tcPr>
            <w:tcW w:w="1421" w:type="dxa"/>
            <w:vAlign w:val="center"/>
          </w:tcPr>
          <w:p>
            <w:pPr>
              <w:jc w:val="center"/>
              <w:rPr>
                <w:color w:val="auto"/>
                <w:sz w:val="21"/>
                <w:szCs w:val="21"/>
              </w:rPr>
            </w:pPr>
            <w:r>
              <w:rPr>
                <w:rFonts w:hint="eastAsia"/>
                <w:color w:val="auto"/>
                <w:sz w:val="21"/>
                <w:szCs w:val="21"/>
              </w:rPr>
              <w:t>/</w:t>
            </w:r>
          </w:p>
        </w:tc>
        <w:tc>
          <w:tcPr>
            <w:tcW w:w="1421" w:type="dxa"/>
            <w:vAlign w:val="center"/>
          </w:tcPr>
          <w:p>
            <w:pPr>
              <w:jc w:val="center"/>
              <w:rPr>
                <w:rFonts w:ascii="宋体" w:hAnsi="宋体" w:cs="宋体"/>
                <w:color w:val="auto"/>
                <w:sz w:val="21"/>
                <w:szCs w:val="21"/>
              </w:rPr>
            </w:pPr>
            <w:r>
              <w:rPr>
                <w:rFonts w:hint="eastAsia"/>
                <w:color w:val="auto"/>
                <w:sz w:val="21"/>
                <w:szCs w:val="21"/>
              </w:rPr>
              <w:t>0.000195</w:t>
            </w:r>
          </w:p>
        </w:tc>
      </w:tr>
    </w:tbl>
    <w:p>
      <w:pPr>
        <w:spacing w:line="360" w:lineRule="auto"/>
        <w:ind w:firstLine="480" w:firstLineChars="200"/>
        <w:jc w:val="left"/>
        <w:rPr>
          <w:color w:val="auto"/>
          <w:sz w:val="24"/>
          <w:szCs w:val="24"/>
        </w:rPr>
      </w:pPr>
      <w:r>
        <w:rPr>
          <w:rFonts w:hint="eastAsia"/>
          <w:color w:val="auto"/>
          <w:sz w:val="24"/>
          <w:szCs w:val="24"/>
        </w:rPr>
        <w:t>综上所述，本项目恶臭气体产排情况如下表所示。</w:t>
      </w:r>
    </w:p>
    <w:p>
      <w:pPr>
        <w:spacing w:line="360" w:lineRule="auto"/>
        <w:jc w:val="center"/>
        <w:rPr>
          <w:b/>
          <w:color w:val="auto"/>
          <w:sz w:val="24"/>
          <w:szCs w:val="24"/>
        </w:rPr>
      </w:pPr>
      <w:r>
        <w:rPr>
          <w:rFonts w:hint="eastAsia"/>
          <w:b/>
          <w:color w:val="auto"/>
          <w:sz w:val="24"/>
          <w:szCs w:val="24"/>
        </w:rPr>
        <w:t>表3-6-8  本项目恶臭污染物产排情况一览表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065"/>
        <w:gridCol w:w="1065"/>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jc w:val="center"/>
              <w:rPr>
                <w:b/>
                <w:color w:val="auto"/>
                <w:sz w:val="21"/>
                <w:szCs w:val="21"/>
              </w:rPr>
            </w:pPr>
            <w:r>
              <w:rPr>
                <w:rFonts w:hint="eastAsia"/>
                <w:b/>
                <w:color w:val="auto"/>
                <w:sz w:val="21"/>
                <w:szCs w:val="21"/>
              </w:rPr>
              <w:t>装置区</w:t>
            </w:r>
          </w:p>
        </w:tc>
        <w:tc>
          <w:tcPr>
            <w:tcW w:w="1065" w:type="dxa"/>
            <w:vAlign w:val="center"/>
          </w:tcPr>
          <w:p>
            <w:pPr>
              <w:jc w:val="center"/>
              <w:rPr>
                <w:b/>
                <w:color w:val="auto"/>
                <w:sz w:val="21"/>
                <w:szCs w:val="21"/>
              </w:rPr>
            </w:pPr>
            <w:r>
              <w:rPr>
                <w:rFonts w:hint="eastAsia"/>
                <w:b/>
                <w:color w:val="auto"/>
                <w:sz w:val="21"/>
                <w:szCs w:val="21"/>
              </w:rPr>
              <w:t>污染物</w:t>
            </w:r>
          </w:p>
        </w:tc>
        <w:tc>
          <w:tcPr>
            <w:tcW w:w="1065" w:type="dxa"/>
            <w:vAlign w:val="center"/>
          </w:tcPr>
          <w:p>
            <w:pPr>
              <w:jc w:val="center"/>
              <w:rPr>
                <w:b/>
                <w:color w:val="auto"/>
                <w:sz w:val="21"/>
                <w:szCs w:val="21"/>
              </w:rPr>
            </w:pPr>
            <w:r>
              <w:rPr>
                <w:rFonts w:hint="eastAsia"/>
                <w:b/>
                <w:color w:val="auto"/>
                <w:sz w:val="21"/>
                <w:szCs w:val="21"/>
              </w:rPr>
              <w:t>排放方式</w:t>
            </w:r>
          </w:p>
        </w:tc>
        <w:tc>
          <w:tcPr>
            <w:tcW w:w="2131" w:type="dxa"/>
            <w:vAlign w:val="center"/>
          </w:tcPr>
          <w:p>
            <w:pPr>
              <w:jc w:val="center"/>
              <w:rPr>
                <w:b/>
                <w:color w:val="auto"/>
                <w:sz w:val="21"/>
                <w:szCs w:val="21"/>
              </w:rPr>
            </w:pPr>
            <w:r>
              <w:rPr>
                <w:rFonts w:hint="eastAsia"/>
                <w:b/>
                <w:color w:val="auto"/>
                <w:sz w:val="21"/>
                <w:szCs w:val="21"/>
              </w:rPr>
              <w:t>产生速率（kg/h）</w:t>
            </w:r>
          </w:p>
        </w:tc>
        <w:tc>
          <w:tcPr>
            <w:tcW w:w="2131" w:type="dxa"/>
            <w:vAlign w:val="center"/>
          </w:tcPr>
          <w:p>
            <w:pPr>
              <w:jc w:val="center"/>
              <w:rPr>
                <w:b/>
                <w:color w:val="auto"/>
                <w:sz w:val="21"/>
                <w:szCs w:val="21"/>
              </w:rPr>
            </w:pPr>
            <w:r>
              <w:rPr>
                <w:rFonts w:hint="eastAsia"/>
                <w:b/>
                <w:color w:val="auto"/>
                <w:sz w:val="21"/>
                <w:szCs w:val="21"/>
              </w:rPr>
              <w:t>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jc w:val="center"/>
              <w:rPr>
                <w:color w:val="auto"/>
                <w:sz w:val="21"/>
                <w:szCs w:val="21"/>
              </w:rPr>
            </w:pPr>
            <w:r>
              <w:rPr>
                <w:rFonts w:hint="eastAsia"/>
                <w:color w:val="auto"/>
                <w:sz w:val="21"/>
                <w:szCs w:val="21"/>
              </w:rPr>
              <w:t>污水预处理区</w:t>
            </w:r>
          </w:p>
        </w:tc>
        <w:tc>
          <w:tcPr>
            <w:tcW w:w="1065" w:type="dxa"/>
            <w:vAlign w:val="center"/>
          </w:tcPr>
          <w:p>
            <w:pPr>
              <w:jc w:val="center"/>
              <w:rPr>
                <w:color w:val="auto"/>
                <w:sz w:val="21"/>
                <w:szCs w:val="21"/>
              </w:rPr>
            </w:pPr>
            <w:r>
              <w:rPr>
                <w:rFonts w:hint="eastAsia"/>
                <w:color w:val="auto"/>
                <w:sz w:val="21"/>
                <w:szCs w:val="21"/>
              </w:rPr>
              <w:t>H</w:t>
            </w:r>
            <w:r>
              <w:rPr>
                <w:rFonts w:hint="eastAsia"/>
                <w:color w:val="auto"/>
                <w:sz w:val="21"/>
                <w:szCs w:val="21"/>
                <w:vertAlign w:val="subscript"/>
              </w:rPr>
              <w:t>2</w:t>
            </w:r>
            <w:r>
              <w:rPr>
                <w:rFonts w:hint="eastAsia"/>
                <w:color w:val="auto"/>
                <w:sz w:val="21"/>
                <w:szCs w:val="21"/>
              </w:rPr>
              <w:t>S</w:t>
            </w:r>
          </w:p>
        </w:tc>
        <w:tc>
          <w:tcPr>
            <w:tcW w:w="1065" w:type="dxa"/>
            <w:vAlign w:val="center"/>
          </w:tcPr>
          <w:p>
            <w:pPr>
              <w:jc w:val="center"/>
              <w:rPr>
                <w:color w:val="auto"/>
                <w:sz w:val="21"/>
                <w:szCs w:val="21"/>
              </w:rPr>
            </w:pPr>
            <w:r>
              <w:rPr>
                <w:rFonts w:hint="eastAsia"/>
                <w:color w:val="auto"/>
                <w:sz w:val="21"/>
                <w:szCs w:val="21"/>
              </w:rPr>
              <w:t>有组织</w:t>
            </w:r>
          </w:p>
        </w:tc>
        <w:tc>
          <w:tcPr>
            <w:tcW w:w="2131" w:type="dxa"/>
            <w:vAlign w:val="center"/>
          </w:tcPr>
          <w:p>
            <w:pPr>
              <w:jc w:val="center"/>
              <w:rPr>
                <w:color w:val="auto"/>
                <w:sz w:val="21"/>
                <w:szCs w:val="21"/>
              </w:rPr>
            </w:pPr>
            <w:r>
              <w:rPr>
                <w:color w:val="auto"/>
                <w:sz w:val="21"/>
                <w:szCs w:val="21"/>
              </w:rPr>
              <w:t>0.06</w:t>
            </w:r>
          </w:p>
        </w:tc>
        <w:tc>
          <w:tcPr>
            <w:tcW w:w="2131" w:type="dxa"/>
            <w:vAlign w:val="center"/>
          </w:tcPr>
          <w:p>
            <w:pPr>
              <w:jc w:val="center"/>
              <w:rPr>
                <w:color w:val="auto"/>
                <w:sz w:val="21"/>
                <w:szCs w:val="21"/>
              </w:rPr>
            </w:pPr>
            <w:r>
              <w:rPr>
                <w:color w:val="auto"/>
                <w:sz w:val="21"/>
                <w:szCs w:val="21"/>
              </w:rPr>
              <w:t>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jc w:val="center"/>
              <w:rPr>
                <w:color w:val="auto"/>
                <w:sz w:val="21"/>
                <w:szCs w:val="21"/>
              </w:rPr>
            </w:pPr>
          </w:p>
        </w:tc>
        <w:tc>
          <w:tcPr>
            <w:tcW w:w="1065" w:type="dxa"/>
            <w:vAlign w:val="center"/>
          </w:tcPr>
          <w:p>
            <w:pPr>
              <w:jc w:val="center"/>
              <w:rPr>
                <w:color w:val="auto"/>
                <w:sz w:val="21"/>
                <w:szCs w:val="21"/>
              </w:rPr>
            </w:pPr>
            <w:r>
              <w:rPr>
                <w:rFonts w:hint="eastAsia"/>
                <w:color w:val="auto"/>
                <w:sz w:val="21"/>
                <w:szCs w:val="21"/>
              </w:rPr>
              <w:t>NH</w:t>
            </w:r>
            <w:r>
              <w:rPr>
                <w:rFonts w:hint="eastAsia"/>
                <w:color w:val="auto"/>
                <w:sz w:val="21"/>
                <w:szCs w:val="21"/>
                <w:vertAlign w:val="subscript"/>
              </w:rPr>
              <w:t>3</w:t>
            </w:r>
          </w:p>
        </w:tc>
        <w:tc>
          <w:tcPr>
            <w:tcW w:w="1065" w:type="dxa"/>
            <w:vAlign w:val="center"/>
          </w:tcPr>
          <w:p>
            <w:pPr>
              <w:jc w:val="center"/>
              <w:rPr>
                <w:color w:val="auto"/>
                <w:sz w:val="21"/>
                <w:szCs w:val="21"/>
              </w:rPr>
            </w:pPr>
            <w:r>
              <w:rPr>
                <w:rFonts w:hint="eastAsia"/>
                <w:color w:val="auto"/>
                <w:sz w:val="21"/>
                <w:szCs w:val="21"/>
              </w:rPr>
              <w:t>有组织</w:t>
            </w:r>
          </w:p>
        </w:tc>
        <w:tc>
          <w:tcPr>
            <w:tcW w:w="2131" w:type="dxa"/>
            <w:vAlign w:val="center"/>
          </w:tcPr>
          <w:p>
            <w:pPr>
              <w:jc w:val="center"/>
              <w:rPr>
                <w:color w:val="auto"/>
                <w:sz w:val="21"/>
                <w:szCs w:val="21"/>
              </w:rPr>
            </w:pPr>
            <w:r>
              <w:rPr>
                <w:color w:val="auto"/>
                <w:sz w:val="21"/>
                <w:szCs w:val="21"/>
              </w:rPr>
              <w:t>0.03</w:t>
            </w:r>
          </w:p>
        </w:tc>
        <w:tc>
          <w:tcPr>
            <w:tcW w:w="2131" w:type="dxa"/>
            <w:vAlign w:val="center"/>
          </w:tcPr>
          <w:p>
            <w:pPr>
              <w:jc w:val="center"/>
              <w:rPr>
                <w:color w:val="auto"/>
                <w:sz w:val="21"/>
                <w:szCs w:val="21"/>
              </w:rPr>
            </w:pPr>
            <w:r>
              <w:rPr>
                <w:color w:val="auto"/>
                <w:sz w:val="21"/>
                <w:szCs w:val="21"/>
              </w:rPr>
              <w:t>0.0030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jc w:val="center"/>
              <w:rPr>
                <w:color w:val="auto"/>
                <w:sz w:val="21"/>
                <w:szCs w:val="21"/>
              </w:rPr>
            </w:pPr>
            <w:r>
              <w:rPr>
                <w:rFonts w:hint="eastAsia"/>
                <w:color w:val="auto"/>
                <w:sz w:val="21"/>
                <w:szCs w:val="21"/>
              </w:rPr>
              <w:t>生化处理区</w:t>
            </w:r>
          </w:p>
        </w:tc>
        <w:tc>
          <w:tcPr>
            <w:tcW w:w="1065" w:type="dxa"/>
            <w:vAlign w:val="center"/>
          </w:tcPr>
          <w:p>
            <w:pPr>
              <w:jc w:val="center"/>
              <w:rPr>
                <w:color w:val="auto"/>
                <w:sz w:val="21"/>
                <w:szCs w:val="21"/>
              </w:rPr>
            </w:pPr>
            <w:r>
              <w:rPr>
                <w:rFonts w:hint="eastAsia"/>
                <w:color w:val="auto"/>
                <w:sz w:val="21"/>
                <w:szCs w:val="21"/>
              </w:rPr>
              <w:t>H</w:t>
            </w:r>
            <w:r>
              <w:rPr>
                <w:rFonts w:hint="eastAsia"/>
                <w:color w:val="auto"/>
                <w:sz w:val="21"/>
                <w:szCs w:val="21"/>
                <w:vertAlign w:val="subscript"/>
              </w:rPr>
              <w:t>2</w:t>
            </w:r>
            <w:r>
              <w:rPr>
                <w:rFonts w:hint="eastAsia"/>
                <w:color w:val="auto"/>
                <w:sz w:val="21"/>
                <w:szCs w:val="21"/>
              </w:rPr>
              <w:t>S</w:t>
            </w:r>
          </w:p>
        </w:tc>
        <w:tc>
          <w:tcPr>
            <w:tcW w:w="1065" w:type="dxa"/>
            <w:vAlign w:val="center"/>
          </w:tcPr>
          <w:p>
            <w:pPr>
              <w:jc w:val="center"/>
              <w:rPr>
                <w:color w:val="auto"/>
                <w:sz w:val="21"/>
                <w:szCs w:val="21"/>
              </w:rPr>
            </w:pPr>
            <w:r>
              <w:rPr>
                <w:rFonts w:hint="eastAsia"/>
                <w:color w:val="auto"/>
                <w:sz w:val="21"/>
                <w:szCs w:val="21"/>
              </w:rPr>
              <w:t>无组织</w:t>
            </w:r>
          </w:p>
        </w:tc>
        <w:tc>
          <w:tcPr>
            <w:tcW w:w="2131" w:type="dxa"/>
            <w:vAlign w:val="center"/>
          </w:tcPr>
          <w:p>
            <w:pPr>
              <w:jc w:val="center"/>
              <w:rPr>
                <w:color w:val="auto"/>
                <w:sz w:val="21"/>
                <w:szCs w:val="21"/>
              </w:rPr>
            </w:pPr>
            <w:r>
              <w:rPr>
                <w:rFonts w:hint="eastAsia"/>
                <w:color w:val="auto"/>
                <w:sz w:val="21"/>
                <w:szCs w:val="21"/>
              </w:rPr>
              <w:t>0.000581</w:t>
            </w:r>
          </w:p>
        </w:tc>
        <w:tc>
          <w:tcPr>
            <w:tcW w:w="2131" w:type="dxa"/>
            <w:vAlign w:val="center"/>
          </w:tcPr>
          <w:p>
            <w:pPr>
              <w:jc w:val="center"/>
              <w:rPr>
                <w:color w:val="auto"/>
                <w:sz w:val="21"/>
                <w:szCs w:val="21"/>
              </w:rPr>
            </w:pPr>
            <w:r>
              <w:rPr>
                <w:rFonts w:hint="eastAsia"/>
                <w:color w:val="auto"/>
                <w:sz w:val="21"/>
                <w:szCs w:val="21"/>
              </w:rPr>
              <w:t>0.000581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jc w:val="center"/>
              <w:rPr>
                <w:color w:val="auto"/>
                <w:sz w:val="21"/>
                <w:szCs w:val="21"/>
              </w:rPr>
            </w:pPr>
          </w:p>
        </w:tc>
        <w:tc>
          <w:tcPr>
            <w:tcW w:w="1065" w:type="dxa"/>
            <w:vAlign w:val="center"/>
          </w:tcPr>
          <w:p>
            <w:pPr>
              <w:jc w:val="center"/>
              <w:rPr>
                <w:color w:val="auto"/>
                <w:sz w:val="21"/>
                <w:szCs w:val="21"/>
              </w:rPr>
            </w:pPr>
            <w:r>
              <w:rPr>
                <w:rFonts w:hint="eastAsia"/>
                <w:color w:val="auto"/>
                <w:sz w:val="21"/>
                <w:szCs w:val="21"/>
              </w:rPr>
              <w:t>NH</w:t>
            </w:r>
            <w:r>
              <w:rPr>
                <w:rFonts w:hint="eastAsia"/>
                <w:color w:val="auto"/>
                <w:sz w:val="21"/>
                <w:szCs w:val="21"/>
                <w:vertAlign w:val="subscript"/>
              </w:rPr>
              <w:t>3</w:t>
            </w:r>
          </w:p>
        </w:tc>
        <w:tc>
          <w:tcPr>
            <w:tcW w:w="1065" w:type="dxa"/>
            <w:vAlign w:val="center"/>
          </w:tcPr>
          <w:p>
            <w:pPr>
              <w:jc w:val="center"/>
              <w:rPr>
                <w:color w:val="auto"/>
                <w:sz w:val="21"/>
                <w:szCs w:val="21"/>
              </w:rPr>
            </w:pPr>
            <w:r>
              <w:rPr>
                <w:rFonts w:hint="eastAsia"/>
                <w:color w:val="auto"/>
                <w:sz w:val="21"/>
                <w:szCs w:val="21"/>
              </w:rPr>
              <w:t>无组织</w:t>
            </w:r>
          </w:p>
        </w:tc>
        <w:tc>
          <w:tcPr>
            <w:tcW w:w="2131" w:type="dxa"/>
            <w:vAlign w:val="center"/>
          </w:tcPr>
          <w:p>
            <w:pPr>
              <w:jc w:val="center"/>
              <w:rPr>
                <w:color w:val="auto"/>
                <w:sz w:val="21"/>
                <w:szCs w:val="21"/>
              </w:rPr>
            </w:pPr>
            <w:r>
              <w:rPr>
                <w:rFonts w:hint="eastAsia"/>
                <w:color w:val="auto"/>
                <w:sz w:val="21"/>
                <w:szCs w:val="21"/>
              </w:rPr>
              <w:t>0.000195</w:t>
            </w:r>
          </w:p>
        </w:tc>
        <w:tc>
          <w:tcPr>
            <w:tcW w:w="2131" w:type="dxa"/>
            <w:vAlign w:val="center"/>
          </w:tcPr>
          <w:p>
            <w:pPr>
              <w:jc w:val="center"/>
              <w:rPr>
                <w:color w:val="auto"/>
                <w:sz w:val="21"/>
                <w:szCs w:val="21"/>
              </w:rPr>
            </w:pPr>
            <w:r>
              <w:rPr>
                <w:rFonts w:hint="eastAsia"/>
                <w:color w:val="auto"/>
                <w:sz w:val="21"/>
                <w:szCs w:val="21"/>
              </w:rPr>
              <w:t>0.000195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jc w:val="center"/>
              <w:rPr>
                <w:color w:val="auto"/>
                <w:sz w:val="21"/>
                <w:szCs w:val="21"/>
              </w:rPr>
            </w:pPr>
            <w:r>
              <w:rPr>
                <w:rFonts w:hint="eastAsia"/>
                <w:color w:val="auto"/>
                <w:sz w:val="21"/>
                <w:szCs w:val="21"/>
              </w:rPr>
              <w:t>污泥处理区</w:t>
            </w:r>
          </w:p>
        </w:tc>
        <w:tc>
          <w:tcPr>
            <w:tcW w:w="1065" w:type="dxa"/>
            <w:vAlign w:val="center"/>
          </w:tcPr>
          <w:p>
            <w:pPr>
              <w:jc w:val="center"/>
              <w:rPr>
                <w:color w:val="auto"/>
                <w:sz w:val="21"/>
                <w:szCs w:val="21"/>
              </w:rPr>
            </w:pPr>
            <w:r>
              <w:rPr>
                <w:rFonts w:hint="eastAsia"/>
                <w:color w:val="auto"/>
                <w:sz w:val="21"/>
                <w:szCs w:val="21"/>
              </w:rPr>
              <w:t>H</w:t>
            </w:r>
            <w:r>
              <w:rPr>
                <w:rFonts w:hint="eastAsia"/>
                <w:color w:val="auto"/>
                <w:sz w:val="21"/>
                <w:szCs w:val="21"/>
                <w:vertAlign w:val="subscript"/>
              </w:rPr>
              <w:t>2</w:t>
            </w:r>
            <w:r>
              <w:rPr>
                <w:rFonts w:hint="eastAsia"/>
                <w:color w:val="auto"/>
                <w:sz w:val="21"/>
                <w:szCs w:val="21"/>
              </w:rPr>
              <w:t>S</w:t>
            </w:r>
          </w:p>
        </w:tc>
        <w:tc>
          <w:tcPr>
            <w:tcW w:w="1065" w:type="dxa"/>
            <w:vAlign w:val="center"/>
          </w:tcPr>
          <w:p>
            <w:pPr>
              <w:jc w:val="center"/>
              <w:rPr>
                <w:color w:val="auto"/>
                <w:sz w:val="21"/>
                <w:szCs w:val="21"/>
              </w:rPr>
            </w:pPr>
            <w:r>
              <w:rPr>
                <w:rFonts w:hint="eastAsia"/>
                <w:color w:val="auto"/>
                <w:sz w:val="21"/>
                <w:szCs w:val="21"/>
              </w:rPr>
              <w:t>有组织</w:t>
            </w:r>
          </w:p>
        </w:tc>
        <w:tc>
          <w:tcPr>
            <w:tcW w:w="2131" w:type="dxa"/>
            <w:vAlign w:val="center"/>
          </w:tcPr>
          <w:p>
            <w:pPr>
              <w:jc w:val="center"/>
              <w:rPr>
                <w:color w:val="auto"/>
                <w:sz w:val="21"/>
                <w:szCs w:val="21"/>
              </w:rPr>
            </w:pPr>
            <w:r>
              <w:rPr>
                <w:color w:val="auto"/>
                <w:sz w:val="21"/>
                <w:szCs w:val="21"/>
              </w:rPr>
              <w:t>0.66</w:t>
            </w:r>
          </w:p>
        </w:tc>
        <w:tc>
          <w:tcPr>
            <w:tcW w:w="2131" w:type="dxa"/>
            <w:vAlign w:val="center"/>
          </w:tcPr>
          <w:p>
            <w:pPr>
              <w:jc w:val="center"/>
              <w:rPr>
                <w:color w:val="auto"/>
                <w:sz w:val="21"/>
                <w:szCs w:val="21"/>
              </w:rPr>
            </w:pPr>
            <w:r>
              <w:rPr>
                <w:rFonts w:hint="eastAsia"/>
                <w:color w:val="auto"/>
                <w:sz w:val="21"/>
                <w:szCs w:val="21"/>
              </w:rPr>
              <w:t>0.0066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jc w:val="center"/>
              <w:rPr>
                <w:color w:val="auto"/>
                <w:sz w:val="21"/>
                <w:szCs w:val="21"/>
              </w:rPr>
            </w:pPr>
          </w:p>
        </w:tc>
        <w:tc>
          <w:tcPr>
            <w:tcW w:w="1065" w:type="dxa"/>
            <w:vAlign w:val="center"/>
          </w:tcPr>
          <w:p>
            <w:pPr>
              <w:jc w:val="center"/>
              <w:rPr>
                <w:color w:val="auto"/>
                <w:sz w:val="21"/>
                <w:szCs w:val="21"/>
              </w:rPr>
            </w:pPr>
            <w:r>
              <w:rPr>
                <w:rFonts w:hint="eastAsia"/>
                <w:color w:val="auto"/>
                <w:sz w:val="21"/>
                <w:szCs w:val="21"/>
              </w:rPr>
              <w:t>NH</w:t>
            </w:r>
            <w:r>
              <w:rPr>
                <w:rFonts w:hint="eastAsia"/>
                <w:color w:val="auto"/>
                <w:sz w:val="21"/>
                <w:szCs w:val="21"/>
                <w:vertAlign w:val="subscript"/>
              </w:rPr>
              <w:t>3</w:t>
            </w:r>
          </w:p>
        </w:tc>
        <w:tc>
          <w:tcPr>
            <w:tcW w:w="1065" w:type="dxa"/>
            <w:vAlign w:val="center"/>
          </w:tcPr>
          <w:p>
            <w:pPr>
              <w:jc w:val="center"/>
              <w:rPr>
                <w:color w:val="auto"/>
                <w:sz w:val="21"/>
                <w:szCs w:val="21"/>
              </w:rPr>
            </w:pPr>
            <w:r>
              <w:rPr>
                <w:rFonts w:hint="eastAsia"/>
                <w:color w:val="auto"/>
                <w:sz w:val="21"/>
                <w:szCs w:val="21"/>
              </w:rPr>
              <w:t>有组织</w:t>
            </w:r>
          </w:p>
        </w:tc>
        <w:tc>
          <w:tcPr>
            <w:tcW w:w="2131" w:type="dxa"/>
            <w:vAlign w:val="center"/>
          </w:tcPr>
          <w:p>
            <w:pPr>
              <w:jc w:val="center"/>
              <w:rPr>
                <w:color w:val="auto"/>
                <w:sz w:val="21"/>
                <w:szCs w:val="21"/>
              </w:rPr>
            </w:pPr>
            <w:r>
              <w:rPr>
                <w:color w:val="auto"/>
                <w:sz w:val="21"/>
                <w:szCs w:val="21"/>
              </w:rPr>
              <w:t>0.22</w:t>
            </w:r>
          </w:p>
        </w:tc>
        <w:tc>
          <w:tcPr>
            <w:tcW w:w="2131" w:type="dxa"/>
            <w:vAlign w:val="center"/>
          </w:tcPr>
          <w:p>
            <w:pPr>
              <w:jc w:val="center"/>
              <w:rPr>
                <w:color w:val="auto"/>
                <w:sz w:val="21"/>
                <w:szCs w:val="21"/>
              </w:rPr>
            </w:pPr>
            <w:r>
              <w:rPr>
                <w:rFonts w:hint="eastAsia"/>
                <w:color w:val="auto"/>
                <w:sz w:val="21"/>
                <w:szCs w:val="21"/>
              </w:rPr>
              <w:t>0.0220</w:t>
            </w:r>
          </w:p>
        </w:tc>
      </w:tr>
    </w:tbl>
    <w:p>
      <w:pPr>
        <w:spacing w:line="360" w:lineRule="auto"/>
        <w:ind w:firstLine="480" w:firstLineChars="200"/>
        <w:jc w:val="left"/>
        <w:rPr>
          <w:color w:val="auto"/>
          <w:sz w:val="24"/>
          <w:szCs w:val="24"/>
        </w:rPr>
      </w:pPr>
      <w:r>
        <w:rPr>
          <w:rFonts w:hint="eastAsia"/>
          <w:color w:val="auto"/>
          <w:sz w:val="24"/>
          <w:szCs w:val="24"/>
        </w:rPr>
        <w:t>由上表可知，本项目恶臭污染物无组织排放可以达到《城镇污水处理厂污染物排放标准》（GB18918-2002）及其修改单中表4“厂界（防护带边缘）废气排放最高允许浓度”二级标准限值；有组织排放可以达到《恶臭污染物排放标准》（GB 14554-93）表2排放标准限值。</w:t>
      </w:r>
    </w:p>
    <w:p>
      <w:pPr>
        <w:spacing w:line="360" w:lineRule="auto"/>
        <w:ind w:firstLine="482" w:firstLineChars="200"/>
        <w:rPr>
          <w:b/>
          <w:color w:val="auto"/>
          <w:sz w:val="24"/>
          <w:szCs w:val="24"/>
        </w:rPr>
      </w:pPr>
      <w:r>
        <w:rPr>
          <w:rFonts w:hint="eastAsia"/>
          <w:b/>
          <w:color w:val="auto"/>
          <w:sz w:val="24"/>
          <w:szCs w:val="24"/>
        </w:rPr>
        <w:t>2、食堂油烟</w:t>
      </w:r>
    </w:p>
    <w:p>
      <w:pPr>
        <w:spacing w:line="360" w:lineRule="auto"/>
        <w:ind w:firstLine="480" w:firstLineChars="200"/>
        <w:rPr>
          <w:color w:val="auto"/>
          <w:sz w:val="24"/>
          <w:szCs w:val="24"/>
        </w:rPr>
      </w:pPr>
      <w:r>
        <w:rPr>
          <w:rFonts w:hint="eastAsia"/>
          <w:color w:val="auto"/>
          <w:sz w:val="24"/>
          <w:szCs w:val="24"/>
        </w:rPr>
        <w:t>本项目职工食堂使用液化气做燃料，由于液化气是清洁能源，故职工食堂燃料废气对大气环境不会产生明显污染。</w:t>
      </w:r>
    </w:p>
    <w:p>
      <w:pPr>
        <w:spacing w:line="360" w:lineRule="auto"/>
        <w:ind w:firstLine="480" w:firstLineChars="200"/>
        <w:rPr>
          <w:color w:val="auto"/>
          <w:sz w:val="24"/>
          <w:szCs w:val="24"/>
        </w:rPr>
      </w:pPr>
      <w:r>
        <w:rPr>
          <w:rFonts w:hint="eastAsia"/>
          <w:color w:val="auto"/>
          <w:sz w:val="24"/>
          <w:szCs w:val="24"/>
        </w:rPr>
        <w:t>项目食堂设1个基准灶头，属于小型饮食业规模。经类比调查，食用油的消耗系数约0.03kg/（人·天），项目日最高就餐人数25人，年工作365天，一般油烟挥发量占总耗油量的2~4%，本评价取其平均值3%，则油烟产生量约为0.0225kg/d（8.2125kg/a）。食堂油烟经油烟净化装置处理后，由专用烟道排放。油烟净化效率不低于60%，油烟机风量约3000m</w:t>
      </w:r>
      <w:r>
        <w:rPr>
          <w:rFonts w:hint="eastAsia"/>
          <w:color w:val="auto"/>
          <w:sz w:val="24"/>
          <w:szCs w:val="24"/>
          <w:vertAlign w:val="superscript"/>
        </w:rPr>
        <w:t>3</w:t>
      </w:r>
      <w:r>
        <w:rPr>
          <w:rFonts w:hint="eastAsia"/>
          <w:color w:val="auto"/>
          <w:sz w:val="24"/>
          <w:szCs w:val="24"/>
        </w:rPr>
        <w:t>/h，油烟排放集中时间约为6h（按每餐2h，一天3 餐），则本项目建成后餐厅油烟排放速率约0.0015kg/h，排放浓度约0.5mg/m</w:t>
      </w:r>
      <w:r>
        <w:rPr>
          <w:rFonts w:hint="eastAsia"/>
          <w:color w:val="auto"/>
          <w:sz w:val="24"/>
          <w:szCs w:val="24"/>
          <w:vertAlign w:val="superscript"/>
        </w:rPr>
        <w:t>3</w:t>
      </w:r>
      <w:r>
        <w:rPr>
          <w:rFonts w:hint="eastAsia"/>
          <w:color w:val="auto"/>
          <w:sz w:val="24"/>
          <w:szCs w:val="24"/>
        </w:rPr>
        <w:t>，满足《饮食业油烟排放标准(试行)》 (GB18483-2001)小型标准要求。</w:t>
      </w:r>
    </w:p>
    <w:p>
      <w:pPr>
        <w:pStyle w:val="5"/>
        <w:rPr>
          <w:color w:val="auto"/>
        </w:rPr>
      </w:pPr>
      <w:r>
        <w:rPr>
          <w:rFonts w:hint="eastAsia"/>
          <w:color w:val="auto"/>
        </w:rPr>
        <w:t>3.6.3.2地表水污染源分析</w:t>
      </w:r>
    </w:p>
    <w:p>
      <w:pPr>
        <w:spacing w:line="360" w:lineRule="auto"/>
        <w:ind w:firstLine="480" w:firstLineChars="200"/>
        <w:rPr>
          <w:color w:val="auto"/>
          <w:sz w:val="24"/>
          <w:szCs w:val="24"/>
        </w:rPr>
      </w:pPr>
      <w:r>
        <w:rPr>
          <w:rFonts w:hint="eastAsia"/>
          <w:color w:val="auto"/>
          <w:sz w:val="24"/>
          <w:szCs w:val="24"/>
        </w:rPr>
        <w:t>本工程为水质净化厂建设项目，处理废水主要包括厂外接纳废水、厂内生产废水（反冲洗废水、污泥脱水机清洗废水）、员工生活污水，其产、排情况见下。</w:t>
      </w:r>
    </w:p>
    <w:p>
      <w:pPr>
        <w:spacing w:line="360" w:lineRule="auto"/>
        <w:ind w:firstLine="482" w:firstLineChars="200"/>
        <w:rPr>
          <w:b/>
          <w:color w:val="auto"/>
          <w:sz w:val="24"/>
          <w:szCs w:val="24"/>
        </w:rPr>
      </w:pPr>
      <w:r>
        <w:rPr>
          <w:rFonts w:hint="eastAsia"/>
          <w:b/>
          <w:color w:val="auto"/>
          <w:sz w:val="24"/>
          <w:szCs w:val="24"/>
        </w:rPr>
        <w:t>1、接纳污水</w:t>
      </w:r>
    </w:p>
    <w:p>
      <w:pPr>
        <w:spacing w:line="360" w:lineRule="auto"/>
        <w:ind w:firstLine="480" w:firstLineChars="200"/>
        <w:rPr>
          <w:color w:val="auto"/>
          <w:sz w:val="24"/>
          <w:szCs w:val="24"/>
        </w:rPr>
      </w:pPr>
      <w:r>
        <w:rPr>
          <w:rFonts w:hint="eastAsia"/>
          <w:color w:val="auto"/>
          <w:sz w:val="24"/>
          <w:szCs w:val="24"/>
        </w:rPr>
        <w:t>本项目接纳污水量为8000m</w:t>
      </w:r>
      <w:r>
        <w:rPr>
          <w:rFonts w:hint="eastAsia"/>
          <w:color w:val="auto"/>
          <w:sz w:val="24"/>
          <w:szCs w:val="24"/>
          <w:vertAlign w:val="superscript"/>
        </w:rPr>
        <w:t>3</w:t>
      </w:r>
      <w:r>
        <w:rPr>
          <w:rFonts w:hint="eastAsia"/>
          <w:color w:val="auto"/>
          <w:sz w:val="24"/>
          <w:szCs w:val="24"/>
        </w:rPr>
        <w:t>/d，经污水处理系统处理达标后，</w:t>
      </w:r>
      <w:r>
        <w:rPr>
          <w:color w:val="auto"/>
          <w:sz w:val="24"/>
          <w:szCs w:val="24"/>
        </w:rPr>
        <w:t>将少量尾水经水泵提升后提供水质净化厂自用，部分回用于</w:t>
      </w:r>
      <w:r>
        <w:rPr>
          <w:rFonts w:hint="eastAsia"/>
          <w:color w:val="auto"/>
          <w:sz w:val="24"/>
          <w:szCs w:val="24"/>
        </w:rPr>
        <w:t>五华河东绿色生态工业小镇城市绿化、道路清扫和冲厕</w:t>
      </w:r>
      <w:r>
        <w:rPr>
          <w:color w:val="auto"/>
          <w:sz w:val="24"/>
          <w:szCs w:val="24"/>
        </w:rPr>
        <w:t>，</w:t>
      </w:r>
      <w:r>
        <w:rPr>
          <w:rFonts w:hint="eastAsia"/>
          <w:color w:val="auto"/>
          <w:sz w:val="24"/>
          <w:szCs w:val="24"/>
        </w:rPr>
        <w:t>其余尾水排入大嵩河。</w:t>
      </w:r>
    </w:p>
    <w:p>
      <w:pPr>
        <w:spacing w:line="360" w:lineRule="auto"/>
        <w:ind w:firstLine="482" w:firstLineChars="200"/>
        <w:rPr>
          <w:b/>
          <w:color w:val="auto"/>
          <w:sz w:val="24"/>
          <w:szCs w:val="24"/>
        </w:rPr>
      </w:pPr>
      <w:r>
        <w:rPr>
          <w:rFonts w:hint="eastAsia"/>
          <w:b/>
          <w:color w:val="auto"/>
          <w:sz w:val="24"/>
          <w:szCs w:val="24"/>
        </w:rPr>
        <w:t>2、反冲洗废水</w:t>
      </w:r>
    </w:p>
    <w:p>
      <w:pPr>
        <w:spacing w:line="360" w:lineRule="auto"/>
        <w:ind w:firstLine="480" w:firstLineChars="200"/>
        <w:rPr>
          <w:color w:val="auto"/>
          <w:sz w:val="24"/>
          <w:szCs w:val="24"/>
        </w:rPr>
      </w:pPr>
      <w:r>
        <w:rPr>
          <w:rFonts w:hint="eastAsia"/>
          <w:color w:val="auto"/>
          <w:sz w:val="24"/>
          <w:szCs w:val="24"/>
        </w:rPr>
        <w:t>本项目反冲洗用水为进水量的4%，一般4天冲洗1 次，平均每天用水量为80m</w:t>
      </w:r>
      <w:r>
        <w:rPr>
          <w:rFonts w:hint="eastAsia"/>
          <w:color w:val="auto"/>
          <w:sz w:val="24"/>
          <w:szCs w:val="24"/>
          <w:vertAlign w:val="superscript"/>
        </w:rPr>
        <w:t>3</w:t>
      </w:r>
      <w:r>
        <w:rPr>
          <w:rFonts w:hint="eastAsia"/>
          <w:color w:val="auto"/>
          <w:sz w:val="24"/>
          <w:szCs w:val="24"/>
        </w:rPr>
        <w:t>/d，用水全部来自处理达标后的尾水，产生的废水经污水处理系统处理后达标排放。</w:t>
      </w:r>
    </w:p>
    <w:p>
      <w:pPr>
        <w:spacing w:line="360" w:lineRule="auto"/>
        <w:ind w:firstLine="482" w:firstLineChars="200"/>
        <w:rPr>
          <w:b/>
          <w:color w:val="auto"/>
          <w:sz w:val="24"/>
          <w:szCs w:val="24"/>
        </w:rPr>
      </w:pPr>
      <w:r>
        <w:rPr>
          <w:rFonts w:hint="eastAsia"/>
          <w:b/>
          <w:color w:val="auto"/>
          <w:sz w:val="24"/>
          <w:szCs w:val="24"/>
        </w:rPr>
        <w:t>3、污泥脱水机废水</w:t>
      </w:r>
    </w:p>
    <w:p>
      <w:pPr>
        <w:spacing w:line="360" w:lineRule="auto"/>
        <w:ind w:firstLine="480" w:firstLineChars="200"/>
        <w:rPr>
          <w:color w:val="auto"/>
          <w:sz w:val="24"/>
          <w:szCs w:val="24"/>
        </w:rPr>
      </w:pPr>
      <w:r>
        <w:rPr>
          <w:rFonts w:hint="eastAsia"/>
          <w:color w:val="auto"/>
          <w:sz w:val="24"/>
          <w:szCs w:val="24"/>
        </w:rPr>
        <w:t>本项目污泥脱水机清洗用水量为0.5m</w:t>
      </w:r>
      <w:r>
        <w:rPr>
          <w:rFonts w:hint="eastAsia"/>
          <w:color w:val="auto"/>
          <w:sz w:val="24"/>
          <w:szCs w:val="24"/>
          <w:vertAlign w:val="superscript"/>
        </w:rPr>
        <w:t>3</w:t>
      </w:r>
      <w:r>
        <w:rPr>
          <w:rFonts w:hint="eastAsia"/>
          <w:color w:val="auto"/>
          <w:sz w:val="24"/>
          <w:szCs w:val="24"/>
        </w:rPr>
        <w:t>/d，用水全部来自处理达标后的尾水，产生的废水经污水处理系统处理后达标排放。</w:t>
      </w:r>
    </w:p>
    <w:p>
      <w:pPr>
        <w:spacing w:line="360" w:lineRule="auto"/>
        <w:ind w:firstLine="482" w:firstLineChars="200"/>
        <w:rPr>
          <w:b/>
          <w:color w:val="auto"/>
          <w:sz w:val="24"/>
          <w:szCs w:val="24"/>
        </w:rPr>
      </w:pPr>
      <w:r>
        <w:rPr>
          <w:rFonts w:hint="eastAsia"/>
          <w:b/>
          <w:color w:val="auto"/>
          <w:sz w:val="24"/>
          <w:szCs w:val="24"/>
        </w:rPr>
        <w:t>4、生活污水</w:t>
      </w:r>
    </w:p>
    <w:p>
      <w:pPr>
        <w:spacing w:line="360" w:lineRule="auto"/>
        <w:ind w:firstLine="480" w:firstLineChars="200"/>
        <w:rPr>
          <w:color w:val="auto"/>
          <w:sz w:val="24"/>
          <w:szCs w:val="24"/>
        </w:rPr>
      </w:pPr>
      <w:r>
        <w:rPr>
          <w:rFonts w:hint="eastAsia"/>
          <w:color w:val="auto"/>
          <w:sz w:val="24"/>
          <w:szCs w:val="24"/>
        </w:rPr>
        <w:t>本项目职工人数为</w:t>
      </w:r>
      <w:r>
        <w:rPr>
          <w:color w:val="auto"/>
          <w:sz w:val="24"/>
          <w:szCs w:val="24"/>
        </w:rPr>
        <w:t>25</w:t>
      </w:r>
      <w:r>
        <w:rPr>
          <w:rFonts w:hint="eastAsia"/>
          <w:color w:val="auto"/>
          <w:sz w:val="24"/>
          <w:szCs w:val="24"/>
        </w:rPr>
        <w:t>人，用水定额参考广东省地方标准《用水定额 第3部分：生活》（DB44/T1461.3-2021）中“办公楼</w:t>
      </w:r>
      <w:r>
        <w:rPr>
          <w:color w:val="auto"/>
          <w:sz w:val="24"/>
          <w:szCs w:val="24"/>
        </w:rPr>
        <w:t>-</w:t>
      </w:r>
      <w:r>
        <w:rPr>
          <w:rFonts w:hint="eastAsia"/>
          <w:color w:val="auto"/>
          <w:sz w:val="24"/>
          <w:szCs w:val="24"/>
        </w:rPr>
        <w:t>有食堂和浴室-先进值”：15m</w:t>
      </w:r>
      <w:r>
        <w:rPr>
          <w:rFonts w:hint="eastAsia"/>
          <w:color w:val="auto"/>
          <w:sz w:val="24"/>
          <w:szCs w:val="24"/>
          <w:vertAlign w:val="superscript"/>
        </w:rPr>
        <w:t>3</w:t>
      </w:r>
      <w:r>
        <w:rPr>
          <w:color w:val="auto"/>
          <w:sz w:val="24"/>
          <w:szCs w:val="24"/>
        </w:rPr>
        <w:t>/</w:t>
      </w:r>
      <w:r>
        <w:rPr>
          <w:rFonts w:hint="eastAsia"/>
          <w:color w:val="auto"/>
          <w:sz w:val="24"/>
          <w:szCs w:val="24"/>
        </w:rPr>
        <w:t>（人</w:t>
      </w:r>
      <w:r>
        <w:rPr>
          <w:color w:val="auto"/>
          <w:sz w:val="24"/>
          <w:szCs w:val="24"/>
        </w:rPr>
        <w:t>▪</w:t>
      </w:r>
      <w:r>
        <w:rPr>
          <w:rFonts w:hint="eastAsia"/>
          <w:color w:val="auto"/>
          <w:sz w:val="24"/>
          <w:szCs w:val="24"/>
        </w:rPr>
        <w:t>a），则生活用水量为375</w:t>
      </w:r>
      <w:r>
        <w:rPr>
          <w:color w:val="auto"/>
          <w:sz w:val="24"/>
          <w:szCs w:val="24"/>
        </w:rPr>
        <w:t>m</w:t>
      </w:r>
      <w:r>
        <w:rPr>
          <w:color w:val="auto"/>
          <w:sz w:val="24"/>
          <w:szCs w:val="24"/>
          <w:vertAlign w:val="superscript"/>
        </w:rPr>
        <w:t>3</w:t>
      </w:r>
      <w:r>
        <w:rPr>
          <w:color w:val="auto"/>
          <w:sz w:val="24"/>
          <w:szCs w:val="24"/>
        </w:rPr>
        <w:t>/</w:t>
      </w:r>
      <w:r>
        <w:rPr>
          <w:rFonts w:hint="eastAsia"/>
          <w:color w:val="auto"/>
          <w:sz w:val="24"/>
          <w:szCs w:val="24"/>
        </w:rPr>
        <w:t>a，1.03</w:t>
      </w:r>
      <w:r>
        <w:rPr>
          <w:color w:val="auto"/>
          <w:sz w:val="24"/>
          <w:szCs w:val="24"/>
        </w:rPr>
        <w:t xml:space="preserve"> m</w:t>
      </w:r>
      <w:r>
        <w:rPr>
          <w:color w:val="auto"/>
          <w:sz w:val="24"/>
          <w:szCs w:val="24"/>
          <w:vertAlign w:val="superscript"/>
        </w:rPr>
        <w:t>3</w:t>
      </w:r>
      <w:r>
        <w:rPr>
          <w:color w:val="auto"/>
          <w:sz w:val="24"/>
          <w:szCs w:val="24"/>
        </w:rPr>
        <w:t>/</w:t>
      </w:r>
      <w:r>
        <w:rPr>
          <w:rFonts w:hint="eastAsia"/>
          <w:color w:val="auto"/>
          <w:sz w:val="24"/>
          <w:szCs w:val="24"/>
        </w:rPr>
        <w:t>d（年工作天数为365天）。产污系数以</w:t>
      </w:r>
      <w:r>
        <w:rPr>
          <w:color w:val="auto"/>
          <w:sz w:val="24"/>
          <w:szCs w:val="24"/>
        </w:rPr>
        <w:t>0.9</w:t>
      </w:r>
      <w:r>
        <w:rPr>
          <w:rFonts w:hint="eastAsia"/>
          <w:color w:val="auto"/>
          <w:sz w:val="24"/>
          <w:szCs w:val="24"/>
        </w:rPr>
        <w:t>计，则生活污水排放量为0.93</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本项目生活用水中的冲厕用水来自处理达标后的尾水，其余生活用水来自市政供水管网。根据《全国民用建筑工程设计技术措施:给水排水(2009年版)》（中国计划出版社）表9.2.3各类建筑物分项给水百分率，冲厕用水占办公楼用水的60%~66%，本评价以最小值60%进行计算，则项目</w:t>
      </w:r>
      <w:r>
        <w:rPr>
          <w:color w:val="auto"/>
          <w:sz w:val="24"/>
          <w:szCs w:val="24"/>
        </w:rPr>
        <w:t>冲厕用水量为</w:t>
      </w:r>
      <w:r>
        <w:rPr>
          <w:rFonts w:hint="eastAsia"/>
          <w:color w:val="auto"/>
          <w:sz w:val="24"/>
          <w:szCs w:val="24"/>
        </w:rPr>
        <w:t>0.62</w:t>
      </w:r>
      <w:r>
        <w:rPr>
          <w:color w:val="auto"/>
          <w:sz w:val="24"/>
          <w:szCs w:val="24"/>
        </w:rPr>
        <w:t xml:space="preserve"> m</w:t>
      </w:r>
      <w:r>
        <w:rPr>
          <w:color w:val="auto"/>
          <w:sz w:val="24"/>
          <w:szCs w:val="24"/>
          <w:vertAlign w:val="superscript"/>
        </w:rPr>
        <w:t>3</w:t>
      </w:r>
      <w:r>
        <w:rPr>
          <w:color w:val="auto"/>
          <w:sz w:val="24"/>
          <w:szCs w:val="24"/>
        </w:rPr>
        <w:t>/d。</w:t>
      </w:r>
      <w:r>
        <w:rPr>
          <w:rFonts w:hint="eastAsia"/>
          <w:color w:val="auto"/>
          <w:sz w:val="24"/>
          <w:szCs w:val="24"/>
        </w:rPr>
        <w:t>经计算，本项目市政供水管道提供的新鲜水用量为0.41</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项目产生的生活污水经本项目污水处理系统处理后达标排放。</w:t>
      </w:r>
    </w:p>
    <w:p>
      <w:pPr>
        <w:spacing w:line="360" w:lineRule="auto"/>
        <w:ind w:firstLine="482" w:firstLineChars="200"/>
        <w:rPr>
          <w:b/>
          <w:color w:val="auto"/>
          <w:sz w:val="24"/>
          <w:szCs w:val="24"/>
        </w:rPr>
      </w:pPr>
      <w:r>
        <w:rPr>
          <w:rFonts w:hint="eastAsia"/>
          <w:b/>
          <w:color w:val="auto"/>
          <w:sz w:val="24"/>
          <w:szCs w:val="24"/>
        </w:rPr>
        <w:t>5、绿化用水</w:t>
      </w:r>
    </w:p>
    <w:p>
      <w:pPr>
        <w:spacing w:line="360" w:lineRule="auto"/>
        <w:ind w:firstLine="480" w:firstLineChars="200"/>
        <w:rPr>
          <w:color w:val="auto"/>
          <w:sz w:val="24"/>
          <w:szCs w:val="24"/>
        </w:rPr>
      </w:pPr>
      <w:r>
        <w:rPr>
          <w:rFonts w:hint="eastAsia"/>
          <w:color w:val="auto"/>
          <w:sz w:val="24"/>
          <w:szCs w:val="24"/>
        </w:rPr>
        <w:t>本项目绿化面积为</w:t>
      </w:r>
      <w:r>
        <w:rPr>
          <w:color w:val="auto"/>
          <w:sz w:val="24"/>
          <w:szCs w:val="24"/>
        </w:rPr>
        <w:t>9000m</w:t>
      </w:r>
      <w:r>
        <w:rPr>
          <w:color w:val="auto"/>
          <w:sz w:val="24"/>
          <w:szCs w:val="24"/>
          <w:vertAlign w:val="superscript"/>
        </w:rPr>
        <w:t>2</w:t>
      </w:r>
      <w:r>
        <w:rPr>
          <w:rFonts w:hint="eastAsia"/>
          <w:color w:val="auto"/>
          <w:sz w:val="24"/>
          <w:szCs w:val="24"/>
        </w:rPr>
        <w:t>，用水定额参考广东省地方标准《用水定额 第3部分：生活》（DB44/T1461.3-2021）中“市内园林绿化-先进值”：0.7L</w:t>
      </w:r>
      <w:r>
        <w:rPr>
          <w:color w:val="auto"/>
          <w:sz w:val="24"/>
          <w:szCs w:val="24"/>
        </w:rPr>
        <w:t>/</w:t>
      </w:r>
      <w:r>
        <w:rPr>
          <w:rFonts w:hint="eastAsia"/>
          <w:color w:val="auto"/>
          <w:sz w:val="24"/>
          <w:szCs w:val="24"/>
        </w:rPr>
        <w:t>（m</w:t>
      </w:r>
      <w:r>
        <w:rPr>
          <w:rFonts w:hint="eastAsia"/>
          <w:color w:val="auto"/>
          <w:sz w:val="24"/>
          <w:szCs w:val="24"/>
          <w:vertAlign w:val="superscript"/>
        </w:rPr>
        <w:t>2</w:t>
      </w:r>
      <w:r>
        <w:rPr>
          <w:color w:val="auto"/>
          <w:sz w:val="24"/>
          <w:szCs w:val="24"/>
        </w:rPr>
        <w:t>▪</w:t>
      </w:r>
      <w:r>
        <w:rPr>
          <w:rFonts w:hint="eastAsia"/>
          <w:color w:val="auto"/>
          <w:sz w:val="24"/>
          <w:szCs w:val="24"/>
        </w:rPr>
        <w:t>d），则绿化用水量约为6.3m</w:t>
      </w:r>
      <w:r>
        <w:rPr>
          <w:rFonts w:hint="eastAsia"/>
          <w:color w:val="auto"/>
          <w:sz w:val="24"/>
          <w:szCs w:val="24"/>
          <w:vertAlign w:val="superscript"/>
        </w:rPr>
        <w:t>3</w:t>
      </w:r>
      <w:r>
        <w:rPr>
          <w:rFonts w:hint="eastAsia"/>
          <w:color w:val="auto"/>
          <w:sz w:val="24"/>
          <w:szCs w:val="24"/>
        </w:rPr>
        <w:t>/d。本项目绿化用水全部为水质净化厂处理达标后的尾水，绿化用水通过植物吸收及蒸发等方式损耗。</w:t>
      </w:r>
    </w:p>
    <w:p>
      <w:pPr>
        <w:spacing w:line="360" w:lineRule="auto"/>
        <w:ind w:firstLine="480" w:firstLineChars="200"/>
        <w:rPr>
          <w:color w:val="auto"/>
          <w:sz w:val="24"/>
          <w:szCs w:val="24"/>
        </w:rPr>
      </w:pPr>
      <w:r>
        <w:rPr>
          <w:rFonts w:hint="eastAsia"/>
          <w:color w:val="auto"/>
          <w:sz w:val="24"/>
          <w:szCs w:val="24"/>
        </w:rPr>
        <w:t>废水处理系统运行过程中不免会通过蒸发等方式产生损耗，损耗量约占处理水量的0.05%，结合本项目实际，废水处理系统废水损耗量约为4 m</w:t>
      </w:r>
      <w:r>
        <w:rPr>
          <w:rFonts w:hint="eastAsia"/>
          <w:color w:val="auto"/>
          <w:sz w:val="24"/>
          <w:szCs w:val="24"/>
          <w:vertAlign w:val="superscript"/>
        </w:rPr>
        <w:t>3</w:t>
      </w:r>
      <w:r>
        <w:rPr>
          <w:rFonts w:hint="eastAsia"/>
          <w:color w:val="auto"/>
          <w:sz w:val="24"/>
          <w:szCs w:val="24"/>
        </w:rPr>
        <w:t>/d。</w:t>
      </w:r>
    </w:p>
    <w:p>
      <w:pPr>
        <w:spacing w:line="360" w:lineRule="auto"/>
        <w:ind w:firstLine="480" w:firstLineChars="200"/>
        <w:rPr>
          <w:color w:val="auto"/>
          <w:sz w:val="24"/>
          <w:szCs w:val="24"/>
        </w:rPr>
      </w:pPr>
      <w:r>
        <w:rPr>
          <w:rFonts w:hint="eastAsia"/>
          <w:color w:val="auto"/>
          <w:sz w:val="24"/>
          <w:szCs w:val="24"/>
        </w:rPr>
        <w:t>综上所述，本项目水平衡情况见下表。</w:t>
      </w:r>
    </w:p>
    <w:p>
      <w:pPr>
        <w:spacing w:line="360" w:lineRule="auto"/>
        <w:ind w:firstLine="482" w:firstLineChars="200"/>
        <w:jc w:val="center"/>
        <w:rPr>
          <w:b/>
          <w:color w:val="auto"/>
          <w:sz w:val="24"/>
          <w:szCs w:val="24"/>
        </w:rPr>
      </w:pPr>
      <w:r>
        <w:rPr>
          <w:rFonts w:hint="eastAsia"/>
          <w:b/>
          <w:color w:val="auto"/>
          <w:sz w:val="24"/>
          <w:szCs w:val="24"/>
        </w:rPr>
        <w:t>表3-6-9   项目水平衡表  单位：m</w:t>
      </w:r>
      <w:r>
        <w:rPr>
          <w:rFonts w:hint="eastAsia"/>
          <w:b/>
          <w:color w:val="auto"/>
          <w:sz w:val="24"/>
          <w:szCs w:val="24"/>
          <w:vertAlign w:val="superscript"/>
        </w:rPr>
        <w:t>3</w:t>
      </w:r>
      <w:r>
        <w:rPr>
          <w:rFonts w:hint="eastAsia"/>
          <w:b/>
          <w:color w:val="auto"/>
          <w:sz w:val="24"/>
          <w:szCs w:val="24"/>
        </w:rPr>
        <w:t>/d</w:t>
      </w:r>
    </w:p>
    <w:tbl>
      <w:tblPr>
        <w:tblStyle w:val="29"/>
        <w:tblW w:w="7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992"/>
        <w:gridCol w:w="851"/>
        <w:gridCol w:w="992"/>
        <w:gridCol w:w="850"/>
        <w:gridCol w:w="993"/>
        <w:gridCol w:w="993"/>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项目</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新水或原水</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其他补充水</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总用水量</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蒸发损耗量</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废水产生量</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回用水量</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color w:val="auto"/>
                <w:kern w:val="0"/>
                <w:sz w:val="21"/>
                <w:szCs w:val="21"/>
              </w:rPr>
            </w:pPr>
            <w:r>
              <w:rPr>
                <w:rFonts w:hint="eastAsia" w:hAnsi="宋体" w:cs="宋体"/>
                <w:b/>
                <w:color w:val="auto"/>
                <w:kern w:val="0"/>
                <w:sz w:val="21"/>
                <w:szCs w:val="21"/>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hAnsi="宋体" w:cs="宋体"/>
                <w:color w:val="auto"/>
                <w:kern w:val="0"/>
                <w:sz w:val="21"/>
                <w:szCs w:val="21"/>
              </w:rPr>
              <w:t>接纳污水</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w:t>
            </w:r>
            <w:r>
              <w:rPr>
                <w:color w:val="auto"/>
                <w:kern w:val="0"/>
                <w:sz w:val="21"/>
                <w:szCs w:val="21"/>
              </w:rPr>
              <w:t>000</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color w:val="auto"/>
                <w:kern w:val="0"/>
                <w:sz w:val="21"/>
                <w:szCs w:val="21"/>
              </w:rPr>
              <w:t>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w:t>
            </w:r>
            <w:r>
              <w:rPr>
                <w:color w:val="auto"/>
                <w:kern w:val="0"/>
                <w:sz w:val="21"/>
                <w:szCs w:val="21"/>
              </w:rPr>
              <w:t>000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eastAsia="宋体"/>
                <w:color w:val="auto"/>
                <w:kern w:val="0"/>
                <w:sz w:val="21"/>
                <w:szCs w:val="21"/>
                <w:lang w:eastAsia="zh-CN"/>
              </w:rPr>
            </w:pPr>
            <w:r>
              <w:rPr>
                <w:rFonts w:hint="eastAsia"/>
                <w:color w:val="auto"/>
                <w:kern w:val="0"/>
                <w:sz w:val="21"/>
                <w:szCs w:val="21"/>
                <w:lang w:val="en-US" w:eastAsia="zh-CN"/>
              </w:rPr>
              <w:t>4</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eastAsia="宋体"/>
                <w:color w:val="auto"/>
                <w:kern w:val="0"/>
                <w:sz w:val="21"/>
                <w:szCs w:val="21"/>
                <w:lang w:val="en-US" w:eastAsia="zh-CN"/>
              </w:rPr>
            </w:pPr>
            <w:r>
              <w:rPr>
                <w:rFonts w:hint="eastAsia"/>
                <w:color w:val="auto"/>
                <w:kern w:val="0"/>
                <w:sz w:val="21"/>
                <w:szCs w:val="21"/>
                <w:lang w:val="en-US" w:eastAsia="zh-CN"/>
              </w:rPr>
              <w:t>7996</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highlight w:val="none"/>
              </w:rPr>
            </w:pPr>
            <w:r>
              <w:rPr>
                <w:rFonts w:hint="eastAsia"/>
                <w:color w:val="auto"/>
                <w:kern w:val="0"/>
                <w:sz w:val="21"/>
                <w:szCs w:val="21"/>
                <w:highlight w:val="none"/>
              </w:rPr>
              <w:t>2390.01</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5605.99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hAnsi="宋体" w:cs="宋体"/>
                <w:color w:val="auto"/>
                <w:kern w:val="0"/>
                <w:sz w:val="21"/>
                <w:szCs w:val="21"/>
              </w:rPr>
              <w:t>反冲洗废水</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color w:val="auto"/>
                <w:kern w:val="0"/>
                <w:sz w:val="21"/>
                <w:szCs w:val="21"/>
              </w:rPr>
              <w:t>0</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w:t>
            </w:r>
            <w:r>
              <w:rPr>
                <w:color w:val="auto"/>
                <w:kern w:val="0"/>
                <w:sz w:val="21"/>
                <w:szCs w:val="21"/>
              </w:rPr>
              <w:t>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w:t>
            </w:r>
            <w:r>
              <w:rPr>
                <w:color w:val="auto"/>
                <w:kern w:val="0"/>
                <w:sz w:val="21"/>
                <w:szCs w:val="21"/>
              </w:rPr>
              <w:t>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80</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eastAsia="宋体"/>
                <w:color w:val="auto"/>
                <w:kern w:val="0"/>
                <w:sz w:val="21"/>
                <w:szCs w:val="21"/>
                <w:lang w:eastAsia="zh-CN"/>
              </w:rPr>
            </w:pPr>
            <w:r>
              <w:rPr>
                <w:rFonts w:hint="eastAsia"/>
                <w:color w:val="auto"/>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hAnsi="宋体" w:cs="宋体"/>
                <w:color w:val="auto"/>
                <w:kern w:val="0"/>
                <w:sz w:val="21"/>
                <w:szCs w:val="21"/>
              </w:rPr>
              <w:t>污泥脱水机废水</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color w:val="auto"/>
                <w:kern w:val="0"/>
                <w:sz w:val="21"/>
                <w:szCs w:val="21"/>
              </w:rPr>
              <w:t>0</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color w:val="auto"/>
                <w:kern w:val="0"/>
                <w:sz w:val="21"/>
                <w:szCs w:val="21"/>
              </w:rPr>
              <w:t>0.5</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color w:val="auto"/>
                <w:kern w:val="0"/>
                <w:sz w:val="21"/>
                <w:szCs w:val="21"/>
              </w:rPr>
              <w:t>0.5</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0.5</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0.5</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eastAsia="宋体"/>
                <w:color w:val="auto"/>
                <w:kern w:val="0"/>
                <w:sz w:val="21"/>
                <w:szCs w:val="21"/>
                <w:lang w:eastAsia="zh-CN"/>
              </w:rPr>
            </w:pPr>
            <w:r>
              <w:rPr>
                <w:rFonts w:hint="eastAsia"/>
                <w:color w:val="auto"/>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hAnsi="宋体" w:cs="宋体"/>
                <w:color w:val="auto"/>
                <w:kern w:val="0"/>
                <w:sz w:val="21"/>
                <w:szCs w:val="21"/>
              </w:rPr>
              <w:t>生活污水</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0.41</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0.62</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1.03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0.1</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0.93</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eastAsia="宋体"/>
                <w:color w:val="auto"/>
                <w:kern w:val="0"/>
                <w:sz w:val="21"/>
                <w:szCs w:val="21"/>
                <w:lang w:val="en-US" w:eastAsia="zh-CN"/>
              </w:rPr>
            </w:pPr>
            <w:r>
              <w:rPr>
                <w:rFonts w:hint="eastAsia"/>
                <w:color w:val="auto"/>
                <w:kern w:val="0"/>
                <w:sz w:val="21"/>
                <w:szCs w:val="21"/>
              </w:rPr>
              <w:t>0.</w:t>
            </w:r>
            <w:r>
              <w:rPr>
                <w:rFonts w:hint="eastAsia"/>
                <w:color w:val="auto"/>
                <w:kern w:val="0"/>
                <w:sz w:val="21"/>
                <w:szCs w:val="21"/>
                <w:lang w:val="en-US" w:eastAsia="zh-CN"/>
              </w:rPr>
              <w:t>62</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eastAsia="宋体"/>
                <w:color w:val="auto"/>
                <w:kern w:val="0"/>
                <w:sz w:val="21"/>
                <w:szCs w:val="21"/>
                <w:lang w:val="en-US" w:eastAsia="zh-CN"/>
              </w:rPr>
            </w:pPr>
            <w:r>
              <w:rPr>
                <w:rFonts w:hint="eastAsia"/>
                <w:color w:val="auto"/>
                <w:kern w:val="0"/>
                <w:sz w:val="21"/>
                <w:szCs w:val="21"/>
              </w:rPr>
              <w:t>0.</w:t>
            </w:r>
            <w:r>
              <w:rPr>
                <w:rFonts w:hint="eastAsia"/>
                <w:color w:val="auto"/>
                <w:kern w:val="0"/>
                <w:sz w:val="21"/>
                <w:szCs w:val="21"/>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hAnsi="宋体" w:cs="宋体"/>
                <w:color w:val="auto"/>
                <w:kern w:val="0"/>
                <w:sz w:val="21"/>
                <w:szCs w:val="21"/>
              </w:rPr>
              <w:t>绿化用水</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color w:val="auto"/>
                <w:kern w:val="0"/>
                <w:sz w:val="21"/>
                <w:szCs w:val="21"/>
              </w:rPr>
              <w:t>0</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6.3</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6.3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6.3</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color w:val="auto"/>
                <w:kern w:val="0"/>
                <w:sz w:val="21"/>
                <w:szCs w:val="21"/>
              </w:rPr>
              <w:t>0</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eastAsia="宋体"/>
                <w:color w:val="auto"/>
                <w:kern w:val="0"/>
                <w:sz w:val="21"/>
                <w:szCs w:val="21"/>
                <w:lang w:val="en-US" w:eastAsia="zh-CN"/>
              </w:rPr>
            </w:pPr>
            <w:r>
              <w:rPr>
                <w:rFonts w:hint="eastAsia"/>
                <w:color w:val="auto"/>
                <w:kern w:val="0"/>
                <w:sz w:val="21"/>
                <w:szCs w:val="21"/>
                <w:lang w:val="en-US" w:eastAsia="zh-CN"/>
              </w:rPr>
              <w:t>6.3</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eastAsia="宋体"/>
                <w:color w:val="auto"/>
                <w:kern w:val="0"/>
                <w:sz w:val="21"/>
                <w:szCs w:val="21"/>
                <w:lang w:val="en-US" w:eastAsia="zh-CN"/>
              </w:rPr>
            </w:pPr>
            <w:r>
              <w:rPr>
                <w:rFonts w:hint="eastAsia"/>
                <w:color w:val="auto"/>
                <w:kern w:val="0"/>
                <w:sz w:val="21"/>
                <w:szCs w:val="21"/>
                <w:lang w:val="en-US" w:eastAsia="zh-C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hAnsi="宋体" w:cs="宋体"/>
                <w:color w:val="auto"/>
                <w:kern w:val="0"/>
                <w:sz w:val="21"/>
                <w:szCs w:val="21"/>
              </w:rPr>
              <w:t>合计</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w:t>
            </w:r>
            <w:r>
              <w:rPr>
                <w:color w:val="auto"/>
                <w:kern w:val="0"/>
                <w:sz w:val="21"/>
                <w:szCs w:val="21"/>
              </w:rPr>
              <w:t>00</w:t>
            </w:r>
            <w:r>
              <w:rPr>
                <w:rFonts w:hint="eastAsia"/>
                <w:color w:val="auto"/>
                <w:kern w:val="0"/>
                <w:sz w:val="21"/>
                <w:szCs w:val="21"/>
              </w:rPr>
              <w:t>0.41</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87.42</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8087.83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10.4</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8077.43</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eastAsia="宋体"/>
                <w:color w:val="auto"/>
                <w:kern w:val="0"/>
                <w:sz w:val="21"/>
                <w:szCs w:val="21"/>
                <w:lang w:val="en-US" w:eastAsia="zh-CN"/>
              </w:rPr>
            </w:pPr>
            <w:r>
              <w:rPr>
                <w:rFonts w:hint="eastAsia"/>
                <w:color w:val="auto"/>
                <w:kern w:val="0"/>
                <w:sz w:val="21"/>
                <w:szCs w:val="21"/>
                <w:lang w:val="en-US" w:eastAsia="zh-CN"/>
              </w:rPr>
              <w:t>2477.43</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kern w:val="0"/>
                <w:sz w:val="21"/>
                <w:szCs w:val="21"/>
              </w:rPr>
            </w:pPr>
            <w:r>
              <w:rPr>
                <w:rFonts w:hint="eastAsia"/>
                <w:color w:val="auto"/>
                <w:kern w:val="0"/>
                <w:sz w:val="21"/>
                <w:szCs w:val="21"/>
              </w:rPr>
              <w:t>5600</w:t>
            </w:r>
          </w:p>
        </w:tc>
      </w:tr>
    </w:tbl>
    <w:p>
      <w:pPr>
        <w:spacing w:line="360" w:lineRule="auto"/>
        <w:ind w:firstLine="480" w:firstLineChars="200"/>
        <w:rPr>
          <w:color w:val="auto"/>
          <w:sz w:val="24"/>
          <w:szCs w:val="24"/>
        </w:rPr>
      </w:pPr>
      <w:r>
        <w:rPr>
          <w:rFonts w:hint="eastAsia"/>
          <w:color w:val="auto"/>
          <w:sz w:val="24"/>
          <w:szCs w:val="24"/>
        </w:rPr>
        <w:t>本项目水平衡图见下。</w:t>
      </w:r>
    </w:p>
    <w:p>
      <w:pPr>
        <w:spacing w:line="360" w:lineRule="auto"/>
        <w:jc w:val="center"/>
        <w:rPr>
          <w:color w:val="auto"/>
          <w:sz w:val="24"/>
          <w:szCs w:val="24"/>
        </w:rPr>
      </w:pPr>
      <w:r>
        <w:rPr>
          <w:color w:val="auto"/>
          <w:sz w:val="24"/>
          <w:szCs w:val="24"/>
        </w:rPr>
        <w:drawing>
          <wp:inline distT="0" distB="0" distL="0" distR="0">
            <wp:extent cx="5274310" cy="1479550"/>
            <wp:effectExtent l="1905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34" cstate="print"/>
                    <a:srcRect/>
                    <a:stretch>
                      <a:fillRect/>
                    </a:stretch>
                  </pic:blipFill>
                  <pic:spPr>
                    <a:xfrm>
                      <a:off x="0" y="0"/>
                      <a:ext cx="5274310" cy="1480168"/>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图3-6-4   项目水平衡图（单位：m</w:t>
      </w:r>
      <w:r>
        <w:rPr>
          <w:rFonts w:hint="eastAsia"/>
          <w:b/>
          <w:color w:val="auto"/>
          <w:sz w:val="24"/>
          <w:szCs w:val="24"/>
          <w:vertAlign w:val="superscript"/>
        </w:rPr>
        <w:t>3</w:t>
      </w:r>
      <w:r>
        <w:rPr>
          <w:rFonts w:hint="eastAsia"/>
          <w:b/>
          <w:color w:val="auto"/>
          <w:sz w:val="24"/>
          <w:szCs w:val="24"/>
        </w:rPr>
        <w:t>/d）</w:t>
      </w:r>
    </w:p>
    <w:p>
      <w:pPr>
        <w:spacing w:line="360" w:lineRule="auto"/>
        <w:ind w:firstLine="480" w:firstLineChars="200"/>
        <w:rPr>
          <w:color w:val="auto"/>
          <w:sz w:val="24"/>
          <w:szCs w:val="24"/>
        </w:rPr>
      </w:pPr>
      <w:r>
        <w:rPr>
          <w:rFonts w:hint="eastAsia"/>
          <w:color w:val="auto"/>
          <w:sz w:val="24"/>
          <w:szCs w:val="24"/>
        </w:rPr>
        <w:t>根据前文论述，本项目设计污水处理规模为0.8万m</w:t>
      </w:r>
      <w:r>
        <w:rPr>
          <w:rFonts w:hint="eastAsia"/>
          <w:color w:val="auto"/>
          <w:sz w:val="24"/>
          <w:szCs w:val="24"/>
          <w:vertAlign w:val="superscript"/>
        </w:rPr>
        <w:t>3</w:t>
      </w:r>
      <w:r>
        <w:rPr>
          <w:rFonts w:hint="eastAsia"/>
          <w:color w:val="auto"/>
          <w:sz w:val="24"/>
          <w:szCs w:val="24"/>
        </w:rPr>
        <w:t>/d，污水处理工艺采用“曝气沉砂池+应急沉淀池+倒置AAO+曝气生物滤池+高效沉淀池+转盘滤池+消毒接触池”，尾水排放执行《地表水环境质量标准》（GB3838-2002）的准Ⅳ类标准（即SS、粪大肠菌群数达到《城镇污水处理厂污染物排放标准》（GB18918-2002）中的一级A出水标准，其它主要污染指标达到地表水Ⅳ类标准，TN放宽至10mg/L），经处理达标后的尾水部分回用于水质净化厂自用、园区内城市绿化、道路清扫和冲厕，其余均排入大嵩河，排放水量为5600m</w:t>
      </w:r>
      <w:r>
        <w:rPr>
          <w:rFonts w:hint="eastAsia"/>
          <w:color w:val="auto"/>
          <w:sz w:val="24"/>
          <w:szCs w:val="24"/>
          <w:vertAlign w:val="superscript"/>
        </w:rPr>
        <w:t>3</w:t>
      </w:r>
      <w:r>
        <w:rPr>
          <w:rFonts w:hint="eastAsia"/>
          <w:color w:val="auto"/>
          <w:sz w:val="24"/>
          <w:szCs w:val="24"/>
        </w:rPr>
        <w:t>/d。本项目污水处理系统产排情况见下表。</w:t>
      </w:r>
    </w:p>
    <w:p>
      <w:pPr>
        <w:spacing w:line="360" w:lineRule="auto"/>
        <w:jc w:val="center"/>
        <w:rPr>
          <w:b/>
          <w:color w:val="auto"/>
          <w:sz w:val="24"/>
          <w:szCs w:val="24"/>
        </w:rPr>
      </w:pPr>
      <w:r>
        <w:rPr>
          <w:rFonts w:hint="eastAsia"/>
          <w:b/>
          <w:color w:val="auto"/>
          <w:sz w:val="24"/>
          <w:szCs w:val="24"/>
        </w:rPr>
        <w:t>表3-6-10   项目污水处理系统产排情况一览表</w:t>
      </w:r>
    </w:p>
    <w:tbl>
      <w:tblPr>
        <w:tblStyle w:val="28"/>
        <w:tblW w:w="8420" w:type="dxa"/>
        <w:tblInd w:w="94" w:type="dxa"/>
        <w:tblLayout w:type="fixed"/>
        <w:tblCellMar>
          <w:top w:w="0" w:type="dxa"/>
          <w:left w:w="108" w:type="dxa"/>
          <w:bottom w:w="0" w:type="dxa"/>
          <w:right w:w="108" w:type="dxa"/>
        </w:tblCellMar>
      </w:tblPr>
      <w:tblGrid>
        <w:gridCol w:w="1940"/>
        <w:gridCol w:w="1080"/>
        <w:gridCol w:w="1080"/>
        <w:gridCol w:w="1080"/>
        <w:gridCol w:w="1080"/>
        <w:gridCol w:w="1080"/>
        <w:gridCol w:w="1080"/>
      </w:tblGrid>
      <w:tr>
        <w:tblPrEx>
          <w:tblCellMar>
            <w:top w:w="0" w:type="dxa"/>
            <w:left w:w="108" w:type="dxa"/>
            <w:bottom w:w="0" w:type="dxa"/>
            <w:right w:w="108" w:type="dxa"/>
          </w:tblCellMar>
        </w:tblPrEx>
        <w:trPr>
          <w:trHeight w:val="300" w:hRule="atLeast"/>
        </w:trPr>
        <w:tc>
          <w:tcPr>
            <w:tcW w:w="1940" w:type="dxa"/>
            <w:tcBorders>
              <w:top w:val="single" w:color="auto" w:sz="4" w:space="0"/>
              <w:left w:val="single" w:color="auto" w:sz="4" w:space="0"/>
              <w:bottom w:val="single" w:color="auto" w:sz="4" w:space="0"/>
              <w:right w:val="single" w:color="auto" w:sz="4" w:space="0"/>
              <w:tl2br w:val="single" w:color="auto" w:sz="4" w:space="0"/>
            </w:tcBorders>
            <w:shd w:val="clear" w:color="auto" w:fill="auto"/>
            <w:noWrap/>
            <w:vAlign w:val="center"/>
          </w:tcPr>
          <w:p>
            <w:pPr>
              <w:widowControl/>
              <w:adjustRightInd w:val="0"/>
              <w:snapToGrid w:val="0"/>
              <w:jc w:val="center"/>
              <w:rPr>
                <w:b/>
                <w:color w:val="auto"/>
                <w:kern w:val="0"/>
                <w:sz w:val="21"/>
                <w:szCs w:val="21"/>
              </w:rPr>
            </w:pPr>
            <w:r>
              <w:rPr>
                <w:rFonts w:hAnsi="宋体"/>
                <w:b/>
                <w:color w:val="auto"/>
                <w:kern w:val="0"/>
                <w:sz w:val="21"/>
                <w:szCs w:val="21"/>
              </w:rPr>
              <w:t>污染物</w:t>
            </w:r>
          </w:p>
          <w:p>
            <w:pPr>
              <w:widowControl/>
              <w:adjustRightInd w:val="0"/>
              <w:snapToGrid w:val="0"/>
              <w:jc w:val="center"/>
              <w:rPr>
                <w:b/>
                <w:color w:val="auto"/>
                <w:kern w:val="0"/>
                <w:sz w:val="21"/>
                <w:szCs w:val="21"/>
              </w:rPr>
            </w:pPr>
            <w:r>
              <w:rPr>
                <w:rFonts w:hAnsi="宋体"/>
                <w:b/>
                <w:color w:val="auto"/>
                <w:kern w:val="0"/>
                <w:sz w:val="21"/>
                <w:szCs w:val="21"/>
              </w:rPr>
              <w:t>项目</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b/>
                <w:color w:val="auto"/>
                <w:kern w:val="0"/>
                <w:sz w:val="21"/>
                <w:szCs w:val="21"/>
              </w:rPr>
            </w:pPr>
            <w:r>
              <w:rPr>
                <w:b/>
                <w:color w:val="auto"/>
                <w:kern w:val="0"/>
                <w:sz w:val="21"/>
                <w:szCs w:val="21"/>
              </w:rPr>
              <w:t>COD</w:t>
            </w:r>
            <w:r>
              <w:rPr>
                <w:b/>
                <w:color w:val="auto"/>
                <w:kern w:val="0"/>
                <w:sz w:val="21"/>
                <w:szCs w:val="21"/>
                <w:vertAlign w:val="subscript"/>
              </w:rPr>
              <w:t>Cr</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b/>
                <w:color w:val="auto"/>
                <w:kern w:val="0"/>
                <w:sz w:val="21"/>
                <w:szCs w:val="21"/>
              </w:rPr>
            </w:pPr>
            <w:r>
              <w:rPr>
                <w:b/>
                <w:color w:val="auto"/>
                <w:kern w:val="0"/>
                <w:sz w:val="21"/>
                <w:szCs w:val="21"/>
              </w:rPr>
              <w:t>BOD</w:t>
            </w:r>
            <w:r>
              <w:rPr>
                <w:b/>
                <w:color w:val="auto"/>
                <w:kern w:val="0"/>
                <w:sz w:val="21"/>
                <w:szCs w:val="21"/>
                <w:vertAlign w:val="subscript"/>
              </w:rPr>
              <w:t>5</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b/>
                <w:color w:val="auto"/>
                <w:kern w:val="0"/>
                <w:sz w:val="21"/>
                <w:szCs w:val="21"/>
              </w:rPr>
            </w:pPr>
            <w:r>
              <w:rPr>
                <w:b/>
                <w:color w:val="auto"/>
                <w:kern w:val="0"/>
                <w:sz w:val="21"/>
                <w:szCs w:val="21"/>
              </w:rPr>
              <w:t>SS</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b/>
                <w:color w:val="auto"/>
                <w:kern w:val="0"/>
                <w:sz w:val="21"/>
                <w:szCs w:val="21"/>
              </w:rPr>
            </w:pPr>
            <w:r>
              <w:rPr>
                <w:b/>
                <w:color w:val="auto"/>
                <w:kern w:val="0"/>
                <w:sz w:val="21"/>
                <w:szCs w:val="21"/>
              </w:rPr>
              <w:t>TN</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b/>
                <w:color w:val="auto"/>
                <w:kern w:val="0"/>
                <w:sz w:val="21"/>
                <w:szCs w:val="21"/>
              </w:rPr>
            </w:pPr>
            <w:r>
              <w:rPr>
                <w:b/>
                <w:color w:val="auto"/>
                <w:kern w:val="0"/>
                <w:sz w:val="21"/>
                <w:szCs w:val="21"/>
              </w:rPr>
              <w:t>NH</w:t>
            </w:r>
            <w:r>
              <w:rPr>
                <w:b/>
                <w:color w:val="auto"/>
                <w:kern w:val="0"/>
                <w:sz w:val="21"/>
                <w:szCs w:val="21"/>
                <w:vertAlign w:val="subscript"/>
              </w:rPr>
              <w:t>3</w:t>
            </w:r>
            <w:r>
              <w:rPr>
                <w:b/>
                <w:color w:val="auto"/>
                <w:kern w:val="0"/>
                <w:sz w:val="21"/>
                <w:szCs w:val="21"/>
              </w:rPr>
              <w:t>-N</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b/>
                <w:color w:val="auto"/>
                <w:kern w:val="0"/>
                <w:sz w:val="21"/>
                <w:szCs w:val="21"/>
              </w:rPr>
            </w:pPr>
            <w:r>
              <w:rPr>
                <w:b/>
                <w:color w:val="auto"/>
                <w:kern w:val="0"/>
                <w:sz w:val="21"/>
                <w:szCs w:val="21"/>
              </w:rPr>
              <w:t>TP</w:t>
            </w:r>
          </w:p>
        </w:tc>
      </w:tr>
      <w:tr>
        <w:tblPrEx>
          <w:tblCellMar>
            <w:top w:w="0" w:type="dxa"/>
            <w:left w:w="108" w:type="dxa"/>
            <w:bottom w:w="0" w:type="dxa"/>
            <w:right w:w="108" w:type="dxa"/>
          </w:tblCellMar>
        </w:tblPrEx>
        <w:trPr>
          <w:trHeight w:val="27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进水浓度（</w:t>
            </w:r>
            <w:r>
              <w:rPr>
                <w:color w:val="auto"/>
                <w:kern w:val="0"/>
                <w:sz w:val="21"/>
                <w:szCs w:val="21"/>
              </w:rPr>
              <w:t>mg/L</w:t>
            </w:r>
            <w:r>
              <w:rPr>
                <w:rFonts w:hAnsi="宋体"/>
                <w:color w:val="auto"/>
                <w:kern w:val="0"/>
                <w:sz w:val="21"/>
                <w:szCs w:val="21"/>
              </w:rPr>
              <w:t>）</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500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200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300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50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40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8</w:t>
            </w:r>
          </w:p>
        </w:tc>
      </w:tr>
      <w:tr>
        <w:tblPrEx>
          <w:tblCellMar>
            <w:top w:w="0" w:type="dxa"/>
            <w:left w:w="108" w:type="dxa"/>
            <w:bottom w:w="0" w:type="dxa"/>
            <w:right w:w="108" w:type="dxa"/>
          </w:tblCellMar>
        </w:tblPrEx>
        <w:trPr>
          <w:trHeight w:val="27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进水水量（</w:t>
            </w:r>
            <w:r>
              <w:rPr>
                <w:color w:val="auto"/>
                <w:kern w:val="0"/>
                <w:sz w:val="21"/>
                <w:szCs w:val="21"/>
              </w:rPr>
              <w:t>t/a</w:t>
            </w:r>
            <w:r>
              <w:rPr>
                <w:rFonts w:hAnsi="宋体"/>
                <w:color w:val="auto"/>
                <w:kern w:val="0"/>
                <w:sz w:val="21"/>
                <w:szCs w:val="21"/>
              </w:rPr>
              <w:t>）</w:t>
            </w:r>
          </w:p>
        </w:tc>
        <w:tc>
          <w:tcPr>
            <w:tcW w:w="6480" w:type="dxa"/>
            <w:gridSpan w:val="6"/>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8000×365=2920000</w:t>
            </w:r>
          </w:p>
        </w:tc>
      </w:tr>
      <w:tr>
        <w:tblPrEx>
          <w:tblCellMar>
            <w:top w:w="0" w:type="dxa"/>
            <w:left w:w="108" w:type="dxa"/>
            <w:bottom w:w="0" w:type="dxa"/>
            <w:right w:w="108" w:type="dxa"/>
          </w:tblCellMar>
        </w:tblPrEx>
        <w:trPr>
          <w:trHeight w:val="27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处理总量（</w:t>
            </w:r>
            <w:r>
              <w:rPr>
                <w:color w:val="auto"/>
                <w:kern w:val="0"/>
                <w:sz w:val="21"/>
                <w:szCs w:val="21"/>
              </w:rPr>
              <w:t>t/a</w:t>
            </w:r>
            <w:r>
              <w:rPr>
                <w:rFonts w:hAnsi="宋体"/>
                <w:color w:val="auto"/>
                <w:kern w:val="0"/>
                <w:sz w:val="21"/>
                <w:szCs w:val="21"/>
              </w:rPr>
              <w:t>）</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1460</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584</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876</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146</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116.8</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23.36</w:t>
            </w:r>
          </w:p>
        </w:tc>
      </w:tr>
      <w:tr>
        <w:tblPrEx>
          <w:tblCellMar>
            <w:top w:w="0" w:type="dxa"/>
            <w:left w:w="108" w:type="dxa"/>
            <w:bottom w:w="0" w:type="dxa"/>
            <w:right w:w="108" w:type="dxa"/>
          </w:tblCellMar>
        </w:tblPrEx>
        <w:trPr>
          <w:trHeight w:val="27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出水浓度（</w:t>
            </w:r>
            <w:r>
              <w:rPr>
                <w:color w:val="auto"/>
                <w:kern w:val="0"/>
                <w:sz w:val="21"/>
                <w:szCs w:val="21"/>
              </w:rPr>
              <w:t>mg/L</w:t>
            </w:r>
            <w:r>
              <w:rPr>
                <w:rFonts w:hAnsi="宋体"/>
                <w:color w:val="auto"/>
                <w:kern w:val="0"/>
                <w:sz w:val="21"/>
                <w:szCs w:val="21"/>
              </w:rPr>
              <w:t>）</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30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6</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10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10</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1.5</w:t>
            </w:r>
          </w:p>
        </w:tc>
        <w:tc>
          <w:tcPr>
            <w:tcW w:w="1080"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0.3</w:t>
            </w:r>
          </w:p>
        </w:tc>
      </w:tr>
      <w:tr>
        <w:tblPrEx>
          <w:tblCellMar>
            <w:top w:w="0" w:type="dxa"/>
            <w:left w:w="108" w:type="dxa"/>
            <w:bottom w:w="0" w:type="dxa"/>
            <w:right w:w="108" w:type="dxa"/>
          </w:tblCellMar>
        </w:tblPrEx>
        <w:trPr>
          <w:trHeight w:val="27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回用水量（</w:t>
            </w:r>
            <w:r>
              <w:rPr>
                <w:color w:val="auto"/>
                <w:kern w:val="0"/>
                <w:sz w:val="21"/>
                <w:szCs w:val="21"/>
              </w:rPr>
              <w:t>t/a</w:t>
            </w:r>
            <w:r>
              <w:rPr>
                <w:rFonts w:hAnsi="宋体"/>
                <w:color w:val="auto"/>
                <w:kern w:val="0"/>
                <w:sz w:val="21"/>
                <w:szCs w:val="21"/>
              </w:rPr>
              <w:t>）</w:t>
            </w:r>
          </w:p>
        </w:tc>
        <w:tc>
          <w:tcPr>
            <w:tcW w:w="6480" w:type="dxa"/>
            <w:gridSpan w:val="6"/>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2400×365=876000</w:t>
            </w:r>
          </w:p>
        </w:tc>
      </w:tr>
      <w:tr>
        <w:tblPrEx>
          <w:tblCellMar>
            <w:top w:w="0" w:type="dxa"/>
            <w:left w:w="108" w:type="dxa"/>
            <w:bottom w:w="0" w:type="dxa"/>
            <w:right w:w="108" w:type="dxa"/>
          </w:tblCellMar>
        </w:tblPrEx>
        <w:trPr>
          <w:trHeight w:val="27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回用总量（</w:t>
            </w:r>
            <w:r>
              <w:rPr>
                <w:color w:val="auto"/>
                <w:kern w:val="0"/>
                <w:sz w:val="21"/>
                <w:szCs w:val="21"/>
              </w:rPr>
              <w:t>t/a</w:t>
            </w:r>
            <w:r>
              <w:rPr>
                <w:rFonts w:hAnsi="宋体"/>
                <w:color w:val="auto"/>
                <w:kern w:val="0"/>
                <w:sz w:val="21"/>
                <w:szCs w:val="21"/>
              </w:rPr>
              <w:t>）</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26.28</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5.256</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8.76</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8.76</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1.314</w:t>
            </w:r>
          </w:p>
        </w:tc>
        <w:tc>
          <w:tcPr>
            <w:tcW w:w="1080" w:type="dxa"/>
            <w:tcBorders>
              <w:top w:val="nil"/>
              <w:left w:val="nil"/>
              <w:bottom w:val="single" w:color="auto" w:sz="4" w:space="0"/>
              <w:right w:val="single" w:color="auto" w:sz="4" w:space="0"/>
            </w:tcBorders>
            <w:shd w:val="clear" w:color="auto" w:fill="auto"/>
            <w:vAlign w:val="center"/>
          </w:tcPr>
          <w:p>
            <w:pPr>
              <w:adjustRightInd w:val="0"/>
              <w:snapToGrid w:val="0"/>
              <w:jc w:val="center"/>
              <w:rPr>
                <w:color w:val="auto"/>
                <w:sz w:val="21"/>
                <w:szCs w:val="21"/>
              </w:rPr>
            </w:pPr>
            <w:r>
              <w:rPr>
                <w:color w:val="auto"/>
                <w:sz w:val="21"/>
                <w:szCs w:val="21"/>
              </w:rPr>
              <w:t>0.2628</w:t>
            </w:r>
          </w:p>
        </w:tc>
      </w:tr>
      <w:tr>
        <w:tblPrEx>
          <w:tblCellMar>
            <w:top w:w="0" w:type="dxa"/>
            <w:left w:w="108" w:type="dxa"/>
            <w:bottom w:w="0" w:type="dxa"/>
            <w:right w:w="108" w:type="dxa"/>
          </w:tblCellMar>
        </w:tblPrEx>
        <w:trPr>
          <w:trHeight w:val="27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排放水量（</w:t>
            </w:r>
            <w:r>
              <w:rPr>
                <w:color w:val="auto"/>
                <w:kern w:val="0"/>
                <w:sz w:val="21"/>
                <w:szCs w:val="21"/>
              </w:rPr>
              <w:t>t/a</w:t>
            </w:r>
            <w:r>
              <w:rPr>
                <w:rFonts w:hAnsi="宋体"/>
                <w:color w:val="auto"/>
                <w:kern w:val="0"/>
                <w:sz w:val="21"/>
                <w:szCs w:val="21"/>
              </w:rPr>
              <w:t>）</w:t>
            </w:r>
          </w:p>
        </w:tc>
        <w:tc>
          <w:tcPr>
            <w:tcW w:w="6480" w:type="dxa"/>
            <w:gridSpan w:val="6"/>
            <w:tcBorders>
              <w:top w:val="nil"/>
              <w:left w:val="nil"/>
              <w:bottom w:val="single" w:color="auto" w:sz="4" w:space="0"/>
              <w:right w:val="single" w:color="auto" w:sz="4" w:space="0"/>
            </w:tcBorders>
            <w:shd w:val="clear" w:color="auto" w:fill="auto"/>
            <w:vAlign w:val="center"/>
          </w:tcPr>
          <w:p>
            <w:pPr>
              <w:widowControl/>
              <w:adjustRightInd w:val="0"/>
              <w:snapToGrid w:val="0"/>
              <w:jc w:val="center"/>
              <w:rPr>
                <w:color w:val="auto"/>
                <w:kern w:val="0"/>
                <w:sz w:val="21"/>
                <w:szCs w:val="21"/>
              </w:rPr>
            </w:pPr>
            <w:r>
              <w:rPr>
                <w:color w:val="auto"/>
                <w:kern w:val="0"/>
                <w:sz w:val="21"/>
                <w:szCs w:val="21"/>
              </w:rPr>
              <w:t>5600×365=2044000</w:t>
            </w:r>
          </w:p>
        </w:tc>
      </w:tr>
      <w:tr>
        <w:tblPrEx>
          <w:tblCellMar>
            <w:top w:w="0" w:type="dxa"/>
            <w:left w:w="108" w:type="dxa"/>
            <w:bottom w:w="0" w:type="dxa"/>
            <w:right w:w="108" w:type="dxa"/>
          </w:tblCellMar>
        </w:tblPrEx>
        <w:trPr>
          <w:trHeight w:val="30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排放量（</w:t>
            </w:r>
            <w:r>
              <w:rPr>
                <w:color w:val="auto"/>
                <w:kern w:val="0"/>
                <w:sz w:val="21"/>
                <w:szCs w:val="21"/>
              </w:rPr>
              <w:t>t/a</w:t>
            </w:r>
            <w:r>
              <w:rPr>
                <w:rFonts w:hAnsi="宋体"/>
                <w:color w:val="auto"/>
                <w:kern w:val="0"/>
                <w:sz w:val="21"/>
                <w:szCs w:val="21"/>
              </w:rPr>
              <w:t>）</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61.32</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12.264</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20.44</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20.44</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3.066</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0.6132</w:t>
            </w:r>
          </w:p>
        </w:tc>
      </w:tr>
      <w:tr>
        <w:tblPrEx>
          <w:tblCellMar>
            <w:top w:w="0" w:type="dxa"/>
            <w:left w:w="108" w:type="dxa"/>
            <w:bottom w:w="0" w:type="dxa"/>
            <w:right w:w="108" w:type="dxa"/>
          </w:tblCellMar>
        </w:tblPrEx>
        <w:trPr>
          <w:trHeight w:val="300" w:hRule="atLeast"/>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color w:val="auto"/>
                <w:kern w:val="0"/>
                <w:sz w:val="21"/>
                <w:szCs w:val="21"/>
              </w:rPr>
            </w:pPr>
            <w:r>
              <w:rPr>
                <w:rFonts w:hAnsi="宋体"/>
                <w:color w:val="auto"/>
                <w:kern w:val="0"/>
                <w:sz w:val="21"/>
                <w:szCs w:val="21"/>
              </w:rPr>
              <w:t>削减量（</w:t>
            </w:r>
            <w:r>
              <w:rPr>
                <w:color w:val="auto"/>
                <w:kern w:val="0"/>
                <w:sz w:val="21"/>
                <w:szCs w:val="21"/>
              </w:rPr>
              <w:t>t/a</w:t>
            </w:r>
            <w:r>
              <w:rPr>
                <w:rFonts w:hAnsi="宋体"/>
                <w:color w:val="auto"/>
                <w:kern w:val="0"/>
                <w:sz w:val="21"/>
                <w:szCs w:val="21"/>
              </w:rPr>
              <w:t>）</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1372.4</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566.48</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846.8</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116.8</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112.42</w:t>
            </w:r>
          </w:p>
        </w:tc>
        <w:tc>
          <w:tcPr>
            <w:tcW w:w="1080"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color w:val="auto"/>
                <w:sz w:val="21"/>
                <w:szCs w:val="21"/>
              </w:rPr>
            </w:pPr>
            <w:r>
              <w:rPr>
                <w:color w:val="auto"/>
                <w:sz w:val="21"/>
                <w:szCs w:val="21"/>
              </w:rPr>
              <w:t>22.484</w:t>
            </w:r>
          </w:p>
        </w:tc>
      </w:tr>
    </w:tbl>
    <w:p>
      <w:pPr>
        <w:pStyle w:val="5"/>
        <w:rPr>
          <w:color w:val="auto"/>
        </w:rPr>
      </w:pPr>
      <w:r>
        <w:rPr>
          <w:rFonts w:hint="eastAsia"/>
          <w:color w:val="auto"/>
        </w:rPr>
        <w:t>3.6.3.3噪声分析</w:t>
      </w:r>
    </w:p>
    <w:p>
      <w:pPr>
        <w:spacing w:line="360" w:lineRule="auto"/>
        <w:ind w:firstLine="480" w:firstLineChars="200"/>
        <w:jc w:val="left"/>
        <w:rPr>
          <w:color w:val="auto"/>
          <w:sz w:val="24"/>
          <w:szCs w:val="24"/>
        </w:rPr>
      </w:pPr>
      <w:r>
        <w:rPr>
          <w:rFonts w:hint="eastAsia"/>
          <w:color w:val="auto"/>
          <w:sz w:val="24"/>
          <w:szCs w:val="24"/>
        </w:rPr>
        <w:t>工程噪声主要来自各类泵、风机、空压机等机械设备，这些设备主要集中在格栅井、滤池、泵房、污泥处理单元、风机房等构筑物内，参考《环境工程手册 环境噪声控制卷》（郑长聚主编，高等教育出版社）、《环境噪声控制工程》（洪宗辉主编，高等教育出版社），本项目主要机械设备噪声值见下表。项目噪声通过采取基础减震、消声、隔声等措施，正常运行时对环境影响不大。</w:t>
      </w:r>
    </w:p>
    <w:p>
      <w:pPr>
        <w:spacing w:line="360" w:lineRule="auto"/>
        <w:jc w:val="center"/>
        <w:rPr>
          <w:b/>
          <w:color w:val="auto"/>
          <w:sz w:val="24"/>
          <w:szCs w:val="24"/>
        </w:rPr>
      </w:pPr>
      <w:r>
        <w:rPr>
          <w:rFonts w:hint="eastAsia"/>
          <w:b/>
          <w:color w:val="auto"/>
          <w:sz w:val="24"/>
          <w:szCs w:val="24"/>
        </w:rPr>
        <w:t>表3-6-11   项目主要设备噪声级一览表   单位：dB</w:t>
      </w:r>
    </w:p>
    <w:tbl>
      <w:tblPr>
        <w:tblStyle w:val="28"/>
        <w:tblW w:w="8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701"/>
        <w:gridCol w:w="567"/>
        <w:gridCol w:w="709"/>
        <w:gridCol w:w="850"/>
        <w:gridCol w:w="2094"/>
        <w:gridCol w:w="818"/>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b/>
                <w:color w:val="auto"/>
                <w:sz w:val="21"/>
                <w:szCs w:val="21"/>
              </w:rPr>
            </w:pPr>
            <w:r>
              <w:rPr>
                <w:rFonts w:hAnsi="宋体"/>
                <w:b/>
                <w:color w:val="auto"/>
                <w:sz w:val="21"/>
                <w:szCs w:val="21"/>
              </w:rPr>
              <w:t>单体</w:t>
            </w:r>
          </w:p>
        </w:tc>
        <w:tc>
          <w:tcPr>
            <w:tcW w:w="1701" w:type="dxa"/>
            <w:vAlign w:val="center"/>
          </w:tcPr>
          <w:p>
            <w:pPr>
              <w:jc w:val="center"/>
              <w:rPr>
                <w:b/>
                <w:color w:val="auto"/>
                <w:sz w:val="21"/>
                <w:szCs w:val="21"/>
              </w:rPr>
            </w:pPr>
            <w:r>
              <w:rPr>
                <w:rFonts w:hAnsi="宋体"/>
                <w:b/>
                <w:color w:val="auto"/>
                <w:sz w:val="21"/>
                <w:szCs w:val="21"/>
              </w:rPr>
              <w:t>设备名称</w:t>
            </w:r>
          </w:p>
        </w:tc>
        <w:tc>
          <w:tcPr>
            <w:tcW w:w="567" w:type="dxa"/>
            <w:vAlign w:val="center"/>
          </w:tcPr>
          <w:p>
            <w:pPr>
              <w:jc w:val="center"/>
              <w:rPr>
                <w:b/>
                <w:color w:val="auto"/>
                <w:sz w:val="21"/>
                <w:szCs w:val="21"/>
              </w:rPr>
            </w:pPr>
            <w:r>
              <w:rPr>
                <w:rFonts w:hAnsi="宋体"/>
                <w:b/>
                <w:color w:val="auto"/>
                <w:sz w:val="21"/>
                <w:szCs w:val="21"/>
              </w:rPr>
              <w:t>数量</w:t>
            </w:r>
          </w:p>
        </w:tc>
        <w:tc>
          <w:tcPr>
            <w:tcW w:w="709" w:type="dxa"/>
            <w:vAlign w:val="center"/>
          </w:tcPr>
          <w:p>
            <w:pPr>
              <w:jc w:val="center"/>
              <w:rPr>
                <w:rFonts w:hAnsi="宋体"/>
                <w:b/>
                <w:color w:val="auto"/>
                <w:sz w:val="21"/>
                <w:szCs w:val="21"/>
              </w:rPr>
            </w:pPr>
            <w:r>
              <w:rPr>
                <w:rFonts w:hint="eastAsia" w:hAnsi="宋体"/>
                <w:b/>
                <w:color w:val="auto"/>
                <w:sz w:val="21"/>
                <w:szCs w:val="21"/>
              </w:rPr>
              <w:t>噪声源强</w:t>
            </w:r>
          </w:p>
        </w:tc>
        <w:tc>
          <w:tcPr>
            <w:tcW w:w="850" w:type="dxa"/>
            <w:vAlign w:val="center"/>
          </w:tcPr>
          <w:p>
            <w:pPr>
              <w:jc w:val="center"/>
              <w:rPr>
                <w:b/>
                <w:color w:val="auto"/>
                <w:sz w:val="21"/>
                <w:szCs w:val="21"/>
              </w:rPr>
            </w:pPr>
            <w:r>
              <w:rPr>
                <w:rFonts w:hAnsi="宋体"/>
                <w:b/>
                <w:color w:val="auto"/>
                <w:sz w:val="21"/>
                <w:szCs w:val="21"/>
              </w:rPr>
              <w:t>单体</w:t>
            </w:r>
          </w:p>
        </w:tc>
        <w:tc>
          <w:tcPr>
            <w:tcW w:w="2094" w:type="dxa"/>
            <w:vAlign w:val="center"/>
          </w:tcPr>
          <w:p>
            <w:pPr>
              <w:jc w:val="center"/>
              <w:rPr>
                <w:b/>
                <w:color w:val="auto"/>
                <w:sz w:val="21"/>
                <w:szCs w:val="21"/>
              </w:rPr>
            </w:pPr>
            <w:r>
              <w:rPr>
                <w:rFonts w:hAnsi="宋体"/>
                <w:b/>
                <w:color w:val="auto"/>
                <w:sz w:val="21"/>
                <w:szCs w:val="21"/>
              </w:rPr>
              <w:t>设备名称</w:t>
            </w:r>
          </w:p>
        </w:tc>
        <w:tc>
          <w:tcPr>
            <w:tcW w:w="818" w:type="dxa"/>
            <w:vAlign w:val="center"/>
          </w:tcPr>
          <w:p>
            <w:pPr>
              <w:jc w:val="center"/>
              <w:rPr>
                <w:b/>
                <w:color w:val="auto"/>
                <w:sz w:val="21"/>
                <w:szCs w:val="21"/>
              </w:rPr>
            </w:pPr>
            <w:r>
              <w:rPr>
                <w:rFonts w:hAnsi="宋体"/>
                <w:b/>
                <w:color w:val="auto"/>
                <w:sz w:val="21"/>
                <w:szCs w:val="21"/>
              </w:rPr>
              <w:t>数量</w:t>
            </w:r>
          </w:p>
        </w:tc>
        <w:tc>
          <w:tcPr>
            <w:tcW w:w="712" w:type="dxa"/>
            <w:vAlign w:val="center"/>
          </w:tcPr>
          <w:p>
            <w:pPr>
              <w:jc w:val="center"/>
              <w:rPr>
                <w:rFonts w:hAnsi="宋体"/>
                <w:b/>
                <w:color w:val="auto"/>
                <w:sz w:val="21"/>
                <w:szCs w:val="21"/>
              </w:rPr>
            </w:pPr>
            <w:r>
              <w:rPr>
                <w:rFonts w:hint="eastAsia" w:hAnsi="宋体"/>
                <w:b/>
                <w:color w:val="auto"/>
                <w:sz w:val="21"/>
                <w:szCs w:val="21"/>
              </w:rPr>
              <w:t>噪声源强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粗格栅及进水泵房</w:t>
            </w:r>
          </w:p>
        </w:tc>
        <w:tc>
          <w:tcPr>
            <w:tcW w:w="1701" w:type="dxa"/>
            <w:vAlign w:val="center"/>
          </w:tcPr>
          <w:p>
            <w:pPr>
              <w:jc w:val="center"/>
              <w:rPr>
                <w:color w:val="auto"/>
                <w:sz w:val="21"/>
                <w:szCs w:val="21"/>
              </w:rPr>
            </w:pPr>
            <w:r>
              <w:rPr>
                <w:rFonts w:hAnsi="宋体"/>
                <w:color w:val="auto"/>
                <w:sz w:val="21"/>
                <w:szCs w:val="21"/>
              </w:rPr>
              <w:t>螺旋输送压榨机</w:t>
            </w:r>
          </w:p>
        </w:tc>
        <w:tc>
          <w:tcPr>
            <w:tcW w:w="567" w:type="dxa"/>
            <w:vAlign w:val="center"/>
          </w:tcPr>
          <w:p>
            <w:pPr>
              <w:jc w:val="center"/>
              <w:rPr>
                <w:color w:val="auto"/>
                <w:sz w:val="21"/>
                <w:szCs w:val="21"/>
              </w:rPr>
            </w:pPr>
            <w:r>
              <w:rPr>
                <w:color w:val="auto"/>
                <w:sz w:val="21"/>
                <w:szCs w:val="21"/>
              </w:rPr>
              <w:t>1</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restart"/>
            <w:vAlign w:val="center"/>
          </w:tcPr>
          <w:p>
            <w:pPr>
              <w:jc w:val="center"/>
              <w:rPr>
                <w:color w:val="auto"/>
                <w:sz w:val="21"/>
                <w:szCs w:val="21"/>
              </w:rPr>
            </w:pPr>
            <w:r>
              <w:rPr>
                <w:rFonts w:hAnsi="宋体"/>
                <w:color w:val="auto"/>
                <w:sz w:val="21"/>
                <w:szCs w:val="21"/>
              </w:rPr>
              <w:t>污泥脱水机房</w:t>
            </w:r>
          </w:p>
        </w:tc>
        <w:tc>
          <w:tcPr>
            <w:tcW w:w="2094" w:type="dxa"/>
            <w:vAlign w:val="center"/>
          </w:tcPr>
          <w:p>
            <w:pPr>
              <w:jc w:val="center"/>
              <w:rPr>
                <w:color w:val="auto"/>
                <w:sz w:val="21"/>
                <w:szCs w:val="21"/>
              </w:rPr>
            </w:pPr>
            <w:r>
              <w:rPr>
                <w:rFonts w:hAnsi="宋体"/>
                <w:color w:val="auto"/>
                <w:sz w:val="21"/>
                <w:szCs w:val="21"/>
              </w:rPr>
              <w:t>隔膜压滤机</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潜水离心泵</w:t>
            </w:r>
          </w:p>
        </w:tc>
        <w:tc>
          <w:tcPr>
            <w:tcW w:w="567" w:type="dxa"/>
            <w:vAlign w:val="center"/>
          </w:tcPr>
          <w:p>
            <w:pPr>
              <w:jc w:val="center"/>
              <w:rPr>
                <w:color w:val="auto"/>
                <w:sz w:val="21"/>
                <w:szCs w:val="21"/>
              </w:rPr>
            </w:pPr>
            <w:r>
              <w:rPr>
                <w:rFonts w:hint="eastAsia"/>
                <w:color w:val="auto"/>
                <w:sz w:val="21"/>
                <w:szCs w:val="21"/>
              </w:rPr>
              <w:t>2套</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进料螺杆泵</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细格栅及曝气沉砂池</w:t>
            </w:r>
          </w:p>
        </w:tc>
        <w:tc>
          <w:tcPr>
            <w:tcW w:w="1701" w:type="dxa"/>
            <w:vAlign w:val="center"/>
          </w:tcPr>
          <w:p>
            <w:pPr>
              <w:jc w:val="center"/>
              <w:rPr>
                <w:color w:val="auto"/>
                <w:sz w:val="21"/>
                <w:szCs w:val="21"/>
              </w:rPr>
            </w:pPr>
            <w:r>
              <w:rPr>
                <w:rFonts w:hAnsi="宋体"/>
                <w:color w:val="auto"/>
                <w:sz w:val="21"/>
                <w:szCs w:val="21"/>
              </w:rPr>
              <w:t>无轴螺旋输送压榨机</w:t>
            </w:r>
          </w:p>
        </w:tc>
        <w:tc>
          <w:tcPr>
            <w:tcW w:w="56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保压螺杆泵</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转子吸砂泵</w:t>
            </w:r>
          </w:p>
        </w:tc>
        <w:tc>
          <w:tcPr>
            <w:tcW w:w="567"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压榨用多级离心泵</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罗茨鼓风机</w:t>
            </w:r>
          </w:p>
        </w:tc>
        <w:tc>
          <w:tcPr>
            <w:tcW w:w="56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85</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高压冲洗泵</w:t>
            </w:r>
          </w:p>
        </w:tc>
        <w:tc>
          <w:tcPr>
            <w:tcW w:w="818" w:type="dxa"/>
            <w:vAlign w:val="center"/>
          </w:tcPr>
          <w:p>
            <w:pPr>
              <w:jc w:val="center"/>
              <w:rPr>
                <w:color w:val="auto"/>
                <w:sz w:val="21"/>
                <w:szCs w:val="21"/>
              </w:rPr>
            </w:pPr>
            <w:r>
              <w:rPr>
                <w:rFonts w:hint="eastAsia"/>
                <w:color w:val="auto"/>
                <w:sz w:val="21"/>
                <w:szCs w:val="21"/>
              </w:rPr>
              <w:t>1套</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Ansi="宋体"/>
                <w:color w:val="auto"/>
                <w:sz w:val="21"/>
                <w:szCs w:val="21"/>
              </w:rPr>
              <w:t>应急沉淀池</w:t>
            </w:r>
          </w:p>
        </w:tc>
        <w:tc>
          <w:tcPr>
            <w:tcW w:w="1701" w:type="dxa"/>
            <w:vAlign w:val="center"/>
          </w:tcPr>
          <w:p>
            <w:pPr>
              <w:jc w:val="center"/>
              <w:rPr>
                <w:color w:val="auto"/>
                <w:sz w:val="21"/>
                <w:szCs w:val="21"/>
              </w:rPr>
            </w:pPr>
            <w:r>
              <w:rPr>
                <w:rFonts w:hAnsi="宋体"/>
                <w:color w:val="auto"/>
                <w:sz w:val="21"/>
                <w:szCs w:val="21"/>
              </w:rPr>
              <w:t>初沉污泥转子泵</w:t>
            </w:r>
          </w:p>
        </w:tc>
        <w:tc>
          <w:tcPr>
            <w:tcW w:w="567" w:type="dxa"/>
            <w:vAlign w:val="center"/>
          </w:tcPr>
          <w:p>
            <w:pPr>
              <w:jc w:val="center"/>
              <w:rPr>
                <w:color w:val="auto"/>
                <w:sz w:val="21"/>
                <w:szCs w:val="21"/>
              </w:rPr>
            </w:pPr>
            <w:r>
              <w:rPr>
                <w:rFonts w:hint="eastAsia"/>
                <w:color w:val="auto"/>
                <w:sz w:val="21"/>
                <w:szCs w:val="21"/>
              </w:rPr>
              <w:t>1套</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空压机</w:t>
            </w:r>
          </w:p>
        </w:tc>
        <w:tc>
          <w:tcPr>
            <w:tcW w:w="818" w:type="dxa"/>
            <w:vAlign w:val="center"/>
          </w:tcPr>
          <w:p>
            <w:pPr>
              <w:jc w:val="center"/>
              <w:rPr>
                <w:color w:val="auto"/>
                <w:sz w:val="21"/>
                <w:szCs w:val="21"/>
              </w:rPr>
            </w:pPr>
            <w:r>
              <w:rPr>
                <w:rFonts w:hint="eastAsia"/>
                <w:color w:val="auto"/>
                <w:sz w:val="21"/>
                <w:szCs w:val="21"/>
              </w:rPr>
              <w:t>2套</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生物反应池</w:t>
            </w:r>
          </w:p>
        </w:tc>
        <w:tc>
          <w:tcPr>
            <w:tcW w:w="1701" w:type="dxa"/>
            <w:vAlign w:val="center"/>
          </w:tcPr>
          <w:p>
            <w:pPr>
              <w:jc w:val="center"/>
              <w:rPr>
                <w:color w:val="auto"/>
                <w:sz w:val="21"/>
                <w:szCs w:val="21"/>
              </w:rPr>
            </w:pPr>
            <w:r>
              <w:rPr>
                <w:rFonts w:hAnsi="宋体"/>
                <w:color w:val="auto"/>
                <w:sz w:val="21"/>
                <w:szCs w:val="21"/>
              </w:rPr>
              <w:t>垂直水翼搅拌机</w:t>
            </w:r>
          </w:p>
        </w:tc>
        <w:tc>
          <w:tcPr>
            <w:tcW w:w="567" w:type="dxa"/>
            <w:vAlign w:val="center"/>
          </w:tcPr>
          <w:p>
            <w:pPr>
              <w:jc w:val="center"/>
              <w:rPr>
                <w:color w:val="auto"/>
                <w:sz w:val="21"/>
                <w:szCs w:val="21"/>
              </w:rPr>
            </w:pPr>
            <w:r>
              <w:rPr>
                <w:color w:val="auto"/>
                <w:sz w:val="21"/>
                <w:szCs w:val="21"/>
              </w:rPr>
              <w:t>6</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存水泵</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内回流泵</w:t>
            </w:r>
          </w:p>
        </w:tc>
        <w:tc>
          <w:tcPr>
            <w:tcW w:w="567" w:type="dxa"/>
            <w:vAlign w:val="center"/>
          </w:tcPr>
          <w:p>
            <w:pPr>
              <w:jc w:val="center"/>
              <w:rPr>
                <w:color w:val="auto"/>
                <w:sz w:val="21"/>
                <w:szCs w:val="21"/>
              </w:rPr>
            </w:pPr>
            <w:r>
              <w:rPr>
                <w:rFonts w:hint="eastAsia"/>
                <w:color w:val="auto"/>
                <w:sz w:val="21"/>
                <w:szCs w:val="21"/>
              </w:rPr>
              <w:t>4台</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加药稀释水泵</w:t>
            </w:r>
          </w:p>
        </w:tc>
        <w:tc>
          <w:tcPr>
            <w:tcW w:w="818" w:type="dxa"/>
            <w:vAlign w:val="center"/>
          </w:tcPr>
          <w:p>
            <w:pPr>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Ansi="宋体"/>
                <w:color w:val="auto"/>
                <w:sz w:val="21"/>
                <w:szCs w:val="21"/>
              </w:rPr>
              <w:t>二沉池</w:t>
            </w:r>
          </w:p>
        </w:tc>
        <w:tc>
          <w:tcPr>
            <w:tcW w:w="1701" w:type="dxa"/>
            <w:vAlign w:val="center"/>
          </w:tcPr>
          <w:p>
            <w:pPr>
              <w:jc w:val="center"/>
              <w:rPr>
                <w:color w:val="auto"/>
                <w:sz w:val="21"/>
                <w:szCs w:val="21"/>
              </w:rPr>
            </w:pPr>
            <w:r>
              <w:rPr>
                <w:rFonts w:hAnsi="宋体"/>
                <w:color w:val="auto"/>
                <w:sz w:val="21"/>
                <w:szCs w:val="21"/>
              </w:rPr>
              <w:t>中心传动单管吸泥机</w:t>
            </w:r>
          </w:p>
        </w:tc>
        <w:tc>
          <w:tcPr>
            <w:tcW w:w="567"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continue"/>
            <w:vAlign w:val="center"/>
          </w:tcPr>
          <w:p>
            <w:pPr>
              <w:jc w:val="center"/>
              <w:rPr>
                <w:color w:val="auto"/>
                <w:sz w:val="21"/>
                <w:szCs w:val="21"/>
              </w:rPr>
            </w:pPr>
          </w:p>
        </w:tc>
        <w:tc>
          <w:tcPr>
            <w:tcW w:w="2094" w:type="dxa"/>
            <w:vAlign w:val="center"/>
          </w:tcPr>
          <w:p>
            <w:pPr>
              <w:adjustRightInd w:val="0"/>
              <w:snapToGrid w:val="0"/>
              <w:jc w:val="center"/>
              <w:rPr>
                <w:color w:val="auto"/>
                <w:sz w:val="21"/>
                <w:szCs w:val="21"/>
              </w:rPr>
            </w:pPr>
            <w:r>
              <w:rPr>
                <w:rFonts w:hAnsi="宋体"/>
                <w:color w:val="auto"/>
                <w:sz w:val="21"/>
                <w:szCs w:val="21"/>
              </w:rPr>
              <w:t>絮凝投加泵</w:t>
            </w:r>
          </w:p>
        </w:tc>
        <w:tc>
          <w:tcPr>
            <w:tcW w:w="818" w:type="dxa"/>
            <w:vAlign w:val="center"/>
          </w:tcPr>
          <w:p>
            <w:pPr>
              <w:adjustRightInd w:val="0"/>
              <w:snapToGrid w:val="0"/>
              <w:jc w:val="center"/>
              <w:rPr>
                <w:color w:val="auto"/>
                <w:sz w:val="21"/>
                <w:szCs w:val="21"/>
              </w:rPr>
            </w:pPr>
            <w:r>
              <w:rPr>
                <w:rFonts w:hint="eastAsia"/>
                <w:color w:val="auto"/>
                <w:sz w:val="21"/>
                <w:szCs w:val="21"/>
              </w:rPr>
              <w:t>1台</w:t>
            </w:r>
          </w:p>
        </w:tc>
        <w:tc>
          <w:tcPr>
            <w:tcW w:w="712" w:type="dxa"/>
            <w:vAlign w:val="center"/>
          </w:tcPr>
          <w:p>
            <w:pPr>
              <w:adjustRightInd w:val="0"/>
              <w:snapToGrid w:val="0"/>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中间提升泵房</w:t>
            </w:r>
          </w:p>
        </w:tc>
        <w:tc>
          <w:tcPr>
            <w:tcW w:w="1701" w:type="dxa"/>
            <w:vAlign w:val="center"/>
          </w:tcPr>
          <w:p>
            <w:pPr>
              <w:adjustRightInd w:val="0"/>
              <w:snapToGrid w:val="0"/>
              <w:jc w:val="center"/>
              <w:rPr>
                <w:color w:val="auto"/>
                <w:sz w:val="21"/>
                <w:szCs w:val="21"/>
              </w:rPr>
            </w:pPr>
            <w:r>
              <w:rPr>
                <w:rFonts w:hint="eastAsia"/>
                <w:color w:val="auto"/>
                <w:sz w:val="21"/>
                <w:szCs w:val="21"/>
              </w:rPr>
              <w:t>潜水离心泵</w:t>
            </w:r>
          </w:p>
        </w:tc>
        <w:tc>
          <w:tcPr>
            <w:tcW w:w="567" w:type="dxa"/>
            <w:vAlign w:val="center"/>
          </w:tcPr>
          <w:p>
            <w:pPr>
              <w:adjustRightInd w:val="0"/>
              <w:snapToGrid w:val="0"/>
              <w:jc w:val="center"/>
              <w:rPr>
                <w:color w:val="auto"/>
                <w:sz w:val="21"/>
                <w:szCs w:val="21"/>
              </w:rPr>
            </w:pPr>
            <w:r>
              <w:rPr>
                <w:rFonts w:hint="eastAsia"/>
                <w:color w:val="auto"/>
                <w:sz w:val="21"/>
                <w:szCs w:val="21"/>
              </w:rPr>
              <w:t>3套</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adjustRightInd w:val="0"/>
              <w:snapToGrid w:val="0"/>
              <w:jc w:val="center"/>
              <w:rPr>
                <w:color w:val="auto"/>
                <w:sz w:val="21"/>
                <w:szCs w:val="21"/>
              </w:rPr>
            </w:pPr>
            <w:r>
              <w:rPr>
                <w:rFonts w:hAnsi="宋体"/>
                <w:color w:val="auto"/>
                <w:sz w:val="21"/>
                <w:szCs w:val="21"/>
              </w:rPr>
              <w:t>除臭风机</w:t>
            </w:r>
          </w:p>
        </w:tc>
        <w:tc>
          <w:tcPr>
            <w:tcW w:w="818" w:type="dxa"/>
            <w:vAlign w:val="center"/>
          </w:tcPr>
          <w:p>
            <w:pPr>
              <w:adjustRightInd w:val="0"/>
              <w:snapToGrid w:val="0"/>
              <w:jc w:val="center"/>
              <w:rPr>
                <w:color w:val="auto"/>
                <w:sz w:val="21"/>
                <w:szCs w:val="21"/>
              </w:rPr>
            </w:pPr>
            <w:r>
              <w:rPr>
                <w:color w:val="auto"/>
                <w:sz w:val="21"/>
                <w:szCs w:val="21"/>
              </w:rPr>
              <w:t>2</w:t>
            </w:r>
            <w:r>
              <w:rPr>
                <w:rFonts w:hint="eastAsia"/>
                <w:color w:val="auto"/>
                <w:sz w:val="21"/>
                <w:szCs w:val="21"/>
              </w:rPr>
              <w:t>台</w:t>
            </w:r>
          </w:p>
        </w:tc>
        <w:tc>
          <w:tcPr>
            <w:tcW w:w="712" w:type="dxa"/>
            <w:vAlign w:val="center"/>
          </w:tcPr>
          <w:p>
            <w:pPr>
              <w:adjustRightInd w:val="0"/>
              <w:snapToGrid w:val="0"/>
              <w:jc w:val="center"/>
              <w:rPr>
                <w:color w:val="auto"/>
                <w:sz w:val="21"/>
                <w:szCs w:val="21"/>
              </w:rPr>
            </w:pPr>
            <w:r>
              <w:rPr>
                <w:rFonts w:hint="eastAsia"/>
                <w:color w:val="auto"/>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int="eastAsia"/>
                <w:color w:val="auto"/>
                <w:sz w:val="21"/>
                <w:szCs w:val="21"/>
              </w:rPr>
              <w:t>反冲洗废水池</w:t>
            </w:r>
          </w:p>
        </w:tc>
        <w:tc>
          <w:tcPr>
            <w:tcW w:w="1701" w:type="dxa"/>
            <w:vAlign w:val="center"/>
          </w:tcPr>
          <w:p>
            <w:pPr>
              <w:adjustRightInd w:val="0"/>
              <w:snapToGrid w:val="0"/>
              <w:jc w:val="center"/>
              <w:rPr>
                <w:color w:val="auto"/>
                <w:sz w:val="21"/>
                <w:szCs w:val="21"/>
              </w:rPr>
            </w:pPr>
            <w:r>
              <w:rPr>
                <w:rFonts w:hint="eastAsia"/>
                <w:color w:val="auto"/>
                <w:sz w:val="21"/>
                <w:szCs w:val="21"/>
              </w:rPr>
              <w:t>潜水搅拌器</w:t>
            </w:r>
          </w:p>
        </w:tc>
        <w:tc>
          <w:tcPr>
            <w:tcW w:w="567" w:type="dxa"/>
            <w:vAlign w:val="center"/>
          </w:tcPr>
          <w:p>
            <w:pPr>
              <w:adjustRightInd w:val="0"/>
              <w:snapToGrid w:val="0"/>
              <w:jc w:val="center"/>
              <w:rPr>
                <w:color w:val="auto"/>
                <w:sz w:val="21"/>
                <w:szCs w:val="21"/>
              </w:rPr>
            </w:pPr>
            <w:r>
              <w:rPr>
                <w:rFonts w:hint="eastAsia"/>
                <w:color w:val="auto"/>
                <w:sz w:val="21"/>
                <w:szCs w:val="21"/>
              </w:rPr>
              <w:t>2套</w:t>
            </w:r>
          </w:p>
        </w:tc>
        <w:tc>
          <w:tcPr>
            <w:tcW w:w="709" w:type="dxa"/>
            <w:vAlign w:val="center"/>
          </w:tcPr>
          <w:p>
            <w:pPr>
              <w:adjustRightInd w:val="0"/>
              <w:snapToGrid w:val="0"/>
              <w:jc w:val="center"/>
              <w:rPr>
                <w:color w:val="auto"/>
                <w:sz w:val="21"/>
                <w:szCs w:val="21"/>
              </w:rPr>
            </w:pPr>
            <w:r>
              <w:rPr>
                <w:rFonts w:hint="eastAsia"/>
                <w:color w:val="auto"/>
                <w:sz w:val="21"/>
                <w:szCs w:val="21"/>
              </w:rPr>
              <w:t>75</w:t>
            </w:r>
          </w:p>
        </w:tc>
        <w:tc>
          <w:tcPr>
            <w:tcW w:w="850" w:type="dxa"/>
            <w:vMerge w:val="continue"/>
            <w:vAlign w:val="center"/>
          </w:tcPr>
          <w:p>
            <w:pPr>
              <w:jc w:val="center"/>
              <w:rPr>
                <w:color w:val="auto"/>
                <w:sz w:val="21"/>
                <w:szCs w:val="21"/>
              </w:rPr>
            </w:pPr>
          </w:p>
        </w:tc>
        <w:tc>
          <w:tcPr>
            <w:tcW w:w="2094" w:type="dxa"/>
            <w:vAlign w:val="center"/>
          </w:tcPr>
          <w:p>
            <w:pPr>
              <w:adjustRightInd w:val="0"/>
              <w:snapToGrid w:val="0"/>
              <w:jc w:val="center"/>
              <w:rPr>
                <w:color w:val="auto"/>
                <w:sz w:val="21"/>
                <w:szCs w:val="21"/>
              </w:rPr>
            </w:pPr>
            <w:r>
              <w:rPr>
                <w:rFonts w:hAnsi="宋体"/>
                <w:color w:val="auto"/>
                <w:sz w:val="21"/>
                <w:szCs w:val="21"/>
              </w:rPr>
              <w:t>散水泵</w:t>
            </w:r>
          </w:p>
        </w:tc>
        <w:tc>
          <w:tcPr>
            <w:tcW w:w="818" w:type="dxa"/>
            <w:vAlign w:val="center"/>
          </w:tcPr>
          <w:p>
            <w:pPr>
              <w:adjustRightInd w:val="0"/>
              <w:snapToGrid w:val="0"/>
              <w:jc w:val="center"/>
              <w:rPr>
                <w:color w:val="auto"/>
                <w:sz w:val="21"/>
                <w:szCs w:val="21"/>
              </w:rPr>
            </w:pPr>
            <w:r>
              <w:rPr>
                <w:rFonts w:hint="eastAsia"/>
                <w:color w:val="auto"/>
                <w:sz w:val="21"/>
                <w:szCs w:val="21"/>
              </w:rPr>
              <w:t>1台</w:t>
            </w:r>
          </w:p>
        </w:tc>
        <w:tc>
          <w:tcPr>
            <w:tcW w:w="712" w:type="dxa"/>
            <w:vAlign w:val="center"/>
          </w:tcPr>
          <w:p>
            <w:pPr>
              <w:adjustRightInd w:val="0"/>
              <w:snapToGrid w:val="0"/>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adjustRightInd w:val="0"/>
              <w:snapToGrid w:val="0"/>
              <w:jc w:val="center"/>
              <w:rPr>
                <w:color w:val="auto"/>
                <w:sz w:val="21"/>
                <w:szCs w:val="21"/>
              </w:rPr>
            </w:pPr>
            <w:r>
              <w:rPr>
                <w:rFonts w:hint="eastAsia"/>
                <w:color w:val="auto"/>
                <w:sz w:val="21"/>
                <w:szCs w:val="21"/>
              </w:rPr>
              <w:t>潜水轴流泵</w:t>
            </w:r>
          </w:p>
        </w:tc>
        <w:tc>
          <w:tcPr>
            <w:tcW w:w="567" w:type="dxa"/>
            <w:vAlign w:val="center"/>
          </w:tcPr>
          <w:p>
            <w:pPr>
              <w:adjustRightInd w:val="0"/>
              <w:snapToGrid w:val="0"/>
              <w:jc w:val="center"/>
              <w:rPr>
                <w:color w:val="auto"/>
                <w:sz w:val="21"/>
                <w:szCs w:val="21"/>
              </w:rPr>
            </w:pPr>
            <w:r>
              <w:rPr>
                <w:rFonts w:hint="eastAsia"/>
                <w:color w:val="auto"/>
                <w:sz w:val="21"/>
                <w:szCs w:val="21"/>
              </w:rPr>
              <w:t>3套</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850" w:type="dxa"/>
            <w:vMerge w:val="continue"/>
            <w:vAlign w:val="center"/>
          </w:tcPr>
          <w:p>
            <w:pPr>
              <w:adjustRightInd w:val="0"/>
              <w:snapToGrid w:val="0"/>
              <w:jc w:val="center"/>
              <w:rPr>
                <w:color w:val="auto"/>
                <w:sz w:val="21"/>
                <w:szCs w:val="21"/>
              </w:rPr>
            </w:pPr>
          </w:p>
        </w:tc>
        <w:tc>
          <w:tcPr>
            <w:tcW w:w="2094" w:type="dxa"/>
            <w:vAlign w:val="center"/>
          </w:tcPr>
          <w:p>
            <w:pPr>
              <w:adjustRightInd w:val="0"/>
              <w:snapToGrid w:val="0"/>
              <w:jc w:val="center"/>
              <w:rPr>
                <w:color w:val="auto"/>
                <w:sz w:val="21"/>
                <w:szCs w:val="21"/>
              </w:rPr>
            </w:pPr>
            <w:r>
              <w:rPr>
                <w:rFonts w:hAnsi="宋体"/>
                <w:color w:val="auto"/>
                <w:sz w:val="21"/>
                <w:szCs w:val="21"/>
              </w:rPr>
              <w:t>循环水泵</w:t>
            </w:r>
          </w:p>
        </w:tc>
        <w:tc>
          <w:tcPr>
            <w:tcW w:w="818" w:type="dxa"/>
            <w:vAlign w:val="center"/>
          </w:tcPr>
          <w:p>
            <w:pPr>
              <w:adjustRightInd w:val="0"/>
              <w:snapToGrid w:val="0"/>
              <w:jc w:val="center"/>
              <w:rPr>
                <w:color w:val="auto"/>
                <w:sz w:val="21"/>
                <w:szCs w:val="21"/>
              </w:rPr>
            </w:pPr>
            <w:r>
              <w:rPr>
                <w:rFonts w:hint="eastAsia"/>
                <w:color w:val="auto"/>
                <w:sz w:val="21"/>
                <w:szCs w:val="21"/>
              </w:rPr>
              <w:t>2台</w:t>
            </w:r>
          </w:p>
        </w:tc>
        <w:tc>
          <w:tcPr>
            <w:tcW w:w="712" w:type="dxa"/>
            <w:vAlign w:val="center"/>
          </w:tcPr>
          <w:p>
            <w:pPr>
              <w:adjustRightInd w:val="0"/>
              <w:snapToGrid w:val="0"/>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曝气生物滤池</w:t>
            </w:r>
          </w:p>
        </w:tc>
        <w:tc>
          <w:tcPr>
            <w:tcW w:w="1701" w:type="dxa"/>
            <w:vAlign w:val="center"/>
          </w:tcPr>
          <w:p>
            <w:pPr>
              <w:adjustRightInd w:val="0"/>
              <w:snapToGrid w:val="0"/>
              <w:jc w:val="center"/>
              <w:rPr>
                <w:color w:val="auto"/>
                <w:sz w:val="21"/>
                <w:szCs w:val="21"/>
              </w:rPr>
            </w:pPr>
            <w:r>
              <w:rPr>
                <w:rFonts w:hint="eastAsia"/>
                <w:color w:val="auto"/>
                <w:sz w:val="21"/>
                <w:szCs w:val="21"/>
              </w:rPr>
              <w:t>曝气罗茨风机</w:t>
            </w:r>
          </w:p>
        </w:tc>
        <w:tc>
          <w:tcPr>
            <w:tcW w:w="567" w:type="dxa"/>
            <w:vAlign w:val="center"/>
          </w:tcPr>
          <w:p>
            <w:pPr>
              <w:adjustRightInd w:val="0"/>
              <w:snapToGrid w:val="0"/>
              <w:jc w:val="center"/>
              <w:rPr>
                <w:color w:val="auto"/>
                <w:sz w:val="21"/>
                <w:szCs w:val="21"/>
              </w:rPr>
            </w:pPr>
            <w:r>
              <w:rPr>
                <w:rFonts w:hint="eastAsia"/>
                <w:color w:val="auto"/>
                <w:sz w:val="21"/>
                <w:szCs w:val="21"/>
              </w:rPr>
              <w:t>4套</w:t>
            </w:r>
          </w:p>
        </w:tc>
        <w:tc>
          <w:tcPr>
            <w:tcW w:w="709" w:type="dxa"/>
            <w:vAlign w:val="center"/>
          </w:tcPr>
          <w:p>
            <w:pPr>
              <w:adjustRightInd w:val="0"/>
              <w:snapToGrid w:val="0"/>
              <w:jc w:val="center"/>
              <w:rPr>
                <w:color w:val="auto"/>
                <w:sz w:val="21"/>
                <w:szCs w:val="21"/>
              </w:rPr>
            </w:pPr>
            <w:r>
              <w:rPr>
                <w:rFonts w:hint="eastAsia"/>
                <w:color w:val="auto"/>
                <w:sz w:val="21"/>
                <w:szCs w:val="21"/>
              </w:rPr>
              <w:t>85</w:t>
            </w:r>
          </w:p>
        </w:tc>
        <w:tc>
          <w:tcPr>
            <w:tcW w:w="850" w:type="dxa"/>
            <w:vMerge w:val="restart"/>
            <w:vAlign w:val="center"/>
          </w:tcPr>
          <w:p>
            <w:pPr>
              <w:jc w:val="center"/>
              <w:rPr>
                <w:color w:val="auto"/>
                <w:sz w:val="21"/>
                <w:szCs w:val="21"/>
              </w:rPr>
            </w:pPr>
            <w:r>
              <w:rPr>
                <w:rFonts w:hAnsi="宋体"/>
                <w:color w:val="auto"/>
                <w:sz w:val="21"/>
                <w:szCs w:val="21"/>
              </w:rPr>
              <w:t>加药间</w:t>
            </w:r>
          </w:p>
        </w:tc>
        <w:tc>
          <w:tcPr>
            <w:tcW w:w="2094" w:type="dxa"/>
            <w:vAlign w:val="center"/>
          </w:tcPr>
          <w:p>
            <w:pPr>
              <w:jc w:val="center"/>
              <w:rPr>
                <w:color w:val="auto"/>
                <w:sz w:val="21"/>
                <w:szCs w:val="21"/>
              </w:rPr>
            </w:pPr>
            <w:r>
              <w:rPr>
                <w:rFonts w:hAnsi="宋体"/>
                <w:color w:val="auto"/>
                <w:sz w:val="21"/>
                <w:szCs w:val="21"/>
              </w:rPr>
              <w:t>乙酸钠加药隔膜泵</w:t>
            </w:r>
          </w:p>
        </w:tc>
        <w:tc>
          <w:tcPr>
            <w:tcW w:w="818" w:type="dxa"/>
            <w:vAlign w:val="center"/>
          </w:tcPr>
          <w:p>
            <w:pPr>
              <w:jc w:val="center"/>
              <w:rPr>
                <w:color w:val="auto"/>
                <w:sz w:val="21"/>
                <w:szCs w:val="21"/>
              </w:rPr>
            </w:pPr>
            <w:r>
              <w:rPr>
                <w:rFonts w:hint="eastAsia"/>
                <w:color w:val="auto"/>
                <w:sz w:val="21"/>
                <w:szCs w:val="21"/>
              </w:rPr>
              <w:t>2台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int="eastAsia"/>
                <w:color w:val="auto"/>
                <w:sz w:val="21"/>
                <w:szCs w:val="21"/>
              </w:rPr>
              <w:t>反冲洗水池</w:t>
            </w:r>
          </w:p>
        </w:tc>
        <w:tc>
          <w:tcPr>
            <w:tcW w:w="1701" w:type="dxa"/>
            <w:vAlign w:val="center"/>
          </w:tcPr>
          <w:p>
            <w:pPr>
              <w:adjustRightInd w:val="0"/>
              <w:snapToGrid w:val="0"/>
              <w:jc w:val="center"/>
              <w:rPr>
                <w:color w:val="auto"/>
                <w:sz w:val="21"/>
                <w:szCs w:val="21"/>
              </w:rPr>
            </w:pPr>
            <w:r>
              <w:rPr>
                <w:rFonts w:hint="eastAsia"/>
                <w:color w:val="auto"/>
                <w:sz w:val="21"/>
                <w:szCs w:val="21"/>
              </w:rPr>
              <w:t>反冲洗水泵</w:t>
            </w:r>
          </w:p>
        </w:tc>
        <w:tc>
          <w:tcPr>
            <w:tcW w:w="567" w:type="dxa"/>
            <w:vAlign w:val="center"/>
          </w:tcPr>
          <w:p>
            <w:pPr>
              <w:adjustRightInd w:val="0"/>
              <w:snapToGrid w:val="0"/>
              <w:jc w:val="center"/>
              <w:rPr>
                <w:color w:val="auto"/>
                <w:sz w:val="21"/>
                <w:szCs w:val="21"/>
              </w:rPr>
            </w:pPr>
            <w:r>
              <w:rPr>
                <w:rFonts w:hint="eastAsia"/>
                <w:color w:val="auto"/>
                <w:sz w:val="21"/>
                <w:szCs w:val="21"/>
              </w:rPr>
              <w:t>3台</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adjustRightInd w:val="0"/>
              <w:snapToGrid w:val="0"/>
              <w:jc w:val="center"/>
              <w:rPr>
                <w:color w:val="auto"/>
                <w:sz w:val="21"/>
                <w:szCs w:val="21"/>
              </w:rPr>
            </w:pPr>
            <w:r>
              <w:rPr>
                <w:color w:val="auto"/>
                <w:sz w:val="21"/>
                <w:szCs w:val="21"/>
              </w:rPr>
              <w:t>NaClO</w:t>
            </w:r>
            <w:r>
              <w:rPr>
                <w:rFonts w:hAnsi="宋体"/>
                <w:color w:val="auto"/>
                <w:sz w:val="21"/>
                <w:szCs w:val="21"/>
              </w:rPr>
              <w:t>加药隔膜泵</w:t>
            </w:r>
          </w:p>
        </w:tc>
        <w:tc>
          <w:tcPr>
            <w:tcW w:w="818" w:type="dxa"/>
            <w:vAlign w:val="center"/>
          </w:tcPr>
          <w:p>
            <w:pPr>
              <w:adjustRightInd w:val="0"/>
              <w:snapToGrid w:val="0"/>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adjustRightInd w:val="0"/>
              <w:snapToGrid w:val="0"/>
              <w:jc w:val="center"/>
              <w:rPr>
                <w:color w:val="auto"/>
                <w:sz w:val="21"/>
                <w:szCs w:val="21"/>
              </w:rPr>
            </w:pPr>
            <w:r>
              <w:rPr>
                <w:rFonts w:hint="eastAsia"/>
                <w:color w:val="auto"/>
                <w:sz w:val="21"/>
                <w:szCs w:val="21"/>
              </w:rPr>
              <w:t>排污泵</w:t>
            </w:r>
          </w:p>
        </w:tc>
        <w:tc>
          <w:tcPr>
            <w:tcW w:w="567" w:type="dxa"/>
            <w:vAlign w:val="center"/>
          </w:tcPr>
          <w:p>
            <w:pPr>
              <w:adjustRightInd w:val="0"/>
              <w:snapToGrid w:val="0"/>
              <w:jc w:val="center"/>
              <w:rPr>
                <w:color w:val="auto"/>
                <w:sz w:val="21"/>
                <w:szCs w:val="21"/>
              </w:rPr>
            </w:pPr>
            <w:r>
              <w:rPr>
                <w:rFonts w:hint="eastAsia"/>
                <w:color w:val="auto"/>
                <w:sz w:val="21"/>
                <w:szCs w:val="21"/>
              </w:rPr>
              <w:t>2台</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adjustRightInd w:val="0"/>
              <w:snapToGrid w:val="0"/>
              <w:jc w:val="center"/>
              <w:rPr>
                <w:color w:val="auto"/>
                <w:sz w:val="21"/>
                <w:szCs w:val="21"/>
              </w:rPr>
            </w:pPr>
            <w:r>
              <w:rPr>
                <w:color w:val="auto"/>
                <w:sz w:val="21"/>
                <w:szCs w:val="21"/>
              </w:rPr>
              <w:t>PAC</w:t>
            </w:r>
            <w:r>
              <w:rPr>
                <w:rFonts w:hAnsi="宋体"/>
                <w:color w:val="auto"/>
                <w:sz w:val="21"/>
                <w:szCs w:val="21"/>
              </w:rPr>
              <w:t>加药隔膜泵</w:t>
            </w:r>
          </w:p>
        </w:tc>
        <w:tc>
          <w:tcPr>
            <w:tcW w:w="818" w:type="dxa"/>
            <w:vAlign w:val="center"/>
          </w:tcPr>
          <w:p>
            <w:pPr>
              <w:adjustRightInd w:val="0"/>
              <w:snapToGrid w:val="0"/>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高效沉淀池、滤池、消毒接触池及中水回用泵房</w:t>
            </w:r>
          </w:p>
        </w:tc>
        <w:tc>
          <w:tcPr>
            <w:tcW w:w="1701" w:type="dxa"/>
            <w:vAlign w:val="center"/>
          </w:tcPr>
          <w:p>
            <w:pPr>
              <w:jc w:val="center"/>
              <w:rPr>
                <w:color w:val="auto"/>
                <w:sz w:val="21"/>
                <w:szCs w:val="21"/>
              </w:rPr>
            </w:pPr>
            <w:r>
              <w:rPr>
                <w:rFonts w:hAnsi="宋体"/>
                <w:color w:val="auto"/>
                <w:sz w:val="21"/>
                <w:szCs w:val="21"/>
              </w:rPr>
              <w:t>潜水轴流泵</w:t>
            </w:r>
          </w:p>
        </w:tc>
        <w:tc>
          <w:tcPr>
            <w:tcW w:w="567" w:type="dxa"/>
            <w:vAlign w:val="center"/>
          </w:tcPr>
          <w:p>
            <w:pPr>
              <w:jc w:val="center"/>
              <w:rPr>
                <w:color w:val="auto"/>
                <w:sz w:val="21"/>
                <w:szCs w:val="21"/>
              </w:rPr>
            </w:pPr>
            <w:r>
              <w:rPr>
                <w:rFonts w:hint="eastAsia"/>
                <w:color w:val="auto"/>
                <w:sz w:val="21"/>
                <w:szCs w:val="21"/>
              </w:rPr>
              <w:t>2套</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adjustRightInd w:val="0"/>
              <w:snapToGrid w:val="0"/>
              <w:jc w:val="center"/>
              <w:rPr>
                <w:color w:val="auto"/>
                <w:sz w:val="21"/>
                <w:szCs w:val="21"/>
              </w:rPr>
            </w:pPr>
            <w:r>
              <w:rPr>
                <w:color w:val="auto"/>
                <w:sz w:val="21"/>
                <w:szCs w:val="21"/>
              </w:rPr>
              <w:t>PAC</w:t>
            </w:r>
            <w:r>
              <w:rPr>
                <w:rFonts w:hAnsi="宋体"/>
                <w:color w:val="auto"/>
                <w:sz w:val="21"/>
                <w:szCs w:val="21"/>
              </w:rPr>
              <w:t>卸料泵</w:t>
            </w:r>
          </w:p>
        </w:tc>
        <w:tc>
          <w:tcPr>
            <w:tcW w:w="818" w:type="dxa"/>
            <w:vAlign w:val="center"/>
          </w:tcPr>
          <w:p>
            <w:pPr>
              <w:adjustRightInd w:val="0"/>
              <w:snapToGrid w:val="0"/>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快混搅拌器</w:t>
            </w:r>
          </w:p>
        </w:tc>
        <w:tc>
          <w:tcPr>
            <w:tcW w:w="56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continue"/>
            <w:vAlign w:val="center"/>
          </w:tcPr>
          <w:p>
            <w:pPr>
              <w:adjustRightInd w:val="0"/>
              <w:snapToGrid w:val="0"/>
              <w:jc w:val="center"/>
              <w:rPr>
                <w:color w:val="auto"/>
                <w:sz w:val="21"/>
                <w:szCs w:val="21"/>
              </w:rPr>
            </w:pPr>
          </w:p>
        </w:tc>
        <w:tc>
          <w:tcPr>
            <w:tcW w:w="2094" w:type="dxa"/>
            <w:vAlign w:val="center"/>
          </w:tcPr>
          <w:p>
            <w:pPr>
              <w:jc w:val="center"/>
              <w:rPr>
                <w:color w:val="auto"/>
                <w:sz w:val="21"/>
                <w:szCs w:val="21"/>
              </w:rPr>
            </w:pPr>
            <w:r>
              <w:rPr>
                <w:color w:val="auto"/>
                <w:sz w:val="21"/>
                <w:szCs w:val="21"/>
              </w:rPr>
              <w:t>NaClO</w:t>
            </w:r>
            <w:r>
              <w:rPr>
                <w:rFonts w:hAnsi="宋体"/>
                <w:color w:val="auto"/>
                <w:sz w:val="21"/>
                <w:szCs w:val="21"/>
              </w:rPr>
              <w:t>卸料泵</w:t>
            </w:r>
          </w:p>
        </w:tc>
        <w:tc>
          <w:tcPr>
            <w:tcW w:w="818" w:type="dxa"/>
            <w:vAlign w:val="center"/>
          </w:tcPr>
          <w:p>
            <w:pPr>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絮凝搅拌器</w:t>
            </w:r>
          </w:p>
        </w:tc>
        <w:tc>
          <w:tcPr>
            <w:tcW w:w="56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continue"/>
            <w:vAlign w:val="center"/>
          </w:tcPr>
          <w:p>
            <w:pPr>
              <w:adjustRightInd w:val="0"/>
              <w:snapToGrid w:val="0"/>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乙酸钠卸料泵</w:t>
            </w:r>
          </w:p>
        </w:tc>
        <w:tc>
          <w:tcPr>
            <w:tcW w:w="818" w:type="dxa"/>
            <w:vAlign w:val="center"/>
          </w:tcPr>
          <w:p>
            <w:pPr>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存水泵</w:t>
            </w:r>
          </w:p>
        </w:tc>
        <w:tc>
          <w:tcPr>
            <w:tcW w:w="56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adjustRightInd w:val="0"/>
              <w:snapToGrid w:val="0"/>
              <w:jc w:val="center"/>
              <w:rPr>
                <w:color w:val="auto"/>
                <w:sz w:val="21"/>
                <w:szCs w:val="21"/>
              </w:rPr>
            </w:pPr>
          </w:p>
        </w:tc>
        <w:tc>
          <w:tcPr>
            <w:tcW w:w="2094" w:type="dxa"/>
            <w:vAlign w:val="center"/>
          </w:tcPr>
          <w:p>
            <w:pPr>
              <w:jc w:val="center"/>
              <w:rPr>
                <w:color w:val="auto"/>
                <w:sz w:val="21"/>
                <w:szCs w:val="21"/>
              </w:rPr>
            </w:pPr>
            <w:r>
              <w:rPr>
                <w:color w:val="auto"/>
                <w:sz w:val="21"/>
                <w:szCs w:val="21"/>
              </w:rPr>
              <w:t>PAM</w:t>
            </w:r>
            <w:r>
              <w:rPr>
                <w:rFonts w:hAnsi="宋体"/>
                <w:color w:val="auto"/>
                <w:sz w:val="21"/>
                <w:szCs w:val="21"/>
              </w:rPr>
              <w:t>加药螺杆泵</w:t>
            </w:r>
          </w:p>
        </w:tc>
        <w:tc>
          <w:tcPr>
            <w:tcW w:w="818" w:type="dxa"/>
            <w:vAlign w:val="center"/>
          </w:tcPr>
          <w:p>
            <w:pPr>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剩余污泥泵</w:t>
            </w:r>
          </w:p>
        </w:tc>
        <w:tc>
          <w:tcPr>
            <w:tcW w:w="56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稀释水泵</w:t>
            </w:r>
          </w:p>
        </w:tc>
        <w:tc>
          <w:tcPr>
            <w:tcW w:w="818" w:type="dxa"/>
            <w:vAlign w:val="center"/>
          </w:tcPr>
          <w:p>
            <w:pPr>
              <w:jc w:val="center"/>
              <w:rPr>
                <w:color w:val="auto"/>
                <w:sz w:val="21"/>
                <w:szCs w:val="21"/>
              </w:rPr>
            </w:pPr>
            <w:r>
              <w:rPr>
                <w:rFonts w:hint="eastAsia"/>
                <w:color w:val="auto"/>
                <w:sz w:val="21"/>
                <w:szCs w:val="21"/>
              </w:rPr>
              <w:t>1套</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回流污泥泵</w:t>
            </w:r>
          </w:p>
        </w:tc>
        <w:tc>
          <w:tcPr>
            <w:tcW w:w="56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restart"/>
            <w:vAlign w:val="center"/>
          </w:tcPr>
          <w:p>
            <w:pPr>
              <w:jc w:val="center"/>
              <w:rPr>
                <w:color w:val="auto"/>
                <w:sz w:val="21"/>
                <w:szCs w:val="21"/>
              </w:rPr>
            </w:pPr>
            <w:r>
              <w:rPr>
                <w:rFonts w:hAnsi="宋体"/>
                <w:color w:val="auto"/>
                <w:sz w:val="21"/>
                <w:szCs w:val="21"/>
              </w:rPr>
              <w:t>除臭装置</w:t>
            </w:r>
          </w:p>
        </w:tc>
        <w:tc>
          <w:tcPr>
            <w:tcW w:w="2094" w:type="dxa"/>
            <w:vAlign w:val="center"/>
          </w:tcPr>
          <w:p>
            <w:pPr>
              <w:jc w:val="center"/>
              <w:rPr>
                <w:color w:val="auto"/>
                <w:sz w:val="21"/>
                <w:szCs w:val="21"/>
              </w:rPr>
            </w:pPr>
            <w:r>
              <w:rPr>
                <w:rFonts w:hAnsi="宋体"/>
                <w:color w:val="auto"/>
                <w:sz w:val="21"/>
                <w:szCs w:val="21"/>
              </w:rPr>
              <w:t>循环水泵</w:t>
            </w:r>
          </w:p>
        </w:tc>
        <w:tc>
          <w:tcPr>
            <w:tcW w:w="818" w:type="dxa"/>
            <w:vAlign w:val="center"/>
          </w:tcPr>
          <w:p>
            <w:pPr>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存水泵</w:t>
            </w:r>
          </w:p>
        </w:tc>
        <w:tc>
          <w:tcPr>
            <w:tcW w:w="56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碱液计量泵</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旋转驱动电机</w:t>
            </w:r>
          </w:p>
        </w:tc>
        <w:tc>
          <w:tcPr>
            <w:tcW w:w="567"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氧化剂计量泵</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反洗泵</w:t>
            </w:r>
          </w:p>
        </w:tc>
        <w:tc>
          <w:tcPr>
            <w:tcW w:w="567" w:type="dxa"/>
            <w:vAlign w:val="center"/>
          </w:tcPr>
          <w:p>
            <w:pPr>
              <w:jc w:val="center"/>
              <w:rPr>
                <w:color w:val="auto"/>
                <w:sz w:val="21"/>
                <w:szCs w:val="21"/>
              </w:rPr>
            </w:pPr>
            <w:r>
              <w:rPr>
                <w:color w:val="auto"/>
                <w:sz w:val="21"/>
                <w:szCs w:val="21"/>
              </w:rPr>
              <w:t>4</w:t>
            </w:r>
            <w:r>
              <w:rPr>
                <w:rFonts w:hint="eastAsia"/>
                <w:color w:val="auto"/>
                <w:sz w:val="21"/>
                <w:szCs w:val="21"/>
              </w:rPr>
              <w:t>个</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color w:val="auto"/>
                <w:sz w:val="21"/>
                <w:szCs w:val="21"/>
              </w:rPr>
              <w:t>SS304</w:t>
            </w:r>
            <w:r>
              <w:rPr>
                <w:rFonts w:hAnsi="宋体"/>
                <w:color w:val="auto"/>
                <w:sz w:val="21"/>
                <w:szCs w:val="21"/>
              </w:rPr>
              <w:t>搅拌器</w:t>
            </w:r>
          </w:p>
        </w:tc>
        <w:tc>
          <w:tcPr>
            <w:tcW w:w="818"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12" w:type="dxa"/>
            <w:vAlign w:val="center"/>
          </w:tcPr>
          <w:p>
            <w:pPr>
              <w:jc w:val="center"/>
              <w:rPr>
                <w:color w:val="auto"/>
                <w:sz w:val="21"/>
                <w:szCs w:val="21"/>
              </w:rPr>
            </w:pPr>
            <w:r>
              <w:rPr>
                <w:rFonts w:hint="eastAsia"/>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潜水离心泵</w:t>
            </w:r>
          </w:p>
        </w:tc>
        <w:tc>
          <w:tcPr>
            <w:tcW w:w="56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喷淋泵</w:t>
            </w:r>
          </w:p>
        </w:tc>
        <w:tc>
          <w:tcPr>
            <w:tcW w:w="818"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12" w:type="dxa"/>
            <w:vAlign w:val="center"/>
          </w:tcPr>
          <w:p>
            <w:pPr>
              <w:jc w:val="center"/>
              <w:rPr>
                <w:color w:val="auto"/>
                <w:sz w:val="21"/>
                <w:szCs w:val="21"/>
              </w:rPr>
            </w:pPr>
            <w:r>
              <w:rPr>
                <w:rFonts w:hint="eastAsia"/>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污泥均质调理池</w:t>
            </w:r>
          </w:p>
        </w:tc>
        <w:tc>
          <w:tcPr>
            <w:tcW w:w="1701" w:type="dxa"/>
            <w:vAlign w:val="center"/>
          </w:tcPr>
          <w:p>
            <w:pPr>
              <w:jc w:val="center"/>
              <w:rPr>
                <w:color w:val="auto"/>
                <w:sz w:val="21"/>
                <w:szCs w:val="21"/>
              </w:rPr>
            </w:pPr>
            <w:r>
              <w:rPr>
                <w:rFonts w:hAnsi="宋体"/>
                <w:color w:val="auto"/>
                <w:sz w:val="21"/>
                <w:szCs w:val="21"/>
              </w:rPr>
              <w:t>污泥搅拌机</w:t>
            </w:r>
          </w:p>
        </w:tc>
        <w:tc>
          <w:tcPr>
            <w:tcW w:w="567"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850" w:type="dxa"/>
            <w:vMerge w:val="continue"/>
            <w:vAlign w:val="center"/>
          </w:tcPr>
          <w:p>
            <w:pPr>
              <w:jc w:val="center"/>
              <w:rPr>
                <w:color w:val="auto"/>
                <w:sz w:val="21"/>
                <w:szCs w:val="21"/>
              </w:rPr>
            </w:pPr>
          </w:p>
        </w:tc>
        <w:tc>
          <w:tcPr>
            <w:tcW w:w="2094" w:type="dxa"/>
            <w:vAlign w:val="center"/>
          </w:tcPr>
          <w:p>
            <w:pPr>
              <w:jc w:val="center"/>
              <w:rPr>
                <w:color w:val="auto"/>
                <w:sz w:val="21"/>
                <w:szCs w:val="21"/>
              </w:rPr>
            </w:pPr>
            <w:r>
              <w:rPr>
                <w:rFonts w:hAnsi="宋体"/>
                <w:color w:val="auto"/>
                <w:sz w:val="21"/>
                <w:szCs w:val="21"/>
              </w:rPr>
              <w:t>除臭风机</w:t>
            </w:r>
          </w:p>
        </w:tc>
        <w:tc>
          <w:tcPr>
            <w:tcW w:w="818" w:type="dxa"/>
            <w:vAlign w:val="center"/>
          </w:tcPr>
          <w:p>
            <w:pPr>
              <w:jc w:val="center"/>
              <w:rPr>
                <w:color w:val="auto"/>
                <w:sz w:val="21"/>
                <w:szCs w:val="21"/>
              </w:rPr>
            </w:pPr>
            <w:r>
              <w:rPr>
                <w:rFonts w:hint="eastAsia"/>
                <w:color w:val="auto"/>
                <w:sz w:val="21"/>
                <w:szCs w:val="21"/>
              </w:rPr>
              <w:t>1台</w:t>
            </w:r>
          </w:p>
        </w:tc>
        <w:tc>
          <w:tcPr>
            <w:tcW w:w="712" w:type="dxa"/>
            <w:vAlign w:val="center"/>
          </w:tcPr>
          <w:p>
            <w:pPr>
              <w:jc w:val="center"/>
              <w:rPr>
                <w:color w:val="auto"/>
                <w:sz w:val="21"/>
                <w:szCs w:val="21"/>
              </w:rPr>
            </w:pPr>
            <w:r>
              <w:rPr>
                <w:rFonts w:hint="eastAsia"/>
                <w:color w:val="auto"/>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Ansi="宋体"/>
                <w:color w:val="auto"/>
                <w:sz w:val="21"/>
                <w:szCs w:val="21"/>
              </w:rPr>
              <w:t>潜水搅拌器</w:t>
            </w:r>
          </w:p>
        </w:tc>
        <w:tc>
          <w:tcPr>
            <w:tcW w:w="567" w:type="dxa"/>
            <w:vAlign w:val="center"/>
          </w:tcPr>
          <w:p>
            <w:pPr>
              <w:jc w:val="center"/>
              <w:rPr>
                <w:color w:val="auto"/>
                <w:sz w:val="21"/>
                <w:szCs w:val="21"/>
              </w:rPr>
            </w:pPr>
            <w:r>
              <w:rPr>
                <w:color w:val="auto"/>
                <w:sz w:val="21"/>
                <w:szCs w:val="21"/>
              </w:rPr>
              <w:t>1</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75</w:t>
            </w:r>
          </w:p>
        </w:tc>
        <w:tc>
          <w:tcPr>
            <w:tcW w:w="850" w:type="dxa"/>
            <w:vAlign w:val="center"/>
          </w:tcPr>
          <w:p>
            <w:pPr>
              <w:jc w:val="center"/>
              <w:rPr>
                <w:color w:val="auto"/>
                <w:sz w:val="21"/>
                <w:szCs w:val="21"/>
              </w:rPr>
            </w:pPr>
            <w:r>
              <w:rPr>
                <w:rFonts w:hAnsi="宋体"/>
                <w:color w:val="auto"/>
                <w:sz w:val="21"/>
                <w:szCs w:val="21"/>
              </w:rPr>
              <w:t>鼓风机房</w:t>
            </w:r>
          </w:p>
        </w:tc>
        <w:tc>
          <w:tcPr>
            <w:tcW w:w="2094" w:type="dxa"/>
            <w:vAlign w:val="center"/>
          </w:tcPr>
          <w:p>
            <w:pPr>
              <w:jc w:val="center"/>
              <w:rPr>
                <w:color w:val="auto"/>
                <w:sz w:val="21"/>
                <w:szCs w:val="21"/>
              </w:rPr>
            </w:pPr>
            <w:r>
              <w:rPr>
                <w:rFonts w:hAnsi="宋体"/>
                <w:color w:val="auto"/>
                <w:sz w:val="21"/>
                <w:szCs w:val="21"/>
              </w:rPr>
              <w:t>多级离心鼓风机</w:t>
            </w:r>
          </w:p>
        </w:tc>
        <w:tc>
          <w:tcPr>
            <w:tcW w:w="818" w:type="dxa"/>
            <w:vAlign w:val="center"/>
          </w:tcPr>
          <w:p>
            <w:pPr>
              <w:jc w:val="center"/>
              <w:rPr>
                <w:color w:val="auto"/>
                <w:sz w:val="21"/>
                <w:szCs w:val="21"/>
              </w:rPr>
            </w:pPr>
            <w:r>
              <w:rPr>
                <w:rFonts w:hint="eastAsia"/>
                <w:color w:val="auto"/>
                <w:sz w:val="21"/>
                <w:szCs w:val="21"/>
              </w:rPr>
              <w:t>2套</w:t>
            </w:r>
          </w:p>
        </w:tc>
        <w:tc>
          <w:tcPr>
            <w:tcW w:w="712" w:type="dxa"/>
            <w:vAlign w:val="center"/>
          </w:tcPr>
          <w:p>
            <w:pPr>
              <w:jc w:val="center"/>
              <w:rPr>
                <w:color w:val="auto"/>
                <w:sz w:val="21"/>
                <w:szCs w:val="21"/>
              </w:rPr>
            </w:pPr>
            <w:r>
              <w:rPr>
                <w:rFonts w:hint="eastAsia"/>
                <w:color w:val="auto"/>
                <w:sz w:val="21"/>
                <w:szCs w:val="21"/>
              </w:rPr>
              <w:t>85</w:t>
            </w:r>
          </w:p>
        </w:tc>
      </w:tr>
    </w:tbl>
    <w:p>
      <w:pPr>
        <w:pStyle w:val="5"/>
        <w:rPr>
          <w:color w:val="auto"/>
        </w:rPr>
      </w:pPr>
      <w:r>
        <w:rPr>
          <w:rFonts w:hint="eastAsia"/>
          <w:color w:val="auto"/>
        </w:rPr>
        <w:t>3.6.3.4固体废弃物分析</w:t>
      </w:r>
    </w:p>
    <w:p>
      <w:pPr>
        <w:spacing w:line="360" w:lineRule="auto"/>
        <w:ind w:firstLine="480" w:firstLineChars="200"/>
        <w:jc w:val="left"/>
        <w:rPr>
          <w:color w:val="auto"/>
          <w:sz w:val="24"/>
          <w:szCs w:val="24"/>
        </w:rPr>
      </w:pPr>
      <w:r>
        <w:rPr>
          <w:rFonts w:hint="eastAsia"/>
          <w:color w:val="auto"/>
          <w:sz w:val="24"/>
          <w:szCs w:val="24"/>
        </w:rPr>
        <w:t>拟建工程产生的固体废物主要是污水处理过程中产生的栅渣、污泥、废化学试剂、员工的生活垃圾。</w:t>
      </w:r>
    </w:p>
    <w:p>
      <w:pPr>
        <w:spacing w:line="360" w:lineRule="auto"/>
        <w:ind w:firstLine="482" w:firstLineChars="200"/>
        <w:jc w:val="left"/>
        <w:rPr>
          <w:b/>
          <w:color w:val="auto"/>
          <w:sz w:val="24"/>
          <w:szCs w:val="24"/>
        </w:rPr>
      </w:pPr>
      <w:r>
        <w:rPr>
          <w:rFonts w:hint="eastAsia"/>
          <w:b/>
          <w:color w:val="auto"/>
          <w:sz w:val="24"/>
          <w:szCs w:val="24"/>
        </w:rPr>
        <w:t>1、生活垃圾</w:t>
      </w:r>
    </w:p>
    <w:p>
      <w:pPr>
        <w:spacing w:line="360" w:lineRule="auto"/>
        <w:ind w:firstLine="480" w:firstLineChars="200"/>
        <w:jc w:val="left"/>
        <w:rPr>
          <w:color w:val="auto"/>
          <w:sz w:val="24"/>
          <w:szCs w:val="24"/>
        </w:rPr>
      </w:pPr>
      <w:r>
        <w:rPr>
          <w:rFonts w:hint="eastAsia"/>
          <w:color w:val="auto"/>
          <w:sz w:val="24"/>
          <w:szCs w:val="24"/>
        </w:rPr>
        <w:t>厂区内员工日常办公将产生生活垃圾。本项目劳动定员25人，产污系数以0.5kg/（人·天）计，则生活垃圾产生量约为12.5kg/d（4.56t/a），本项目办公区域设有垃圾桶，生活垃圾统一收集后，运往就近垃圾堆放点，由环卫部门统一处置。</w:t>
      </w:r>
    </w:p>
    <w:p>
      <w:pPr>
        <w:spacing w:line="360" w:lineRule="auto"/>
        <w:ind w:firstLine="482" w:firstLineChars="200"/>
        <w:jc w:val="left"/>
        <w:rPr>
          <w:b/>
          <w:color w:val="auto"/>
          <w:sz w:val="24"/>
          <w:szCs w:val="24"/>
        </w:rPr>
      </w:pPr>
      <w:r>
        <w:rPr>
          <w:rFonts w:hint="eastAsia"/>
          <w:b/>
          <w:color w:val="auto"/>
          <w:sz w:val="24"/>
          <w:szCs w:val="24"/>
        </w:rPr>
        <w:t>2、栅渣</w:t>
      </w:r>
    </w:p>
    <w:p>
      <w:pPr>
        <w:spacing w:line="360" w:lineRule="auto"/>
        <w:ind w:firstLine="480" w:firstLineChars="200"/>
        <w:jc w:val="left"/>
        <w:rPr>
          <w:color w:val="auto"/>
          <w:sz w:val="24"/>
          <w:szCs w:val="24"/>
        </w:rPr>
      </w:pPr>
      <w:r>
        <w:rPr>
          <w:rFonts w:hint="eastAsia"/>
          <w:color w:val="auto"/>
          <w:sz w:val="24"/>
          <w:szCs w:val="24"/>
        </w:rPr>
        <w:t>在污水预处理阶段，由格栅井分离出一定量的栅渣，主要是较大块状物、枝状物、软性物质和软塑料等粗、细垃圾和悬浮或飘浮状态的杂物。根据《环境工程技术手册：废水污染控制技术手册》（潘涛等，化学工业出版社），栅渣量与多种因素有关，当无当地运行资料时，可以采用以下资料：格栅间隙16~25mm：0.10~0.05m</w:t>
      </w:r>
      <w:r>
        <w:rPr>
          <w:rFonts w:hint="eastAsia"/>
          <w:color w:val="auto"/>
          <w:sz w:val="24"/>
          <w:szCs w:val="24"/>
          <w:vertAlign w:val="superscript"/>
        </w:rPr>
        <w:t>3</w:t>
      </w:r>
      <w:r>
        <w:rPr>
          <w:rFonts w:hint="eastAsia"/>
          <w:color w:val="auto"/>
          <w:sz w:val="24"/>
          <w:szCs w:val="24"/>
        </w:rPr>
        <w:t>/10</w:t>
      </w:r>
      <w:r>
        <w:rPr>
          <w:rFonts w:hint="eastAsia"/>
          <w:color w:val="auto"/>
          <w:sz w:val="24"/>
          <w:szCs w:val="24"/>
          <w:vertAlign w:val="superscript"/>
        </w:rPr>
        <w:t>3</w:t>
      </w:r>
      <w:r>
        <w:rPr>
          <w:rFonts w:hint="eastAsia"/>
          <w:color w:val="auto"/>
          <w:sz w:val="24"/>
          <w:szCs w:val="24"/>
        </w:rPr>
        <w:t>m</w:t>
      </w:r>
      <w:r>
        <w:rPr>
          <w:rFonts w:hint="eastAsia"/>
          <w:color w:val="auto"/>
          <w:sz w:val="24"/>
          <w:szCs w:val="24"/>
          <w:vertAlign w:val="superscript"/>
        </w:rPr>
        <w:t>3</w:t>
      </w:r>
      <w:r>
        <w:rPr>
          <w:rFonts w:hint="eastAsia"/>
          <w:color w:val="auto"/>
          <w:sz w:val="24"/>
          <w:szCs w:val="24"/>
        </w:rPr>
        <w:t>（栅渣/废水）；格栅间隙30~50mm：0.03~0.01 m</w:t>
      </w:r>
      <w:r>
        <w:rPr>
          <w:rFonts w:hint="eastAsia"/>
          <w:color w:val="auto"/>
          <w:sz w:val="24"/>
          <w:szCs w:val="24"/>
          <w:vertAlign w:val="superscript"/>
        </w:rPr>
        <w:t>3</w:t>
      </w:r>
      <w:r>
        <w:rPr>
          <w:rFonts w:hint="eastAsia"/>
          <w:color w:val="auto"/>
          <w:sz w:val="24"/>
          <w:szCs w:val="24"/>
        </w:rPr>
        <w:t>/10</w:t>
      </w:r>
      <w:r>
        <w:rPr>
          <w:rFonts w:hint="eastAsia"/>
          <w:color w:val="auto"/>
          <w:sz w:val="24"/>
          <w:szCs w:val="24"/>
          <w:vertAlign w:val="superscript"/>
        </w:rPr>
        <w:t>3</w:t>
      </w:r>
      <w:r>
        <w:rPr>
          <w:rFonts w:hint="eastAsia"/>
          <w:color w:val="auto"/>
          <w:sz w:val="24"/>
          <w:szCs w:val="24"/>
        </w:rPr>
        <w:t>m</w:t>
      </w:r>
      <w:r>
        <w:rPr>
          <w:rFonts w:hint="eastAsia"/>
          <w:color w:val="auto"/>
          <w:sz w:val="24"/>
          <w:szCs w:val="24"/>
          <w:vertAlign w:val="superscript"/>
        </w:rPr>
        <w:t>3</w:t>
      </w:r>
      <w:r>
        <w:rPr>
          <w:rFonts w:hint="eastAsia"/>
          <w:color w:val="auto"/>
          <w:sz w:val="24"/>
          <w:szCs w:val="24"/>
        </w:rPr>
        <w:t>（栅渣/废水）。栅渣容重约为960kg/m</w:t>
      </w:r>
      <w:r>
        <w:rPr>
          <w:rFonts w:hint="eastAsia"/>
          <w:color w:val="auto"/>
          <w:sz w:val="24"/>
          <w:szCs w:val="24"/>
          <w:vertAlign w:val="superscript"/>
        </w:rPr>
        <w:t>3</w:t>
      </w:r>
      <w:r>
        <w:rPr>
          <w:rFonts w:hint="eastAsia"/>
          <w:color w:val="auto"/>
          <w:sz w:val="24"/>
          <w:szCs w:val="24"/>
        </w:rPr>
        <w:t>。</w:t>
      </w:r>
    </w:p>
    <w:p>
      <w:pPr>
        <w:spacing w:line="360" w:lineRule="auto"/>
        <w:ind w:firstLine="480" w:firstLineChars="200"/>
        <w:jc w:val="left"/>
        <w:rPr>
          <w:color w:val="auto"/>
          <w:sz w:val="24"/>
          <w:szCs w:val="24"/>
        </w:rPr>
      </w:pPr>
      <w:r>
        <w:rPr>
          <w:rFonts w:hint="eastAsia"/>
          <w:color w:val="auto"/>
          <w:sz w:val="24"/>
          <w:szCs w:val="24"/>
        </w:rPr>
        <w:t>本项目为新建项目，无当地运行资料，故采用上述数据进行估算。根据工程设计资料，本项目粗格栅间隙为20mm，细格栅间隙为6mm，栅渣量取0.10 m</w:t>
      </w:r>
      <w:r>
        <w:rPr>
          <w:rFonts w:hint="eastAsia"/>
          <w:color w:val="auto"/>
          <w:sz w:val="24"/>
          <w:szCs w:val="24"/>
          <w:vertAlign w:val="superscript"/>
        </w:rPr>
        <w:t>3</w:t>
      </w:r>
      <w:r>
        <w:rPr>
          <w:rFonts w:hint="eastAsia"/>
          <w:color w:val="auto"/>
          <w:sz w:val="24"/>
          <w:szCs w:val="24"/>
        </w:rPr>
        <w:t>/10</w:t>
      </w:r>
      <w:r>
        <w:rPr>
          <w:rFonts w:hint="eastAsia"/>
          <w:color w:val="auto"/>
          <w:sz w:val="24"/>
          <w:szCs w:val="24"/>
          <w:vertAlign w:val="superscript"/>
        </w:rPr>
        <w:t>3</w:t>
      </w:r>
      <w:r>
        <w:rPr>
          <w:rFonts w:hint="eastAsia"/>
          <w:color w:val="auto"/>
          <w:sz w:val="24"/>
          <w:szCs w:val="24"/>
        </w:rPr>
        <w:t>m</w:t>
      </w:r>
      <w:r>
        <w:rPr>
          <w:rFonts w:hint="eastAsia"/>
          <w:color w:val="auto"/>
          <w:sz w:val="24"/>
          <w:szCs w:val="24"/>
          <w:vertAlign w:val="superscript"/>
        </w:rPr>
        <w:t>3</w:t>
      </w:r>
      <w:r>
        <w:rPr>
          <w:rFonts w:hint="eastAsia"/>
          <w:color w:val="auto"/>
          <w:sz w:val="24"/>
          <w:szCs w:val="24"/>
        </w:rPr>
        <w:t>（栅渣/废水）。项目通过无轴螺旋输送机和压榨机对栅渣进行脱水处理，经脱水后的栅渣含水率小于60%。根据上述参数，本项目栅渣产生量约为1.92t/d（含水率60%）。本项目接纳的废水不属于含重金属污水，污染因子主要为COD</w:t>
      </w:r>
      <w:r>
        <w:rPr>
          <w:rFonts w:hint="eastAsia"/>
          <w:color w:val="auto"/>
          <w:sz w:val="24"/>
          <w:szCs w:val="24"/>
          <w:vertAlign w:val="subscript"/>
        </w:rPr>
        <w:t>Cr</w:t>
      </w:r>
      <w:r>
        <w:rPr>
          <w:rFonts w:hint="eastAsia"/>
          <w:color w:val="auto"/>
          <w:sz w:val="24"/>
          <w:szCs w:val="24"/>
        </w:rPr>
        <w:t>、BOD</w:t>
      </w:r>
      <w:r>
        <w:rPr>
          <w:rFonts w:hint="eastAsia"/>
          <w:color w:val="auto"/>
          <w:sz w:val="24"/>
          <w:szCs w:val="24"/>
          <w:vertAlign w:val="subscript"/>
        </w:rPr>
        <w:t>5</w:t>
      </w:r>
      <w:r>
        <w:rPr>
          <w:rFonts w:hint="eastAsia"/>
          <w:color w:val="auto"/>
          <w:sz w:val="24"/>
          <w:szCs w:val="24"/>
        </w:rPr>
        <w:t>、SS和氨氮，废水成分较为简单，因此格栅池产生的栅渣为一般固体废物，经压榨打包后使用渣斗储存，交由环卫部门处理。</w:t>
      </w:r>
    </w:p>
    <w:p>
      <w:pPr>
        <w:spacing w:line="360" w:lineRule="auto"/>
        <w:ind w:firstLine="482" w:firstLineChars="200"/>
        <w:jc w:val="left"/>
        <w:rPr>
          <w:b/>
          <w:color w:val="auto"/>
          <w:sz w:val="24"/>
          <w:szCs w:val="24"/>
        </w:rPr>
      </w:pPr>
      <w:r>
        <w:rPr>
          <w:rFonts w:hint="eastAsia"/>
          <w:b/>
          <w:color w:val="auto"/>
          <w:sz w:val="24"/>
          <w:szCs w:val="24"/>
        </w:rPr>
        <w:t>3、污泥</w:t>
      </w:r>
    </w:p>
    <w:p>
      <w:pPr>
        <w:spacing w:line="360" w:lineRule="auto"/>
        <w:ind w:firstLine="480" w:firstLineChars="200"/>
        <w:jc w:val="left"/>
        <w:rPr>
          <w:color w:val="auto"/>
          <w:sz w:val="24"/>
          <w:szCs w:val="24"/>
        </w:rPr>
      </w:pPr>
      <w:r>
        <w:rPr>
          <w:rFonts w:hint="eastAsia"/>
          <w:color w:val="auto"/>
          <w:sz w:val="24"/>
          <w:szCs w:val="24"/>
        </w:rPr>
        <w:t>（1）剩余污泥</w:t>
      </w:r>
    </w:p>
    <w:p>
      <w:pPr>
        <w:spacing w:line="360" w:lineRule="auto"/>
        <w:ind w:firstLine="480" w:firstLineChars="200"/>
        <w:jc w:val="left"/>
        <w:rPr>
          <w:color w:val="auto"/>
          <w:sz w:val="24"/>
          <w:szCs w:val="24"/>
        </w:rPr>
      </w:pPr>
      <w:r>
        <w:rPr>
          <w:rFonts w:hint="eastAsia"/>
          <w:color w:val="auto"/>
          <w:sz w:val="24"/>
          <w:szCs w:val="24"/>
        </w:rPr>
        <w:t>本项目生化处理阶段，二沉池会产生大量的活性污泥，一部分通过回流泵还回生化池，一部分作为剩余污泥进入污泥处理系统进行稳定和脱水。根据《环境工程技术手册：废水污染控制技术手册》（潘涛等，化学工业出版社），二次沉淀池中的污泥部分作为剩余污泥排放，其污泥排放量应等于污泥增长量（ΔX），可用下式确定单位BOD产生的VSS量：</w:t>
      </w:r>
    </w:p>
    <w:p>
      <w:pPr>
        <w:spacing w:line="360" w:lineRule="auto"/>
        <w:jc w:val="center"/>
        <w:rPr>
          <w:color w:val="auto"/>
          <w:sz w:val="24"/>
          <w:szCs w:val="24"/>
        </w:rPr>
      </w:pPr>
      <w:r>
        <w:rPr>
          <w:color w:val="auto"/>
          <w:sz w:val="24"/>
          <w:szCs w:val="24"/>
        </w:rPr>
        <w:drawing>
          <wp:inline distT="0" distB="0" distL="0" distR="0">
            <wp:extent cx="1511935" cy="546100"/>
            <wp:effectExtent l="19050" t="0" r="0" b="0"/>
            <wp:docPr id="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
                    <pic:cNvPicPr>
                      <a:picLocks noChangeAspect="1" noChangeArrowheads="1"/>
                    </pic:cNvPicPr>
                  </pic:nvPicPr>
                  <pic:blipFill>
                    <a:blip r:embed="rId35" cstate="print"/>
                    <a:srcRect/>
                    <a:stretch>
                      <a:fillRect/>
                    </a:stretch>
                  </pic:blipFill>
                  <pic:spPr>
                    <a:xfrm>
                      <a:off x="0" y="0"/>
                      <a:ext cx="1512000" cy="546633"/>
                    </a:xfrm>
                    <a:prstGeom prst="rect">
                      <a:avLst/>
                    </a:prstGeom>
                    <a:noFill/>
                    <a:ln w="9525">
                      <a:noFill/>
                      <a:miter lim="800000"/>
                      <a:headEnd/>
                      <a:tailEnd/>
                    </a:ln>
                  </pic:spPr>
                </pic:pic>
              </a:graphicData>
            </a:graphic>
          </wp:inline>
        </w:drawing>
      </w:r>
    </w:p>
    <w:p>
      <w:pPr>
        <w:spacing w:line="360" w:lineRule="auto"/>
        <w:ind w:firstLine="480" w:firstLineChars="200"/>
        <w:rPr>
          <w:color w:val="auto"/>
          <w:sz w:val="24"/>
          <w:szCs w:val="24"/>
        </w:rPr>
      </w:pPr>
      <w:r>
        <w:rPr>
          <w:rFonts w:hint="eastAsia"/>
          <w:color w:val="auto"/>
          <w:sz w:val="24"/>
          <w:szCs w:val="24"/>
        </w:rPr>
        <w:t>其中，Yobs—真产率系数，kgMLVSS/kgBOD，用来估算每天的污泥量；</w:t>
      </w:r>
    </w:p>
    <w:p>
      <w:pPr>
        <w:spacing w:line="360" w:lineRule="auto"/>
        <w:ind w:firstLine="480" w:firstLineChars="200"/>
        <w:rPr>
          <w:color w:val="auto"/>
          <w:sz w:val="24"/>
          <w:szCs w:val="24"/>
        </w:rPr>
      </w:pPr>
      <w:r>
        <w:rPr>
          <w:rFonts w:hint="eastAsia"/>
          <w:color w:val="auto"/>
          <w:sz w:val="24"/>
          <w:szCs w:val="24"/>
        </w:rPr>
        <w:t>Y—微生物降解1kgBOD所产生的MLVSS值，即产率系数；</w:t>
      </w:r>
    </w:p>
    <w:p>
      <w:pPr>
        <w:spacing w:line="360" w:lineRule="auto"/>
        <w:ind w:firstLine="480" w:firstLineChars="200"/>
        <w:rPr>
          <w:color w:val="auto"/>
          <w:sz w:val="24"/>
          <w:szCs w:val="24"/>
        </w:rPr>
      </w:pPr>
      <w:r>
        <w:rPr>
          <w:rFonts w:hint="eastAsia"/>
          <w:color w:val="auto"/>
          <w:sz w:val="24"/>
          <w:szCs w:val="24"/>
        </w:rPr>
        <w:t>K</w:t>
      </w:r>
      <w:r>
        <w:rPr>
          <w:rFonts w:hint="eastAsia"/>
          <w:color w:val="auto"/>
          <w:sz w:val="24"/>
          <w:szCs w:val="24"/>
          <w:vertAlign w:val="subscript"/>
        </w:rPr>
        <w:t>d</w:t>
      </w:r>
      <w:r>
        <w:rPr>
          <w:rFonts w:hint="eastAsia"/>
          <w:color w:val="auto"/>
          <w:sz w:val="24"/>
          <w:szCs w:val="24"/>
        </w:rPr>
        <w:t>—1kgMLVSS每天自身氧化的量，kg，即自身氧化速率，也称衰减系数；</w:t>
      </w:r>
    </w:p>
    <w:p>
      <w:pPr>
        <w:spacing w:line="360" w:lineRule="auto"/>
        <w:ind w:firstLine="480" w:firstLineChars="200"/>
        <w:rPr>
          <w:color w:val="auto"/>
          <w:sz w:val="24"/>
          <w:szCs w:val="24"/>
        </w:rPr>
      </w:pPr>
      <w:r>
        <w:rPr>
          <w:rFonts w:hint="eastAsia"/>
          <w:color w:val="auto"/>
          <w:sz w:val="24"/>
          <w:szCs w:val="24"/>
        </w:rPr>
        <w:t>θc—生物固体平均停留时间，即通常所说的污泥龄，d；</w:t>
      </w:r>
    </w:p>
    <w:p>
      <w:pPr>
        <w:spacing w:line="360" w:lineRule="auto"/>
        <w:ind w:firstLine="480" w:firstLineChars="200"/>
        <w:rPr>
          <w:color w:val="auto"/>
          <w:sz w:val="24"/>
          <w:szCs w:val="24"/>
        </w:rPr>
      </w:pPr>
      <w:r>
        <w:rPr>
          <w:rFonts w:hint="eastAsia"/>
          <w:color w:val="auto"/>
          <w:sz w:val="24"/>
          <w:szCs w:val="24"/>
        </w:rPr>
        <w:t>Q—废水量，m</w:t>
      </w:r>
      <w:r>
        <w:rPr>
          <w:rFonts w:hint="eastAsia"/>
          <w:color w:val="auto"/>
          <w:sz w:val="24"/>
          <w:szCs w:val="24"/>
          <w:vertAlign w:val="superscript"/>
        </w:rPr>
        <w:t>3</w:t>
      </w:r>
      <w:r>
        <w:rPr>
          <w:rFonts w:hint="eastAsia"/>
          <w:color w:val="auto"/>
          <w:sz w:val="24"/>
          <w:szCs w:val="24"/>
        </w:rPr>
        <w:t>/d；</w:t>
      </w:r>
    </w:p>
    <w:p>
      <w:pPr>
        <w:spacing w:line="360" w:lineRule="auto"/>
        <w:ind w:firstLine="480" w:firstLineChars="200"/>
        <w:rPr>
          <w:color w:val="auto"/>
          <w:sz w:val="24"/>
          <w:szCs w:val="24"/>
        </w:rPr>
      </w:pPr>
      <w:r>
        <w:rPr>
          <w:rFonts w:hint="eastAsia"/>
          <w:color w:val="auto"/>
          <w:sz w:val="24"/>
          <w:szCs w:val="24"/>
        </w:rPr>
        <w:t>S</w:t>
      </w:r>
      <w:r>
        <w:rPr>
          <w:rFonts w:hint="eastAsia"/>
          <w:color w:val="auto"/>
          <w:sz w:val="24"/>
          <w:szCs w:val="24"/>
          <w:vertAlign w:val="subscript"/>
        </w:rPr>
        <w:t>0</w:t>
      </w:r>
      <w:r>
        <w:rPr>
          <w:rFonts w:hint="eastAsia"/>
          <w:color w:val="auto"/>
          <w:sz w:val="24"/>
          <w:szCs w:val="24"/>
        </w:rPr>
        <w:t>—废水中有机基质浓度，kg/m</w:t>
      </w:r>
      <w:r>
        <w:rPr>
          <w:rFonts w:hint="eastAsia"/>
          <w:color w:val="auto"/>
          <w:sz w:val="24"/>
          <w:szCs w:val="24"/>
          <w:vertAlign w:val="superscript"/>
        </w:rPr>
        <w:t>3</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Se—出水中有机基质浓度，kg/m</w:t>
      </w:r>
      <w:r>
        <w:rPr>
          <w:rFonts w:hint="eastAsia"/>
          <w:color w:val="auto"/>
          <w:sz w:val="24"/>
          <w:szCs w:val="24"/>
          <w:vertAlign w:val="superscript"/>
        </w:rPr>
        <w:t>3</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ΔX—污泥增长量，kg/d。</w:t>
      </w:r>
    </w:p>
    <w:p>
      <w:pPr>
        <w:spacing w:line="360" w:lineRule="auto"/>
        <w:ind w:firstLine="480" w:firstLineChars="200"/>
        <w:rPr>
          <w:color w:val="auto"/>
          <w:sz w:val="24"/>
          <w:szCs w:val="24"/>
        </w:rPr>
      </w:pPr>
      <w:r>
        <w:rPr>
          <w:rFonts w:hint="eastAsia"/>
          <w:color w:val="auto"/>
          <w:sz w:val="24"/>
          <w:szCs w:val="24"/>
        </w:rPr>
        <w:t>根据《环境工程技术手册：废水污染控制技术手册》（潘涛等，化学工业出版社），对生活污水或性质与其相近的工业废水，Y值可取0.5~0.65；K</w:t>
      </w:r>
      <w:r>
        <w:rPr>
          <w:rFonts w:hint="eastAsia"/>
          <w:color w:val="auto"/>
          <w:sz w:val="24"/>
          <w:szCs w:val="24"/>
          <w:vertAlign w:val="subscript"/>
        </w:rPr>
        <w:t>d</w:t>
      </w:r>
      <w:r>
        <w:rPr>
          <w:rFonts w:hint="eastAsia"/>
          <w:color w:val="auto"/>
          <w:sz w:val="24"/>
          <w:szCs w:val="24"/>
        </w:rPr>
        <w:t>值取为0.05~0.1。本项目处理废水含有生活污水和少量工业废水，Y值取0.6，K</w:t>
      </w:r>
      <w:r>
        <w:rPr>
          <w:rFonts w:hint="eastAsia"/>
          <w:color w:val="auto"/>
          <w:sz w:val="24"/>
          <w:szCs w:val="24"/>
          <w:vertAlign w:val="subscript"/>
        </w:rPr>
        <w:t>d</w:t>
      </w:r>
      <w:r>
        <w:rPr>
          <w:rFonts w:hint="eastAsia"/>
          <w:color w:val="auto"/>
          <w:sz w:val="24"/>
          <w:szCs w:val="24"/>
        </w:rPr>
        <w:t>值取0.07。项目进水BOD浓度为200mg/L，经预处理系统处理后，BOD按降低25%计，二级处理系统的BOD处理效率以90%计，则生化处理系统BOD浓度降低量为：S</w:t>
      </w:r>
      <w:r>
        <w:rPr>
          <w:rFonts w:hint="eastAsia"/>
          <w:color w:val="auto"/>
          <w:sz w:val="24"/>
          <w:szCs w:val="24"/>
          <w:vertAlign w:val="subscript"/>
        </w:rPr>
        <w:t>0</w:t>
      </w:r>
      <w:r>
        <w:rPr>
          <w:rFonts w:hint="eastAsia"/>
          <w:color w:val="auto"/>
          <w:sz w:val="24"/>
          <w:szCs w:val="24"/>
        </w:rPr>
        <w:t>- Se=200×（1-25%）×90%÷1000=0.135kg/m</w:t>
      </w:r>
      <w:r>
        <w:rPr>
          <w:rFonts w:hint="eastAsia"/>
          <w:color w:val="auto"/>
          <w:sz w:val="24"/>
          <w:szCs w:val="24"/>
          <w:vertAlign w:val="superscript"/>
        </w:rPr>
        <w:t>3</w:t>
      </w:r>
      <w:r>
        <w:rPr>
          <w:rFonts w:hint="eastAsia"/>
          <w:color w:val="auto"/>
          <w:sz w:val="24"/>
          <w:szCs w:val="24"/>
        </w:rPr>
        <w:t>。根据项目工程设计，本项目污泥停留时间为21.8h，即θc=21.8÷24≈0.91d。</w:t>
      </w:r>
    </w:p>
    <w:p>
      <w:pPr>
        <w:spacing w:line="360" w:lineRule="auto"/>
        <w:ind w:firstLine="480" w:firstLineChars="200"/>
        <w:rPr>
          <w:color w:val="auto"/>
          <w:sz w:val="24"/>
          <w:szCs w:val="24"/>
        </w:rPr>
      </w:pPr>
      <w:r>
        <w:rPr>
          <w:rFonts w:hint="eastAsia"/>
          <w:color w:val="auto"/>
          <w:sz w:val="24"/>
          <w:szCs w:val="24"/>
        </w:rPr>
        <w:t>根据上述参数，可算得项目剩余污泥产生量为ΔX=0.6÷（1+0.07×0.91）×8000×0.135=609.2kg/d。本项目污泥处理采用“重力浓缩+板框脱水”至出泥含水率为60%，则本项目外运污泥量为1.523t/d。</w:t>
      </w:r>
    </w:p>
    <w:p>
      <w:pPr>
        <w:spacing w:line="360" w:lineRule="auto"/>
        <w:ind w:firstLine="480" w:firstLineChars="200"/>
        <w:rPr>
          <w:color w:val="auto"/>
          <w:sz w:val="24"/>
          <w:szCs w:val="24"/>
        </w:rPr>
      </w:pPr>
      <w:r>
        <w:rPr>
          <w:rFonts w:hint="eastAsia"/>
          <w:color w:val="auto"/>
          <w:sz w:val="24"/>
          <w:szCs w:val="24"/>
        </w:rPr>
        <w:t>（2）深度处理污泥</w:t>
      </w:r>
    </w:p>
    <w:p>
      <w:pPr>
        <w:spacing w:line="360" w:lineRule="auto"/>
        <w:ind w:firstLine="480" w:firstLineChars="200"/>
        <w:rPr>
          <w:color w:val="auto"/>
          <w:sz w:val="24"/>
          <w:szCs w:val="24"/>
        </w:rPr>
      </w:pPr>
      <w:r>
        <w:rPr>
          <w:rFonts w:hint="eastAsia"/>
          <w:color w:val="auto"/>
          <w:sz w:val="24"/>
          <w:szCs w:val="24"/>
        </w:rPr>
        <w:t>本项目深度处理采用“曝气生物滤池+高效沉淀池+转盘滤池+消毒接触池”工艺，通过絮凝、沉淀、过滤等操作产生一定量的深度处理污泥，其产生量可按下式进行估算：</w:t>
      </w:r>
    </w:p>
    <w:p>
      <w:pPr>
        <w:spacing w:line="360" w:lineRule="auto"/>
        <w:jc w:val="center"/>
        <w:rPr>
          <w:color w:val="auto"/>
          <w:sz w:val="24"/>
          <w:szCs w:val="24"/>
        </w:rPr>
      </w:pPr>
      <w:r>
        <w:rPr>
          <w:rFonts w:hint="eastAsia"/>
          <w:color w:val="auto"/>
          <w:sz w:val="24"/>
          <w:szCs w:val="24"/>
        </w:rPr>
        <w:t>V=Q×（C</w:t>
      </w:r>
      <w:r>
        <w:rPr>
          <w:rFonts w:hint="eastAsia"/>
          <w:color w:val="auto"/>
          <w:sz w:val="24"/>
          <w:szCs w:val="24"/>
          <w:vertAlign w:val="subscript"/>
        </w:rPr>
        <w:t>0</w:t>
      </w:r>
      <w:r>
        <w:rPr>
          <w:rFonts w:hint="eastAsia"/>
          <w:color w:val="auto"/>
          <w:sz w:val="24"/>
          <w:szCs w:val="24"/>
        </w:rPr>
        <w:t>-C</w:t>
      </w:r>
      <w:r>
        <w:rPr>
          <w:rFonts w:hint="eastAsia"/>
          <w:color w:val="auto"/>
          <w:sz w:val="24"/>
          <w:szCs w:val="24"/>
          <w:vertAlign w:val="subscript"/>
        </w:rPr>
        <w:t>1</w:t>
      </w:r>
      <w:r>
        <w:rPr>
          <w:rFonts w:hint="eastAsia"/>
          <w:color w:val="auto"/>
          <w:sz w:val="24"/>
          <w:szCs w:val="24"/>
        </w:rPr>
        <w:t>）×100÷[γ×（100-ρ</w:t>
      </w:r>
      <w:r>
        <w:rPr>
          <w:rFonts w:hint="eastAsia"/>
          <w:color w:val="auto"/>
          <w:sz w:val="24"/>
          <w:szCs w:val="24"/>
          <w:vertAlign w:val="subscript"/>
        </w:rPr>
        <w:t>0</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其中，Q—处理水量，m</w:t>
      </w:r>
      <w:r>
        <w:rPr>
          <w:rFonts w:hint="eastAsia"/>
          <w:color w:val="auto"/>
          <w:sz w:val="24"/>
          <w:szCs w:val="24"/>
          <w:vertAlign w:val="superscript"/>
        </w:rPr>
        <w:t>3</w:t>
      </w:r>
      <w:r>
        <w:rPr>
          <w:rFonts w:hint="eastAsia"/>
          <w:color w:val="auto"/>
          <w:sz w:val="24"/>
          <w:szCs w:val="24"/>
        </w:rPr>
        <w:t>/d；</w:t>
      </w:r>
    </w:p>
    <w:p>
      <w:pPr>
        <w:spacing w:line="360" w:lineRule="auto"/>
        <w:ind w:firstLine="480" w:firstLineChars="200"/>
        <w:rPr>
          <w:color w:val="auto"/>
          <w:sz w:val="24"/>
          <w:szCs w:val="24"/>
        </w:rPr>
      </w:pPr>
      <w:r>
        <w:rPr>
          <w:rFonts w:hint="eastAsia"/>
          <w:color w:val="auto"/>
          <w:sz w:val="24"/>
          <w:szCs w:val="24"/>
        </w:rPr>
        <w:t>C</w:t>
      </w:r>
      <w:r>
        <w:rPr>
          <w:rFonts w:hint="eastAsia"/>
          <w:color w:val="auto"/>
          <w:sz w:val="24"/>
          <w:szCs w:val="24"/>
          <w:vertAlign w:val="subscript"/>
        </w:rPr>
        <w:t>0</w:t>
      </w:r>
      <w:r>
        <w:rPr>
          <w:rFonts w:hint="eastAsia"/>
          <w:color w:val="auto"/>
          <w:sz w:val="24"/>
          <w:szCs w:val="24"/>
        </w:rPr>
        <w:t>、C</w:t>
      </w:r>
      <w:r>
        <w:rPr>
          <w:rFonts w:hint="eastAsia"/>
          <w:color w:val="auto"/>
          <w:sz w:val="24"/>
          <w:szCs w:val="24"/>
          <w:vertAlign w:val="subscript"/>
        </w:rPr>
        <w:t>1</w:t>
      </w:r>
      <w:r>
        <w:rPr>
          <w:rFonts w:hint="eastAsia"/>
          <w:color w:val="auto"/>
          <w:sz w:val="24"/>
          <w:szCs w:val="24"/>
        </w:rPr>
        <w:t>—进水与出水的悬浮物浓度，kg/m</w:t>
      </w:r>
      <w:r>
        <w:rPr>
          <w:rFonts w:hint="eastAsia"/>
          <w:color w:val="auto"/>
          <w:sz w:val="24"/>
          <w:szCs w:val="24"/>
          <w:vertAlign w:val="superscript"/>
        </w:rPr>
        <w:t>3</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γ为污泥容重，一般取1000kg/m</w:t>
      </w:r>
      <w:r>
        <w:rPr>
          <w:rFonts w:hint="eastAsia"/>
          <w:color w:val="auto"/>
          <w:sz w:val="24"/>
          <w:szCs w:val="24"/>
          <w:vertAlign w:val="superscript"/>
        </w:rPr>
        <w:t>3</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ρ</w:t>
      </w:r>
      <w:r>
        <w:rPr>
          <w:rFonts w:hint="eastAsia"/>
          <w:color w:val="auto"/>
          <w:sz w:val="24"/>
          <w:szCs w:val="24"/>
          <w:vertAlign w:val="subscript"/>
        </w:rPr>
        <w:t>0</w:t>
      </w:r>
      <w:r>
        <w:rPr>
          <w:rFonts w:hint="eastAsia"/>
          <w:color w:val="auto"/>
          <w:sz w:val="24"/>
          <w:szCs w:val="24"/>
        </w:rPr>
        <w:t>为污泥含水率，%。</w:t>
      </w:r>
    </w:p>
    <w:p>
      <w:pPr>
        <w:spacing w:line="360" w:lineRule="auto"/>
        <w:ind w:firstLine="480" w:firstLineChars="200"/>
        <w:rPr>
          <w:color w:val="auto"/>
          <w:sz w:val="24"/>
          <w:szCs w:val="24"/>
        </w:rPr>
      </w:pPr>
      <w:r>
        <w:rPr>
          <w:rFonts w:hint="eastAsia"/>
          <w:color w:val="auto"/>
          <w:sz w:val="24"/>
          <w:szCs w:val="24"/>
        </w:rPr>
        <w:t>根据工程设计，本项目深度处理单元设计进水SS浓度为30mg/L；设计出水浓度为8mg/L。项目处理水量为8000 m</w:t>
      </w:r>
      <w:r>
        <w:rPr>
          <w:rFonts w:hint="eastAsia"/>
          <w:color w:val="auto"/>
          <w:sz w:val="24"/>
          <w:szCs w:val="24"/>
          <w:vertAlign w:val="superscript"/>
        </w:rPr>
        <w:t>3</w:t>
      </w:r>
      <w:r>
        <w:rPr>
          <w:rFonts w:hint="eastAsia"/>
          <w:color w:val="auto"/>
          <w:sz w:val="24"/>
          <w:szCs w:val="24"/>
        </w:rPr>
        <w:t>/d，污泥处理采用“重力浓缩+板框脱水”至出泥含水率为60%。由上述参数及估算公式可以得出，本项目深度处理污泥产生量为0.44t/d。</w:t>
      </w:r>
    </w:p>
    <w:p>
      <w:pPr>
        <w:spacing w:line="360" w:lineRule="auto"/>
        <w:ind w:firstLine="480"/>
        <w:rPr>
          <w:color w:val="auto"/>
          <w:sz w:val="24"/>
          <w:szCs w:val="24"/>
        </w:rPr>
      </w:pPr>
      <w:r>
        <w:rPr>
          <w:rFonts w:hint="eastAsia"/>
          <w:color w:val="auto"/>
          <w:sz w:val="24"/>
          <w:szCs w:val="24"/>
        </w:rPr>
        <w:t>综上所述，本项目污泥（剩余污泥+深度处理污泥）产生量为1.963t/d。</w:t>
      </w:r>
    </w:p>
    <w:p>
      <w:pPr>
        <w:spacing w:line="360" w:lineRule="auto"/>
        <w:ind w:firstLine="480"/>
        <w:rPr>
          <w:color w:val="auto"/>
          <w:sz w:val="24"/>
          <w:szCs w:val="24"/>
        </w:rPr>
      </w:pPr>
      <w:r>
        <w:rPr>
          <w:rFonts w:hint="eastAsia"/>
          <w:color w:val="auto"/>
          <w:sz w:val="24"/>
          <w:szCs w:val="24"/>
        </w:rPr>
        <w:t>根据环境保护部《关于污（废）水处理设施产生污泥危险特性鉴别有关意见的函》（环函〔2010〕129 号）要求： “一、单纯用于处理城镇生活污水的公共污水处理厂，其产生的污泥通常情况下不具有危险特性，可作为一般固体废物管理。”、“三、以处理生活污水为主要功能的公共污水处理厂，若接收、处理工业废水，且该工业废水在排入公共污水处理系统前能稳定达到国家或地方规定的污染物排放标准的，公共污水处理厂的污泥可按照第一条的规定进行管理。但是，在工业废水排放情况发生重大改变时，应按照第二条的规定进行危险特性鉴别。”目前，五华河东绿色生态工业小镇还处于招商引资阶段，后期接纳的工业废水具有不确定性，因此本项目污泥经脱水后应按《国家危险废物名录（2021年版）》、《危险废物鉴别技术规范》（HJ298-2019）和危险废物鉴别标准GB5085和GB5086 及GB／T15555 鉴别方法对污泥进行危险特性鉴别，以确定最终处置去向，若属于危险废物，应与有资质单位签定处置协议，进行无害化处置；若属于一般固废，则根据鉴定结果优先进行综合利用，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p>
      <w:pPr>
        <w:spacing w:line="360" w:lineRule="auto"/>
        <w:ind w:firstLine="482" w:firstLineChars="200"/>
        <w:rPr>
          <w:b/>
          <w:color w:val="auto"/>
          <w:sz w:val="24"/>
          <w:szCs w:val="24"/>
        </w:rPr>
      </w:pPr>
      <w:r>
        <w:rPr>
          <w:rFonts w:hint="eastAsia"/>
          <w:b/>
          <w:color w:val="auto"/>
          <w:sz w:val="24"/>
          <w:szCs w:val="24"/>
        </w:rPr>
        <w:t>4、废化学试剂</w:t>
      </w:r>
    </w:p>
    <w:p>
      <w:pPr>
        <w:spacing w:line="360" w:lineRule="auto"/>
        <w:ind w:firstLine="480" w:firstLineChars="200"/>
        <w:rPr>
          <w:color w:val="auto"/>
          <w:sz w:val="24"/>
          <w:szCs w:val="24"/>
        </w:rPr>
      </w:pPr>
      <w:r>
        <w:rPr>
          <w:rFonts w:hint="eastAsia"/>
          <w:color w:val="auto"/>
          <w:sz w:val="24"/>
          <w:szCs w:val="24"/>
        </w:rPr>
        <w:t>本项目综合楼一层设有化验室，会产生各类废化学试剂，产生量约为0.5t/a，属于《国家危险废物名录》（2021年版）中编号为HW49  900-047-49类危险废物。危险废物经分类收集后，暂存在危废暂存间，再交由有资质的单位处置。</w:t>
      </w:r>
    </w:p>
    <w:p>
      <w:pPr>
        <w:spacing w:line="360" w:lineRule="auto"/>
        <w:ind w:firstLine="480" w:firstLineChars="200"/>
        <w:rPr>
          <w:color w:val="auto"/>
          <w:sz w:val="24"/>
          <w:szCs w:val="24"/>
        </w:rPr>
      </w:pPr>
      <w:r>
        <w:rPr>
          <w:rFonts w:hint="eastAsia"/>
          <w:color w:val="auto"/>
          <w:sz w:val="24"/>
          <w:szCs w:val="24"/>
        </w:rPr>
        <w:t>本项目固体废弃物的产生、排放量及处置措施见下表。</w:t>
      </w:r>
    </w:p>
    <w:p>
      <w:pPr>
        <w:spacing w:line="360" w:lineRule="auto"/>
        <w:ind w:firstLine="482" w:firstLineChars="200"/>
        <w:jc w:val="center"/>
        <w:rPr>
          <w:b/>
          <w:color w:val="auto"/>
          <w:sz w:val="24"/>
          <w:szCs w:val="24"/>
        </w:rPr>
      </w:pPr>
      <w:r>
        <w:rPr>
          <w:rFonts w:hint="eastAsia"/>
          <w:b/>
          <w:color w:val="auto"/>
          <w:sz w:val="24"/>
          <w:szCs w:val="24"/>
        </w:rPr>
        <w:t>表3-6-12   本项目固体废物产生及处置情况一览表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6"/>
        <w:gridCol w:w="1134"/>
        <w:gridCol w:w="1134"/>
        <w:gridCol w:w="1134"/>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jc w:val="center"/>
              <w:rPr>
                <w:b/>
                <w:color w:val="auto"/>
                <w:sz w:val="21"/>
                <w:szCs w:val="21"/>
              </w:rPr>
            </w:pPr>
            <w:r>
              <w:rPr>
                <w:rFonts w:hint="eastAsia"/>
                <w:b/>
                <w:color w:val="auto"/>
                <w:sz w:val="21"/>
                <w:szCs w:val="21"/>
              </w:rPr>
              <w:t>序号</w:t>
            </w:r>
          </w:p>
        </w:tc>
        <w:tc>
          <w:tcPr>
            <w:tcW w:w="1276" w:type="dxa"/>
            <w:vAlign w:val="center"/>
          </w:tcPr>
          <w:p>
            <w:pPr>
              <w:jc w:val="center"/>
              <w:rPr>
                <w:b/>
                <w:color w:val="auto"/>
                <w:sz w:val="21"/>
                <w:szCs w:val="21"/>
              </w:rPr>
            </w:pPr>
            <w:r>
              <w:rPr>
                <w:rFonts w:hint="eastAsia"/>
                <w:b/>
                <w:color w:val="auto"/>
                <w:sz w:val="21"/>
                <w:szCs w:val="21"/>
              </w:rPr>
              <w:t>名称</w:t>
            </w:r>
          </w:p>
        </w:tc>
        <w:tc>
          <w:tcPr>
            <w:tcW w:w="1134" w:type="dxa"/>
            <w:vAlign w:val="center"/>
          </w:tcPr>
          <w:p>
            <w:pPr>
              <w:jc w:val="center"/>
              <w:rPr>
                <w:b/>
                <w:color w:val="auto"/>
                <w:sz w:val="21"/>
                <w:szCs w:val="21"/>
              </w:rPr>
            </w:pPr>
            <w:r>
              <w:rPr>
                <w:rFonts w:hint="eastAsia"/>
                <w:b/>
                <w:color w:val="auto"/>
                <w:sz w:val="21"/>
                <w:szCs w:val="21"/>
              </w:rPr>
              <w:t>类别</w:t>
            </w:r>
          </w:p>
        </w:tc>
        <w:tc>
          <w:tcPr>
            <w:tcW w:w="1134" w:type="dxa"/>
            <w:vAlign w:val="center"/>
          </w:tcPr>
          <w:p>
            <w:pPr>
              <w:jc w:val="center"/>
              <w:rPr>
                <w:b/>
                <w:color w:val="auto"/>
                <w:sz w:val="21"/>
                <w:szCs w:val="21"/>
              </w:rPr>
            </w:pPr>
            <w:r>
              <w:rPr>
                <w:rFonts w:hint="eastAsia"/>
                <w:b/>
                <w:color w:val="auto"/>
                <w:sz w:val="21"/>
                <w:szCs w:val="21"/>
              </w:rPr>
              <w:t>产生量</w:t>
            </w:r>
          </w:p>
        </w:tc>
        <w:tc>
          <w:tcPr>
            <w:tcW w:w="1134" w:type="dxa"/>
            <w:vAlign w:val="center"/>
          </w:tcPr>
          <w:p>
            <w:pPr>
              <w:jc w:val="center"/>
              <w:rPr>
                <w:b/>
                <w:color w:val="auto"/>
                <w:sz w:val="21"/>
                <w:szCs w:val="21"/>
              </w:rPr>
            </w:pPr>
            <w:r>
              <w:rPr>
                <w:rFonts w:hint="eastAsia"/>
                <w:b/>
                <w:color w:val="auto"/>
                <w:sz w:val="21"/>
                <w:szCs w:val="21"/>
              </w:rPr>
              <w:t>处置措施</w:t>
            </w:r>
          </w:p>
        </w:tc>
        <w:tc>
          <w:tcPr>
            <w:tcW w:w="3169" w:type="dxa"/>
            <w:vAlign w:val="center"/>
          </w:tcPr>
          <w:p>
            <w:pPr>
              <w:jc w:val="center"/>
              <w:rPr>
                <w:b/>
                <w:color w:val="auto"/>
                <w:sz w:val="21"/>
                <w:szCs w:val="21"/>
              </w:rPr>
            </w:pPr>
            <w:r>
              <w:rPr>
                <w:rFonts w:hint="eastAsia"/>
                <w:b/>
                <w:color w:val="auto"/>
                <w:sz w:val="21"/>
                <w:szCs w:val="21"/>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jc w:val="center"/>
              <w:rPr>
                <w:color w:val="auto"/>
                <w:sz w:val="21"/>
                <w:szCs w:val="21"/>
              </w:rPr>
            </w:pPr>
            <w:r>
              <w:rPr>
                <w:rFonts w:hint="eastAsia"/>
                <w:color w:val="auto"/>
                <w:sz w:val="21"/>
                <w:szCs w:val="21"/>
              </w:rPr>
              <w:t>1</w:t>
            </w:r>
          </w:p>
        </w:tc>
        <w:tc>
          <w:tcPr>
            <w:tcW w:w="1276" w:type="dxa"/>
            <w:vAlign w:val="center"/>
          </w:tcPr>
          <w:p>
            <w:pPr>
              <w:jc w:val="center"/>
              <w:rPr>
                <w:color w:val="auto"/>
                <w:sz w:val="21"/>
                <w:szCs w:val="21"/>
              </w:rPr>
            </w:pPr>
            <w:r>
              <w:rPr>
                <w:rFonts w:hint="eastAsia"/>
                <w:color w:val="auto"/>
                <w:sz w:val="21"/>
                <w:szCs w:val="21"/>
              </w:rPr>
              <w:t>生活垃圾</w:t>
            </w:r>
          </w:p>
        </w:tc>
        <w:tc>
          <w:tcPr>
            <w:tcW w:w="1134" w:type="dxa"/>
            <w:vAlign w:val="center"/>
          </w:tcPr>
          <w:p>
            <w:pPr>
              <w:jc w:val="center"/>
              <w:rPr>
                <w:color w:val="auto"/>
                <w:sz w:val="21"/>
                <w:szCs w:val="21"/>
              </w:rPr>
            </w:pPr>
            <w:r>
              <w:rPr>
                <w:rFonts w:hint="eastAsia"/>
                <w:color w:val="auto"/>
                <w:sz w:val="21"/>
                <w:szCs w:val="21"/>
              </w:rPr>
              <w:t>一般固废</w:t>
            </w:r>
          </w:p>
        </w:tc>
        <w:tc>
          <w:tcPr>
            <w:tcW w:w="1134" w:type="dxa"/>
            <w:vAlign w:val="center"/>
          </w:tcPr>
          <w:p>
            <w:pPr>
              <w:jc w:val="center"/>
              <w:rPr>
                <w:color w:val="auto"/>
                <w:sz w:val="21"/>
                <w:szCs w:val="21"/>
              </w:rPr>
            </w:pPr>
            <w:r>
              <w:rPr>
                <w:rFonts w:hint="eastAsia"/>
                <w:color w:val="auto"/>
                <w:sz w:val="21"/>
                <w:szCs w:val="21"/>
              </w:rPr>
              <w:t>4.56t/a</w:t>
            </w:r>
          </w:p>
        </w:tc>
        <w:tc>
          <w:tcPr>
            <w:tcW w:w="1134" w:type="dxa"/>
            <w:vAlign w:val="center"/>
          </w:tcPr>
          <w:p>
            <w:pPr>
              <w:jc w:val="center"/>
              <w:rPr>
                <w:color w:val="auto"/>
                <w:sz w:val="21"/>
                <w:szCs w:val="21"/>
              </w:rPr>
            </w:pPr>
            <w:r>
              <w:rPr>
                <w:rFonts w:hint="eastAsia"/>
                <w:color w:val="auto"/>
                <w:sz w:val="21"/>
                <w:szCs w:val="21"/>
              </w:rPr>
              <w:t>统一收集定期清运</w:t>
            </w:r>
          </w:p>
        </w:tc>
        <w:tc>
          <w:tcPr>
            <w:tcW w:w="3169" w:type="dxa"/>
            <w:vAlign w:val="center"/>
          </w:tcPr>
          <w:p>
            <w:pPr>
              <w:jc w:val="center"/>
              <w:rPr>
                <w:color w:val="auto"/>
                <w:sz w:val="21"/>
                <w:szCs w:val="21"/>
              </w:rPr>
            </w:pPr>
            <w:r>
              <w:rPr>
                <w:rFonts w:hint="eastAsia"/>
                <w:color w:val="auto"/>
                <w:sz w:val="21"/>
                <w:szCs w:val="21"/>
              </w:rPr>
              <w:t>统一收集后，运往就近垃圾堆放点，由环卫部门统一处置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jc w:val="center"/>
              <w:rPr>
                <w:color w:val="auto"/>
                <w:sz w:val="21"/>
                <w:szCs w:val="21"/>
              </w:rPr>
            </w:pPr>
            <w:r>
              <w:rPr>
                <w:rFonts w:hint="eastAsia"/>
                <w:color w:val="auto"/>
                <w:sz w:val="21"/>
                <w:szCs w:val="21"/>
              </w:rPr>
              <w:t>2</w:t>
            </w:r>
          </w:p>
        </w:tc>
        <w:tc>
          <w:tcPr>
            <w:tcW w:w="1276" w:type="dxa"/>
            <w:vAlign w:val="center"/>
          </w:tcPr>
          <w:p>
            <w:pPr>
              <w:jc w:val="center"/>
              <w:rPr>
                <w:color w:val="auto"/>
                <w:sz w:val="21"/>
                <w:szCs w:val="21"/>
              </w:rPr>
            </w:pPr>
            <w:r>
              <w:rPr>
                <w:rFonts w:hint="eastAsia"/>
                <w:color w:val="auto"/>
                <w:sz w:val="21"/>
                <w:szCs w:val="21"/>
              </w:rPr>
              <w:t>栅渣</w:t>
            </w:r>
          </w:p>
        </w:tc>
        <w:tc>
          <w:tcPr>
            <w:tcW w:w="1134" w:type="dxa"/>
            <w:vAlign w:val="center"/>
          </w:tcPr>
          <w:p>
            <w:pPr>
              <w:jc w:val="center"/>
              <w:rPr>
                <w:color w:val="auto"/>
                <w:sz w:val="21"/>
                <w:szCs w:val="21"/>
              </w:rPr>
            </w:pPr>
            <w:r>
              <w:rPr>
                <w:rFonts w:hint="eastAsia"/>
                <w:color w:val="auto"/>
                <w:sz w:val="21"/>
                <w:szCs w:val="21"/>
              </w:rPr>
              <w:t>一般固废</w:t>
            </w:r>
          </w:p>
        </w:tc>
        <w:tc>
          <w:tcPr>
            <w:tcW w:w="1134" w:type="dxa"/>
            <w:vAlign w:val="center"/>
          </w:tcPr>
          <w:p>
            <w:pPr>
              <w:jc w:val="center"/>
              <w:rPr>
                <w:color w:val="auto"/>
                <w:sz w:val="21"/>
                <w:szCs w:val="21"/>
              </w:rPr>
            </w:pPr>
            <w:r>
              <w:rPr>
                <w:rFonts w:hint="eastAsia"/>
                <w:color w:val="auto"/>
                <w:sz w:val="21"/>
                <w:szCs w:val="21"/>
              </w:rPr>
              <w:t>700.8t/a</w:t>
            </w:r>
          </w:p>
        </w:tc>
        <w:tc>
          <w:tcPr>
            <w:tcW w:w="1134" w:type="dxa"/>
            <w:vAlign w:val="center"/>
          </w:tcPr>
          <w:p>
            <w:pPr>
              <w:jc w:val="center"/>
              <w:rPr>
                <w:color w:val="auto"/>
                <w:sz w:val="21"/>
                <w:szCs w:val="21"/>
              </w:rPr>
            </w:pPr>
            <w:r>
              <w:rPr>
                <w:rFonts w:hint="eastAsia"/>
                <w:color w:val="auto"/>
                <w:sz w:val="21"/>
                <w:szCs w:val="21"/>
              </w:rPr>
              <w:t>经脱水后外运处理</w:t>
            </w:r>
          </w:p>
        </w:tc>
        <w:tc>
          <w:tcPr>
            <w:tcW w:w="3169" w:type="dxa"/>
            <w:vAlign w:val="center"/>
          </w:tcPr>
          <w:p>
            <w:pPr>
              <w:jc w:val="center"/>
              <w:rPr>
                <w:color w:val="auto"/>
                <w:sz w:val="21"/>
                <w:szCs w:val="21"/>
              </w:rPr>
            </w:pPr>
            <w:r>
              <w:rPr>
                <w:rFonts w:hint="eastAsia"/>
                <w:color w:val="auto"/>
                <w:sz w:val="21"/>
                <w:szCs w:val="21"/>
              </w:rPr>
              <w:t>经压榨打包后使用渣斗储存，交由环卫部门处理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jc w:val="center"/>
              <w:rPr>
                <w:color w:val="auto"/>
                <w:sz w:val="21"/>
                <w:szCs w:val="21"/>
              </w:rPr>
            </w:pPr>
            <w:r>
              <w:rPr>
                <w:rFonts w:hint="eastAsia"/>
                <w:color w:val="auto"/>
                <w:sz w:val="21"/>
                <w:szCs w:val="21"/>
              </w:rPr>
              <w:t>3</w:t>
            </w:r>
          </w:p>
        </w:tc>
        <w:tc>
          <w:tcPr>
            <w:tcW w:w="1276" w:type="dxa"/>
            <w:vAlign w:val="center"/>
          </w:tcPr>
          <w:p>
            <w:pPr>
              <w:jc w:val="center"/>
              <w:rPr>
                <w:color w:val="auto"/>
                <w:sz w:val="21"/>
                <w:szCs w:val="21"/>
              </w:rPr>
            </w:pPr>
            <w:r>
              <w:rPr>
                <w:rFonts w:hint="eastAsia"/>
                <w:color w:val="auto"/>
                <w:sz w:val="21"/>
                <w:szCs w:val="21"/>
              </w:rPr>
              <w:t>污泥</w:t>
            </w:r>
          </w:p>
        </w:tc>
        <w:tc>
          <w:tcPr>
            <w:tcW w:w="1134" w:type="dxa"/>
            <w:vAlign w:val="center"/>
          </w:tcPr>
          <w:p>
            <w:pPr>
              <w:jc w:val="center"/>
              <w:rPr>
                <w:color w:val="auto"/>
                <w:sz w:val="21"/>
                <w:szCs w:val="21"/>
              </w:rPr>
            </w:pPr>
            <w:r>
              <w:rPr>
                <w:rFonts w:hint="eastAsia"/>
                <w:color w:val="auto"/>
                <w:sz w:val="21"/>
                <w:szCs w:val="21"/>
              </w:rPr>
              <w:t>需鉴定</w:t>
            </w:r>
          </w:p>
        </w:tc>
        <w:tc>
          <w:tcPr>
            <w:tcW w:w="1134" w:type="dxa"/>
            <w:vAlign w:val="center"/>
          </w:tcPr>
          <w:p>
            <w:pPr>
              <w:jc w:val="center"/>
              <w:rPr>
                <w:color w:val="auto"/>
                <w:sz w:val="21"/>
                <w:szCs w:val="21"/>
              </w:rPr>
            </w:pPr>
            <w:r>
              <w:rPr>
                <w:rFonts w:hint="eastAsia"/>
                <w:color w:val="auto"/>
                <w:sz w:val="21"/>
                <w:szCs w:val="21"/>
              </w:rPr>
              <w:t>716.495t/a</w:t>
            </w:r>
          </w:p>
        </w:tc>
        <w:tc>
          <w:tcPr>
            <w:tcW w:w="1134" w:type="dxa"/>
            <w:vAlign w:val="center"/>
          </w:tcPr>
          <w:p>
            <w:pPr>
              <w:jc w:val="center"/>
              <w:rPr>
                <w:color w:val="auto"/>
                <w:sz w:val="21"/>
                <w:szCs w:val="21"/>
              </w:rPr>
            </w:pPr>
            <w:r>
              <w:rPr>
                <w:rFonts w:hint="eastAsia"/>
                <w:color w:val="auto"/>
                <w:sz w:val="21"/>
                <w:szCs w:val="21"/>
              </w:rPr>
              <w:t>经脱水后危险特性鉴别</w:t>
            </w:r>
          </w:p>
        </w:tc>
        <w:tc>
          <w:tcPr>
            <w:tcW w:w="3169" w:type="dxa"/>
            <w:vAlign w:val="center"/>
          </w:tcPr>
          <w:p>
            <w:pPr>
              <w:jc w:val="center"/>
              <w:rPr>
                <w:color w:val="auto"/>
                <w:sz w:val="21"/>
                <w:szCs w:val="21"/>
              </w:rPr>
            </w:pPr>
            <w:r>
              <w:rPr>
                <w:rFonts w:hint="eastAsia"/>
                <w:color w:val="auto"/>
                <w:sz w:val="21"/>
                <w:szCs w:val="21"/>
              </w:rPr>
              <w:t>经过鉴定后，若为危险废物需交有资质的单位进行处理；若为一般固废，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jc w:val="center"/>
              <w:rPr>
                <w:color w:val="auto"/>
                <w:sz w:val="21"/>
                <w:szCs w:val="21"/>
              </w:rPr>
            </w:pPr>
            <w:r>
              <w:rPr>
                <w:rFonts w:hint="eastAsia"/>
                <w:color w:val="auto"/>
                <w:sz w:val="21"/>
                <w:szCs w:val="21"/>
              </w:rPr>
              <w:t>4</w:t>
            </w:r>
          </w:p>
        </w:tc>
        <w:tc>
          <w:tcPr>
            <w:tcW w:w="1276" w:type="dxa"/>
            <w:vAlign w:val="center"/>
          </w:tcPr>
          <w:p>
            <w:pPr>
              <w:jc w:val="center"/>
              <w:rPr>
                <w:color w:val="auto"/>
                <w:sz w:val="21"/>
                <w:szCs w:val="21"/>
              </w:rPr>
            </w:pPr>
            <w:r>
              <w:rPr>
                <w:rFonts w:hint="eastAsia"/>
                <w:color w:val="auto"/>
                <w:sz w:val="21"/>
                <w:szCs w:val="21"/>
              </w:rPr>
              <w:t>废化学试剂</w:t>
            </w:r>
          </w:p>
        </w:tc>
        <w:tc>
          <w:tcPr>
            <w:tcW w:w="1134" w:type="dxa"/>
            <w:vAlign w:val="center"/>
          </w:tcPr>
          <w:p>
            <w:pPr>
              <w:jc w:val="center"/>
              <w:rPr>
                <w:color w:val="auto"/>
                <w:sz w:val="21"/>
                <w:szCs w:val="21"/>
              </w:rPr>
            </w:pPr>
            <w:r>
              <w:rPr>
                <w:rFonts w:hint="eastAsia"/>
                <w:color w:val="auto"/>
                <w:sz w:val="21"/>
                <w:szCs w:val="21"/>
              </w:rPr>
              <w:t>危险废物</w:t>
            </w:r>
          </w:p>
        </w:tc>
        <w:tc>
          <w:tcPr>
            <w:tcW w:w="1134" w:type="dxa"/>
            <w:vAlign w:val="center"/>
          </w:tcPr>
          <w:p>
            <w:pPr>
              <w:jc w:val="center"/>
              <w:rPr>
                <w:color w:val="auto"/>
                <w:sz w:val="21"/>
                <w:szCs w:val="21"/>
              </w:rPr>
            </w:pPr>
            <w:r>
              <w:rPr>
                <w:rFonts w:hint="eastAsia"/>
                <w:color w:val="auto"/>
                <w:sz w:val="21"/>
                <w:szCs w:val="21"/>
              </w:rPr>
              <w:t>0.5t/a</w:t>
            </w:r>
          </w:p>
        </w:tc>
        <w:tc>
          <w:tcPr>
            <w:tcW w:w="1134" w:type="dxa"/>
            <w:vAlign w:val="center"/>
          </w:tcPr>
          <w:p>
            <w:pPr>
              <w:jc w:val="center"/>
              <w:rPr>
                <w:color w:val="auto"/>
                <w:sz w:val="21"/>
                <w:szCs w:val="21"/>
              </w:rPr>
            </w:pPr>
            <w:r>
              <w:rPr>
                <w:rFonts w:hint="eastAsia"/>
                <w:color w:val="auto"/>
                <w:sz w:val="21"/>
                <w:szCs w:val="21"/>
              </w:rPr>
              <w:t>统一暂存于危废间</w:t>
            </w:r>
          </w:p>
        </w:tc>
        <w:tc>
          <w:tcPr>
            <w:tcW w:w="3169" w:type="dxa"/>
            <w:vAlign w:val="center"/>
          </w:tcPr>
          <w:p>
            <w:pPr>
              <w:jc w:val="center"/>
              <w:rPr>
                <w:color w:val="auto"/>
                <w:sz w:val="21"/>
                <w:szCs w:val="21"/>
              </w:rPr>
            </w:pPr>
            <w:r>
              <w:rPr>
                <w:rFonts w:hint="eastAsia"/>
                <w:color w:val="auto"/>
                <w:sz w:val="21"/>
                <w:szCs w:val="21"/>
              </w:rPr>
              <w:t>定期交由有资质单位进行处理</w:t>
            </w:r>
          </w:p>
        </w:tc>
      </w:tr>
    </w:tbl>
    <w:p>
      <w:pPr>
        <w:pStyle w:val="3"/>
        <w:rPr>
          <w:color w:val="auto"/>
        </w:rPr>
        <w:sectPr>
          <w:pgSz w:w="11906" w:h="16838"/>
          <w:pgMar w:top="1440" w:right="1800" w:bottom="1440" w:left="1800" w:header="851" w:footer="992" w:gutter="0"/>
          <w:cols w:space="425" w:num="1"/>
          <w:docGrid w:type="lines" w:linePitch="312" w:charSpace="0"/>
        </w:sectPr>
      </w:pPr>
      <w:bookmarkStart w:id="99" w:name="_Toc26276830"/>
    </w:p>
    <w:p>
      <w:pPr>
        <w:pStyle w:val="3"/>
        <w:rPr>
          <w:color w:val="auto"/>
        </w:rPr>
      </w:pPr>
      <w:bookmarkStart w:id="100" w:name="_Toc20729"/>
      <w:r>
        <w:rPr>
          <w:rFonts w:hint="eastAsia"/>
          <w:color w:val="auto"/>
        </w:rPr>
        <w:t>3.7项目“三废”排放汇总</w:t>
      </w:r>
      <w:bookmarkEnd w:id="99"/>
      <w:bookmarkEnd w:id="100"/>
    </w:p>
    <w:p>
      <w:pPr>
        <w:spacing w:line="360" w:lineRule="auto"/>
        <w:ind w:firstLine="480" w:firstLineChars="200"/>
        <w:rPr>
          <w:color w:val="auto"/>
          <w:sz w:val="24"/>
          <w:szCs w:val="24"/>
        </w:rPr>
      </w:pPr>
      <w:r>
        <w:rPr>
          <w:rFonts w:hint="eastAsia"/>
          <w:color w:val="auto"/>
          <w:sz w:val="24"/>
          <w:szCs w:val="24"/>
        </w:rPr>
        <w:t>本项目污染物产排情况见下表。</w:t>
      </w:r>
    </w:p>
    <w:p>
      <w:pPr>
        <w:spacing w:line="360" w:lineRule="auto"/>
        <w:jc w:val="center"/>
        <w:rPr>
          <w:b/>
          <w:color w:val="auto"/>
          <w:sz w:val="24"/>
          <w:szCs w:val="24"/>
        </w:rPr>
      </w:pPr>
      <w:r>
        <w:rPr>
          <w:rFonts w:hint="eastAsia"/>
          <w:b/>
          <w:color w:val="auto"/>
          <w:sz w:val="24"/>
          <w:szCs w:val="24"/>
        </w:rPr>
        <w:t>表3-7-1   项目污染物产排情况一览表</w:t>
      </w:r>
    </w:p>
    <w:tbl>
      <w:tblPr>
        <w:tblStyle w:val="29"/>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578"/>
        <w:gridCol w:w="1177"/>
        <w:gridCol w:w="2472"/>
        <w:gridCol w:w="2715"/>
        <w:gridCol w:w="2253"/>
        <w:gridCol w:w="3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Align w:val="center"/>
          </w:tcPr>
          <w:p>
            <w:pPr>
              <w:adjustRightInd w:val="0"/>
              <w:snapToGrid w:val="0"/>
              <w:jc w:val="center"/>
              <w:rPr>
                <w:b/>
                <w:color w:val="auto"/>
                <w:sz w:val="21"/>
                <w:szCs w:val="21"/>
              </w:rPr>
            </w:pPr>
            <w:r>
              <w:rPr>
                <w:b/>
                <w:color w:val="auto"/>
                <w:sz w:val="21"/>
                <w:szCs w:val="21"/>
              </w:rPr>
              <w:t>类别</w:t>
            </w:r>
          </w:p>
        </w:tc>
        <w:tc>
          <w:tcPr>
            <w:tcW w:w="1578" w:type="dxa"/>
            <w:vAlign w:val="center"/>
          </w:tcPr>
          <w:p>
            <w:pPr>
              <w:adjustRightInd w:val="0"/>
              <w:snapToGrid w:val="0"/>
              <w:jc w:val="center"/>
              <w:rPr>
                <w:b/>
                <w:color w:val="auto"/>
                <w:sz w:val="21"/>
                <w:szCs w:val="21"/>
              </w:rPr>
            </w:pPr>
            <w:r>
              <w:rPr>
                <w:b/>
                <w:color w:val="auto"/>
                <w:sz w:val="21"/>
                <w:szCs w:val="21"/>
              </w:rPr>
              <w:t>污染源</w:t>
            </w:r>
          </w:p>
        </w:tc>
        <w:tc>
          <w:tcPr>
            <w:tcW w:w="1177" w:type="dxa"/>
            <w:vAlign w:val="center"/>
          </w:tcPr>
          <w:p>
            <w:pPr>
              <w:adjustRightInd w:val="0"/>
              <w:snapToGrid w:val="0"/>
              <w:jc w:val="center"/>
              <w:rPr>
                <w:b/>
                <w:color w:val="auto"/>
                <w:sz w:val="21"/>
                <w:szCs w:val="21"/>
              </w:rPr>
            </w:pPr>
            <w:r>
              <w:rPr>
                <w:b/>
                <w:color w:val="auto"/>
                <w:sz w:val="21"/>
                <w:szCs w:val="21"/>
              </w:rPr>
              <w:t>污染物</w:t>
            </w:r>
          </w:p>
        </w:tc>
        <w:tc>
          <w:tcPr>
            <w:tcW w:w="2472" w:type="dxa"/>
            <w:vAlign w:val="center"/>
          </w:tcPr>
          <w:p>
            <w:pPr>
              <w:adjustRightInd w:val="0"/>
              <w:snapToGrid w:val="0"/>
              <w:jc w:val="center"/>
              <w:rPr>
                <w:b/>
                <w:color w:val="auto"/>
                <w:sz w:val="21"/>
                <w:szCs w:val="21"/>
              </w:rPr>
            </w:pPr>
            <w:r>
              <w:rPr>
                <w:b/>
                <w:color w:val="auto"/>
                <w:sz w:val="21"/>
                <w:szCs w:val="21"/>
              </w:rPr>
              <w:t>产生量</w:t>
            </w:r>
          </w:p>
        </w:tc>
        <w:tc>
          <w:tcPr>
            <w:tcW w:w="2715" w:type="dxa"/>
            <w:vAlign w:val="center"/>
          </w:tcPr>
          <w:p>
            <w:pPr>
              <w:adjustRightInd w:val="0"/>
              <w:snapToGrid w:val="0"/>
              <w:jc w:val="center"/>
              <w:rPr>
                <w:b/>
                <w:color w:val="auto"/>
                <w:sz w:val="21"/>
                <w:szCs w:val="21"/>
              </w:rPr>
            </w:pPr>
            <w:r>
              <w:rPr>
                <w:b/>
                <w:color w:val="auto"/>
                <w:sz w:val="21"/>
                <w:szCs w:val="21"/>
              </w:rPr>
              <w:t>治理措施</w:t>
            </w:r>
          </w:p>
        </w:tc>
        <w:tc>
          <w:tcPr>
            <w:tcW w:w="2253" w:type="dxa"/>
            <w:vAlign w:val="center"/>
          </w:tcPr>
          <w:p>
            <w:pPr>
              <w:adjustRightInd w:val="0"/>
              <w:snapToGrid w:val="0"/>
              <w:jc w:val="center"/>
              <w:rPr>
                <w:b/>
                <w:color w:val="auto"/>
                <w:sz w:val="21"/>
                <w:szCs w:val="21"/>
              </w:rPr>
            </w:pPr>
            <w:r>
              <w:rPr>
                <w:b/>
                <w:color w:val="auto"/>
                <w:sz w:val="21"/>
                <w:szCs w:val="21"/>
              </w:rPr>
              <w:t>排放量</w:t>
            </w:r>
          </w:p>
        </w:tc>
        <w:tc>
          <w:tcPr>
            <w:tcW w:w="3322" w:type="dxa"/>
            <w:vAlign w:val="center"/>
          </w:tcPr>
          <w:p>
            <w:pPr>
              <w:adjustRightInd w:val="0"/>
              <w:snapToGrid w:val="0"/>
              <w:jc w:val="center"/>
              <w:rPr>
                <w:b/>
                <w:color w:val="auto"/>
                <w:sz w:val="21"/>
                <w:szCs w:val="21"/>
              </w:rPr>
            </w:pPr>
            <w:r>
              <w:rPr>
                <w:b/>
                <w:color w:val="auto"/>
                <w:sz w:val="21"/>
                <w:szCs w:val="21"/>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Merge w:val="restart"/>
            <w:vAlign w:val="center"/>
          </w:tcPr>
          <w:p>
            <w:pPr>
              <w:adjustRightInd w:val="0"/>
              <w:snapToGrid w:val="0"/>
              <w:jc w:val="center"/>
              <w:rPr>
                <w:color w:val="auto"/>
                <w:sz w:val="21"/>
                <w:szCs w:val="21"/>
              </w:rPr>
            </w:pPr>
            <w:r>
              <w:rPr>
                <w:color w:val="auto"/>
                <w:sz w:val="21"/>
                <w:szCs w:val="21"/>
              </w:rPr>
              <w:t>废气</w:t>
            </w:r>
          </w:p>
        </w:tc>
        <w:tc>
          <w:tcPr>
            <w:tcW w:w="1578" w:type="dxa"/>
            <w:vAlign w:val="center"/>
          </w:tcPr>
          <w:p>
            <w:pPr>
              <w:adjustRightInd w:val="0"/>
              <w:snapToGrid w:val="0"/>
              <w:jc w:val="center"/>
              <w:rPr>
                <w:color w:val="auto"/>
                <w:sz w:val="21"/>
                <w:szCs w:val="21"/>
              </w:rPr>
            </w:pPr>
            <w:r>
              <w:rPr>
                <w:color w:val="auto"/>
                <w:sz w:val="21"/>
                <w:szCs w:val="21"/>
              </w:rPr>
              <w:t>污水预处理区域、污泥处理区域、生化处理区</w:t>
            </w:r>
          </w:p>
        </w:tc>
        <w:tc>
          <w:tcPr>
            <w:tcW w:w="1177" w:type="dxa"/>
            <w:vAlign w:val="center"/>
          </w:tcPr>
          <w:p>
            <w:pPr>
              <w:adjustRightInd w:val="0"/>
              <w:snapToGrid w:val="0"/>
              <w:jc w:val="center"/>
              <w:rPr>
                <w:color w:val="auto"/>
                <w:sz w:val="21"/>
                <w:szCs w:val="21"/>
              </w:rPr>
            </w:pPr>
            <w:r>
              <w:rPr>
                <w:color w:val="auto"/>
                <w:sz w:val="21"/>
                <w:szCs w:val="21"/>
              </w:rPr>
              <w:t>H</w:t>
            </w:r>
            <w:r>
              <w:rPr>
                <w:color w:val="auto"/>
                <w:sz w:val="21"/>
                <w:szCs w:val="21"/>
                <w:vertAlign w:val="subscript"/>
              </w:rPr>
              <w:t>2</w:t>
            </w:r>
            <w:r>
              <w:rPr>
                <w:color w:val="auto"/>
                <w:sz w:val="21"/>
                <w:szCs w:val="21"/>
              </w:rPr>
              <w:t>S、NH</w:t>
            </w:r>
            <w:r>
              <w:rPr>
                <w:color w:val="auto"/>
                <w:sz w:val="21"/>
                <w:szCs w:val="21"/>
                <w:vertAlign w:val="subscript"/>
              </w:rPr>
              <w:t>3</w:t>
            </w:r>
          </w:p>
        </w:tc>
        <w:tc>
          <w:tcPr>
            <w:tcW w:w="2472" w:type="dxa"/>
            <w:vAlign w:val="center"/>
          </w:tcPr>
          <w:p>
            <w:pPr>
              <w:adjustRightInd w:val="0"/>
              <w:snapToGrid w:val="0"/>
              <w:jc w:val="center"/>
              <w:rPr>
                <w:color w:val="auto"/>
                <w:sz w:val="21"/>
                <w:szCs w:val="21"/>
              </w:rPr>
            </w:pPr>
            <w:r>
              <w:rPr>
                <w:color w:val="auto"/>
                <w:sz w:val="21"/>
                <w:szCs w:val="21"/>
              </w:rPr>
              <w:t>污水预处理区：H</w:t>
            </w:r>
            <w:r>
              <w:rPr>
                <w:color w:val="auto"/>
                <w:sz w:val="21"/>
                <w:szCs w:val="21"/>
                <w:vertAlign w:val="subscript"/>
              </w:rPr>
              <w:t>2</w:t>
            </w:r>
            <w:r>
              <w:rPr>
                <w:color w:val="auto"/>
                <w:sz w:val="21"/>
                <w:szCs w:val="21"/>
              </w:rPr>
              <w:t>S—0.06kg/h；NH</w:t>
            </w:r>
            <w:r>
              <w:rPr>
                <w:color w:val="auto"/>
                <w:sz w:val="21"/>
                <w:szCs w:val="21"/>
                <w:vertAlign w:val="subscript"/>
              </w:rPr>
              <w:t>3</w:t>
            </w:r>
            <w:r>
              <w:rPr>
                <w:color w:val="auto"/>
                <w:sz w:val="21"/>
                <w:szCs w:val="21"/>
              </w:rPr>
              <w:t>—0.03kg/h。</w:t>
            </w:r>
          </w:p>
          <w:p>
            <w:pPr>
              <w:adjustRightInd w:val="0"/>
              <w:snapToGrid w:val="0"/>
              <w:jc w:val="center"/>
              <w:rPr>
                <w:color w:val="auto"/>
                <w:sz w:val="21"/>
                <w:szCs w:val="21"/>
              </w:rPr>
            </w:pPr>
            <w:r>
              <w:rPr>
                <w:color w:val="auto"/>
                <w:sz w:val="21"/>
                <w:szCs w:val="21"/>
              </w:rPr>
              <w:t>生化处理区：H</w:t>
            </w:r>
            <w:r>
              <w:rPr>
                <w:color w:val="auto"/>
                <w:sz w:val="21"/>
                <w:szCs w:val="21"/>
                <w:vertAlign w:val="subscript"/>
              </w:rPr>
              <w:t>2</w:t>
            </w:r>
            <w:r>
              <w:rPr>
                <w:color w:val="auto"/>
                <w:sz w:val="21"/>
                <w:szCs w:val="21"/>
              </w:rPr>
              <w:t>S—0.000581kg/h；NH</w:t>
            </w:r>
            <w:r>
              <w:rPr>
                <w:color w:val="auto"/>
                <w:sz w:val="21"/>
                <w:szCs w:val="21"/>
                <w:vertAlign w:val="subscript"/>
              </w:rPr>
              <w:t>3</w:t>
            </w:r>
            <w:r>
              <w:rPr>
                <w:color w:val="auto"/>
                <w:sz w:val="21"/>
                <w:szCs w:val="21"/>
              </w:rPr>
              <w:t>—0.000195kg/h。</w:t>
            </w:r>
          </w:p>
          <w:p>
            <w:pPr>
              <w:adjustRightInd w:val="0"/>
              <w:snapToGrid w:val="0"/>
              <w:jc w:val="center"/>
              <w:rPr>
                <w:color w:val="auto"/>
                <w:sz w:val="21"/>
                <w:szCs w:val="21"/>
              </w:rPr>
            </w:pPr>
            <w:r>
              <w:rPr>
                <w:color w:val="auto"/>
                <w:sz w:val="21"/>
                <w:szCs w:val="21"/>
              </w:rPr>
              <w:t>污泥处理区：H</w:t>
            </w:r>
            <w:r>
              <w:rPr>
                <w:color w:val="auto"/>
                <w:sz w:val="21"/>
                <w:szCs w:val="21"/>
                <w:vertAlign w:val="subscript"/>
              </w:rPr>
              <w:t>2</w:t>
            </w:r>
            <w:r>
              <w:rPr>
                <w:color w:val="auto"/>
                <w:sz w:val="21"/>
                <w:szCs w:val="21"/>
              </w:rPr>
              <w:t>S—0.66kg/h；NH</w:t>
            </w:r>
            <w:r>
              <w:rPr>
                <w:color w:val="auto"/>
                <w:sz w:val="21"/>
                <w:szCs w:val="21"/>
                <w:vertAlign w:val="subscript"/>
              </w:rPr>
              <w:t>3</w:t>
            </w:r>
            <w:r>
              <w:rPr>
                <w:color w:val="auto"/>
                <w:sz w:val="21"/>
                <w:szCs w:val="21"/>
              </w:rPr>
              <w:t>—0.22kg/h。</w:t>
            </w:r>
          </w:p>
        </w:tc>
        <w:tc>
          <w:tcPr>
            <w:tcW w:w="2715" w:type="dxa"/>
            <w:vAlign w:val="center"/>
          </w:tcPr>
          <w:p>
            <w:pPr>
              <w:adjustRightInd w:val="0"/>
              <w:snapToGrid w:val="0"/>
              <w:jc w:val="center"/>
              <w:rPr>
                <w:color w:val="auto"/>
                <w:sz w:val="21"/>
                <w:szCs w:val="21"/>
              </w:rPr>
            </w:pPr>
            <w:r>
              <w:rPr>
                <w:color w:val="auto"/>
                <w:sz w:val="21"/>
                <w:szCs w:val="21"/>
              </w:rPr>
              <w:t>分别在污水预处理单元及污泥脱水机房设置除臭装置，采用化学洗涤+生物滤池工艺</w:t>
            </w:r>
          </w:p>
        </w:tc>
        <w:tc>
          <w:tcPr>
            <w:tcW w:w="2253" w:type="dxa"/>
            <w:vAlign w:val="center"/>
          </w:tcPr>
          <w:p>
            <w:pPr>
              <w:adjustRightInd w:val="0"/>
              <w:snapToGrid w:val="0"/>
              <w:jc w:val="center"/>
              <w:rPr>
                <w:color w:val="auto"/>
                <w:sz w:val="21"/>
                <w:szCs w:val="21"/>
              </w:rPr>
            </w:pPr>
            <w:r>
              <w:rPr>
                <w:color w:val="auto"/>
                <w:sz w:val="21"/>
                <w:szCs w:val="21"/>
              </w:rPr>
              <w:t>污水预处理区：H</w:t>
            </w:r>
            <w:r>
              <w:rPr>
                <w:color w:val="auto"/>
                <w:sz w:val="21"/>
                <w:szCs w:val="21"/>
                <w:vertAlign w:val="subscript"/>
              </w:rPr>
              <w:t>2</w:t>
            </w:r>
            <w:r>
              <w:rPr>
                <w:color w:val="auto"/>
                <w:sz w:val="21"/>
                <w:szCs w:val="21"/>
              </w:rPr>
              <w:t>S—0.0006kg/h；NH</w:t>
            </w:r>
            <w:r>
              <w:rPr>
                <w:color w:val="auto"/>
                <w:sz w:val="21"/>
                <w:szCs w:val="21"/>
                <w:vertAlign w:val="subscript"/>
              </w:rPr>
              <w:t>3</w:t>
            </w:r>
            <w:r>
              <w:rPr>
                <w:color w:val="auto"/>
                <w:sz w:val="21"/>
                <w:szCs w:val="21"/>
              </w:rPr>
              <w:t>—0.0030kg/h。</w:t>
            </w:r>
          </w:p>
          <w:p>
            <w:pPr>
              <w:adjustRightInd w:val="0"/>
              <w:snapToGrid w:val="0"/>
              <w:jc w:val="center"/>
              <w:rPr>
                <w:color w:val="auto"/>
                <w:sz w:val="21"/>
                <w:szCs w:val="21"/>
              </w:rPr>
            </w:pPr>
            <w:r>
              <w:rPr>
                <w:color w:val="auto"/>
                <w:sz w:val="21"/>
                <w:szCs w:val="21"/>
              </w:rPr>
              <w:t>生化处理区：H</w:t>
            </w:r>
            <w:r>
              <w:rPr>
                <w:color w:val="auto"/>
                <w:sz w:val="21"/>
                <w:szCs w:val="21"/>
                <w:vertAlign w:val="subscript"/>
              </w:rPr>
              <w:t>2</w:t>
            </w:r>
            <w:r>
              <w:rPr>
                <w:color w:val="auto"/>
                <w:sz w:val="21"/>
                <w:szCs w:val="21"/>
              </w:rPr>
              <w:t>S—0.000581kg/h；NH</w:t>
            </w:r>
            <w:r>
              <w:rPr>
                <w:color w:val="auto"/>
                <w:sz w:val="21"/>
                <w:szCs w:val="21"/>
                <w:vertAlign w:val="subscript"/>
              </w:rPr>
              <w:t>3</w:t>
            </w:r>
            <w:r>
              <w:rPr>
                <w:color w:val="auto"/>
                <w:sz w:val="21"/>
                <w:szCs w:val="21"/>
              </w:rPr>
              <w:t>—0.000195kg/h。</w:t>
            </w:r>
          </w:p>
          <w:p>
            <w:pPr>
              <w:adjustRightInd w:val="0"/>
              <w:snapToGrid w:val="0"/>
              <w:jc w:val="center"/>
              <w:rPr>
                <w:color w:val="auto"/>
                <w:sz w:val="21"/>
                <w:szCs w:val="21"/>
              </w:rPr>
            </w:pPr>
            <w:r>
              <w:rPr>
                <w:color w:val="auto"/>
                <w:sz w:val="21"/>
                <w:szCs w:val="21"/>
              </w:rPr>
              <w:t>污泥处理区：H</w:t>
            </w:r>
            <w:r>
              <w:rPr>
                <w:color w:val="auto"/>
                <w:sz w:val="21"/>
                <w:szCs w:val="21"/>
                <w:vertAlign w:val="subscript"/>
              </w:rPr>
              <w:t>2</w:t>
            </w:r>
            <w:r>
              <w:rPr>
                <w:color w:val="auto"/>
                <w:sz w:val="21"/>
                <w:szCs w:val="21"/>
              </w:rPr>
              <w:t>S—0.0066kg/h；NH</w:t>
            </w:r>
            <w:r>
              <w:rPr>
                <w:color w:val="auto"/>
                <w:sz w:val="21"/>
                <w:szCs w:val="21"/>
                <w:vertAlign w:val="subscript"/>
              </w:rPr>
              <w:t>3</w:t>
            </w:r>
            <w:r>
              <w:rPr>
                <w:color w:val="auto"/>
                <w:sz w:val="21"/>
                <w:szCs w:val="21"/>
              </w:rPr>
              <w:t>—0.0220kg/h。</w:t>
            </w:r>
          </w:p>
        </w:tc>
        <w:tc>
          <w:tcPr>
            <w:tcW w:w="3322" w:type="dxa"/>
            <w:vAlign w:val="center"/>
          </w:tcPr>
          <w:p>
            <w:pPr>
              <w:adjustRightInd w:val="0"/>
              <w:snapToGrid w:val="0"/>
              <w:jc w:val="center"/>
              <w:rPr>
                <w:color w:val="auto"/>
                <w:sz w:val="21"/>
                <w:szCs w:val="21"/>
              </w:rPr>
            </w:pPr>
            <w:r>
              <w:rPr>
                <w:color w:val="auto"/>
                <w:sz w:val="21"/>
                <w:szCs w:val="21"/>
              </w:rPr>
              <w:t>无组织排放执行《城镇污水处理厂污染物排放标准》（GB18918-2002）及其修改单二级标准限值；有组织排放执行《恶臭污染物排放标准》（GB 14554-93）表2排放标准限值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Merge w:val="continue"/>
            <w:vAlign w:val="center"/>
          </w:tcPr>
          <w:p>
            <w:pPr>
              <w:adjustRightInd w:val="0"/>
              <w:snapToGrid w:val="0"/>
              <w:jc w:val="center"/>
              <w:rPr>
                <w:color w:val="auto"/>
                <w:sz w:val="21"/>
                <w:szCs w:val="21"/>
              </w:rPr>
            </w:pPr>
          </w:p>
        </w:tc>
        <w:tc>
          <w:tcPr>
            <w:tcW w:w="1578" w:type="dxa"/>
            <w:vAlign w:val="center"/>
          </w:tcPr>
          <w:p>
            <w:pPr>
              <w:adjustRightInd w:val="0"/>
              <w:snapToGrid w:val="0"/>
              <w:jc w:val="center"/>
              <w:rPr>
                <w:color w:val="auto"/>
                <w:sz w:val="21"/>
                <w:szCs w:val="21"/>
              </w:rPr>
            </w:pPr>
            <w:r>
              <w:rPr>
                <w:color w:val="auto"/>
                <w:sz w:val="21"/>
                <w:szCs w:val="21"/>
              </w:rPr>
              <w:t>职工食堂</w:t>
            </w:r>
          </w:p>
        </w:tc>
        <w:tc>
          <w:tcPr>
            <w:tcW w:w="1177" w:type="dxa"/>
            <w:vAlign w:val="center"/>
          </w:tcPr>
          <w:p>
            <w:pPr>
              <w:adjustRightInd w:val="0"/>
              <w:snapToGrid w:val="0"/>
              <w:jc w:val="center"/>
              <w:rPr>
                <w:color w:val="auto"/>
                <w:sz w:val="21"/>
                <w:szCs w:val="21"/>
              </w:rPr>
            </w:pPr>
            <w:r>
              <w:rPr>
                <w:color w:val="auto"/>
                <w:sz w:val="21"/>
                <w:szCs w:val="21"/>
              </w:rPr>
              <w:t>油烟废气</w:t>
            </w:r>
          </w:p>
        </w:tc>
        <w:tc>
          <w:tcPr>
            <w:tcW w:w="2472" w:type="dxa"/>
            <w:vAlign w:val="center"/>
          </w:tcPr>
          <w:p>
            <w:pPr>
              <w:adjustRightInd w:val="0"/>
              <w:snapToGrid w:val="0"/>
              <w:jc w:val="center"/>
              <w:rPr>
                <w:color w:val="auto"/>
                <w:sz w:val="21"/>
                <w:szCs w:val="21"/>
              </w:rPr>
            </w:pPr>
            <w:r>
              <w:rPr>
                <w:color w:val="auto"/>
                <w:sz w:val="21"/>
                <w:szCs w:val="21"/>
              </w:rPr>
              <w:t>0.0225kg/d；8.2125kg/a</w:t>
            </w:r>
          </w:p>
        </w:tc>
        <w:tc>
          <w:tcPr>
            <w:tcW w:w="2715" w:type="dxa"/>
            <w:vAlign w:val="center"/>
          </w:tcPr>
          <w:p>
            <w:pPr>
              <w:adjustRightInd w:val="0"/>
              <w:snapToGrid w:val="0"/>
              <w:jc w:val="center"/>
              <w:rPr>
                <w:color w:val="auto"/>
                <w:sz w:val="21"/>
                <w:szCs w:val="21"/>
              </w:rPr>
            </w:pPr>
            <w:r>
              <w:rPr>
                <w:color w:val="auto"/>
                <w:sz w:val="21"/>
                <w:szCs w:val="21"/>
              </w:rPr>
              <w:t>经油烟净化装置处理后，由专用烟道排放</w:t>
            </w:r>
          </w:p>
        </w:tc>
        <w:tc>
          <w:tcPr>
            <w:tcW w:w="2253" w:type="dxa"/>
            <w:vAlign w:val="center"/>
          </w:tcPr>
          <w:p>
            <w:pPr>
              <w:adjustRightInd w:val="0"/>
              <w:snapToGrid w:val="0"/>
              <w:jc w:val="center"/>
              <w:rPr>
                <w:color w:val="auto"/>
                <w:sz w:val="21"/>
                <w:szCs w:val="21"/>
              </w:rPr>
            </w:pPr>
            <w:r>
              <w:rPr>
                <w:color w:val="auto"/>
                <w:sz w:val="21"/>
                <w:szCs w:val="21"/>
              </w:rPr>
              <w:t>0.009kg/d；3.285kg/a</w:t>
            </w:r>
          </w:p>
        </w:tc>
        <w:tc>
          <w:tcPr>
            <w:tcW w:w="3322" w:type="dxa"/>
            <w:vAlign w:val="center"/>
          </w:tcPr>
          <w:p>
            <w:pPr>
              <w:adjustRightInd w:val="0"/>
              <w:snapToGrid w:val="0"/>
              <w:jc w:val="center"/>
              <w:rPr>
                <w:color w:val="auto"/>
                <w:sz w:val="21"/>
                <w:szCs w:val="21"/>
              </w:rPr>
            </w:pPr>
            <w:r>
              <w:rPr>
                <w:color w:val="auto"/>
                <w:sz w:val="21"/>
                <w:szCs w:val="21"/>
              </w:rPr>
              <w:t>《饮食业油烟排放标准(试行)》 (GB18483-2001)小型标准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57" w:type="dxa"/>
            <w:vMerge w:val="restart"/>
            <w:vAlign w:val="center"/>
          </w:tcPr>
          <w:p>
            <w:pPr>
              <w:adjustRightInd w:val="0"/>
              <w:snapToGrid w:val="0"/>
              <w:jc w:val="center"/>
              <w:rPr>
                <w:color w:val="auto"/>
                <w:sz w:val="21"/>
                <w:szCs w:val="21"/>
              </w:rPr>
            </w:pPr>
            <w:r>
              <w:rPr>
                <w:color w:val="auto"/>
                <w:sz w:val="21"/>
                <w:szCs w:val="21"/>
              </w:rPr>
              <w:t>废水</w:t>
            </w:r>
          </w:p>
        </w:tc>
        <w:tc>
          <w:tcPr>
            <w:tcW w:w="1578" w:type="dxa"/>
            <w:vAlign w:val="center"/>
          </w:tcPr>
          <w:p>
            <w:pPr>
              <w:adjustRightInd w:val="0"/>
              <w:snapToGrid w:val="0"/>
              <w:jc w:val="center"/>
              <w:rPr>
                <w:color w:val="auto"/>
                <w:sz w:val="21"/>
                <w:szCs w:val="21"/>
              </w:rPr>
            </w:pPr>
            <w:r>
              <w:rPr>
                <w:color w:val="auto"/>
                <w:sz w:val="21"/>
                <w:szCs w:val="21"/>
              </w:rPr>
              <w:t>外接排污管网</w:t>
            </w:r>
          </w:p>
        </w:tc>
        <w:tc>
          <w:tcPr>
            <w:tcW w:w="1177" w:type="dxa"/>
            <w:vMerge w:val="restart"/>
            <w:vAlign w:val="center"/>
          </w:tcPr>
          <w:p>
            <w:pPr>
              <w:adjustRightInd w:val="0"/>
              <w:snapToGrid w:val="0"/>
              <w:jc w:val="center"/>
              <w:rPr>
                <w:color w:val="auto"/>
                <w:sz w:val="21"/>
                <w:szCs w:val="21"/>
              </w:rPr>
            </w:pPr>
            <w:r>
              <w:rPr>
                <w:color w:val="auto"/>
                <w:sz w:val="21"/>
                <w:szCs w:val="21"/>
              </w:rPr>
              <w:t>COD</w:t>
            </w:r>
            <w:r>
              <w:rPr>
                <w:color w:val="auto"/>
                <w:sz w:val="21"/>
                <w:szCs w:val="21"/>
                <w:vertAlign w:val="subscript"/>
              </w:rPr>
              <w:t>Cr</w:t>
            </w:r>
            <w:r>
              <w:rPr>
                <w:color w:val="auto"/>
                <w:sz w:val="21"/>
                <w:szCs w:val="21"/>
              </w:rPr>
              <w:t>、BOD</w:t>
            </w:r>
            <w:r>
              <w:rPr>
                <w:color w:val="auto"/>
                <w:sz w:val="21"/>
                <w:szCs w:val="21"/>
                <w:vertAlign w:val="subscript"/>
              </w:rPr>
              <w:t>5</w:t>
            </w:r>
            <w:r>
              <w:rPr>
                <w:color w:val="auto"/>
                <w:sz w:val="21"/>
                <w:szCs w:val="21"/>
              </w:rPr>
              <w:t>、SS、TN、NH</w:t>
            </w:r>
            <w:r>
              <w:rPr>
                <w:color w:val="auto"/>
                <w:sz w:val="21"/>
                <w:szCs w:val="21"/>
                <w:vertAlign w:val="subscript"/>
              </w:rPr>
              <w:t>3</w:t>
            </w:r>
            <w:r>
              <w:rPr>
                <w:color w:val="auto"/>
                <w:sz w:val="21"/>
                <w:szCs w:val="21"/>
              </w:rPr>
              <w:t>-N、TP</w:t>
            </w:r>
          </w:p>
        </w:tc>
        <w:tc>
          <w:tcPr>
            <w:tcW w:w="2472" w:type="dxa"/>
            <w:vMerge w:val="restart"/>
            <w:vAlign w:val="center"/>
          </w:tcPr>
          <w:p>
            <w:pPr>
              <w:adjustRightInd w:val="0"/>
              <w:snapToGrid w:val="0"/>
              <w:jc w:val="center"/>
              <w:rPr>
                <w:color w:val="auto"/>
                <w:sz w:val="21"/>
                <w:szCs w:val="21"/>
              </w:rPr>
            </w:pPr>
            <w:r>
              <w:rPr>
                <w:color w:val="auto"/>
                <w:sz w:val="21"/>
                <w:szCs w:val="21"/>
              </w:rPr>
              <w:t>COD</w:t>
            </w:r>
            <w:r>
              <w:rPr>
                <w:color w:val="auto"/>
                <w:sz w:val="21"/>
                <w:szCs w:val="21"/>
                <w:vertAlign w:val="subscript"/>
              </w:rPr>
              <w:t>Cr</w:t>
            </w:r>
            <w:r>
              <w:rPr>
                <w:color w:val="auto"/>
                <w:sz w:val="21"/>
                <w:szCs w:val="21"/>
              </w:rPr>
              <w:t>：</w:t>
            </w:r>
            <w:r>
              <w:rPr>
                <w:rFonts w:hint="eastAsia"/>
                <w:color w:val="auto"/>
                <w:sz w:val="21"/>
                <w:szCs w:val="21"/>
              </w:rPr>
              <w:t>1460</w:t>
            </w:r>
            <w:r>
              <w:rPr>
                <w:color w:val="auto"/>
                <w:sz w:val="21"/>
                <w:szCs w:val="21"/>
              </w:rPr>
              <w:t>t/a；BOD</w:t>
            </w:r>
            <w:r>
              <w:rPr>
                <w:color w:val="auto"/>
                <w:sz w:val="21"/>
                <w:szCs w:val="21"/>
                <w:vertAlign w:val="subscript"/>
              </w:rPr>
              <w:t>5</w:t>
            </w:r>
            <w:r>
              <w:rPr>
                <w:color w:val="auto"/>
                <w:sz w:val="21"/>
                <w:szCs w:val="21"/>
              </w:rPr>
              <w:t>：</w:t>
            </w:r>
            <w:r>
              <w:rPr>
                <w:rFonts w:hint="eastAsia"/>
                <w:color w:val="auto"/>
                <w:sz w:val="21"/>
                <w:szCs w:val="21"/>
              </w:rPr>
              <w:t>584</w:t>
            </w:r>
            <w:r>
              <w:rPr>
                <w:color w:val="auto"/>
                <w:sz w:val="21"/>
                <w:szCs w:val="21"/>
              </w:rPr>
              <w:t>t/a；SS：</w:t>
            </w:r>
            <w:r>
              <w:rPr>
                <w:rFonts w:hint="eastAsia"/>
                <w:color w:val="auto"/>
                <w:sz w:val="21"/>
                <w:szCs w:val="21"/>
              </w:rPr>
              <w:t>876</w:t>
            </w:r>
            <w:r>
              <w:rPr>
                <w:color w:val="auto"/>
                <w:sz w:val="21"/>
                <w:szCs w:val="21"/>
              </w:rPr>
              <w:t>t/a；TN：</w:t>
            </w:r>
            <w:r>
              <w:rPr>
                <w:rFonts w:hint="eastAsia"/>
                <w:color w:val="auto"/>
                <w:sz w:val="21"/>
                <w:szCs w:val="21"/>
              </w:rPr>
              <w:t>146</w:t>
            </w:r>
            <w:r>
              <w:rPr>
                <w:color w:val="auto"/>
                <w:sz w:val="21"/>
                <w:szCs w:val="21"/>
              </w:rPr>
              <w:t>t/a；NH</w:t>
            </w:r>
            <w:r>
              <w:rPr>
                <w:color w:val="auto"/>
                <w:sz w:val="21"/>
                <w:szCs w:val="21"/>
                <w:vertAlign w:val="subscript"/>
              </w:rPr>
              <w:t>3</w:t>
            </w:r>
            <w:r>
              <w:rPr>
                <w:color w:val="auto"/>
                <w:sz w:val="21"/>
                <w:szCs w:val="21"/>
              </w:rPr>
              <w:t>-N：</w:t>
            </w:r>
            <w:r>
              <w:rPr>
                <w:rFonts w:hint="eastAsia"/>
                <w:color w:val="auto"/>
                <w:sz w:val="21"/>
                <w:szCs w:val="21"/>
              </w:rPr>
              <w:t>116.8</w:t>
            </w:r>
            <w:r>
              <w:rPr>
                <w:color w:val="auto"/>
                <w:sz w:val="21"/>
                <w:szCs w:val="21"/>
              </w:rPr>
              <w:t>t/a；TP：</w:t>
            </w:r>
            <w:r>
              <w:rPr>
                <w:rFonts w:hint="eastAsia"/>
                <w:color w:val="auto"/>
                <w:sz w:val="21"/>
                <w:szCs w:val="21"/>
              </w:rPr>
              <w:t>23.36</w:t>
            </w:r>
            <w:r>
              <w:rPr>
                <w:color w:val="auto"/>
                <w:sz w:val="21"/>
                <w:szCs w:val="21"/>
              </w:rPr>
              <w:t>t/a</w:t>
            </w:r>
          </w:p>
        </w:tc>
        <w:tc>
          <w:tcPr>
            <w:tcW w:w="2715" w:type="dxa"/>
            <w:vMerge w:val="restart"/>
            <w:vAlign w:val="center"/>
          </w:tcPr>
          <w:p>
            <w:pPr>
              <w:adjustRightInd w:val="0"/>
              <w:snapToGrid w:val="0"/>
              <w:jc w:val="center"/>
              <w:rPr>
                <w:color w:val="auto"/>
                <w:sz w:val="21"/>
                <w:szCs w:val="21"/>
              </w:rPr>
            </w:pPr>
            <w:r>
              <w:rPr>
                <w:color w:val="auto"/>
                <w:sz w:val="21"/>
                <w:szCs w:val="21"/>
              </w:rPr>
              <w:t>经收集后由本项目污水处理系统处理，处理达标的尾水部分回用于</w:t>
            </w:r>
            <w:r>
              <w:rPr>
                <w:rFonts w:hint="eastAsia"/>
                <w:color w:val="auto"/>
                <w:sz w:val="21"/>
                <w:szCs w:val="21"/>
              </w:rPr>
              <w:t>水质净化厂自用、园区内城市绿化、道路清扫和冲厕</w:t>
            </w:r>
            <w:r>
              <w:rPr>
                <w:color w:val="auto"/>
                <w:sz w:val="21"/>
                <w:szCs w:val="21"/>
              </w:rPr>
              <w:t>，其余均排入</w:t>
            </w:r>
            <w:r>
              <w:rPr>
                <w:rFonts w:hint="eastAsia"/>
                <w:color w:val="auto"/>
                <w:sz w:val="21"/>
                <w:szCs w:val="21"/>
              </w:rPr>
              <w:t>大嵩河</w:t>
            </w:r>
          </w:p>
        </w:tc>
        <w:tc>
          <w:tcPr>
            <w:tcW w:w="2253" w:type="dxa"/>
            <w:vMerge w:val="restart"/>
            <w:vAlign w:val="center"/>
          </w:tcPr>
          <w:p>
            <w:pPr>
              <w:adjustRightInd w:val="0"/>
              <w:snapToGrid w:val="0"/>
              <w:jc w:val="center"/>
              <w:rPr>
                <w:color w:val="auto"/>
                <w:sz w:val="21"/>
                <w:szCs w:val="21"/>
              </w:rPr>
            </w:pPr>
            <w:r>
              <w:rPr>
                <w:color w:val="auto"/>
                <w:sz w:val="21"/>
                <w:szCs w:val="21"/>
              </w:rPr>
              <w:t>COD</w:t>
            </w:r>
            <w:r>
              <w:rPr>
                <w:color w:val="auto"/>
                <w:sz w:val="21"/>
                <w:szCs w:val="21"/>
                <w:vertAlign w:val="subscript"/>
              </w:rPr>
              <w:t>Cr</w:t>
            </w:r>
            <w:r>
              <w:rPr>
                <w:color w:val="auto"/>
                <w:sz w:val="21"/>
                <w:szCs w:val="21"/>
              </w:rPr>
              <w:t>：</w:t>
            </w:r>
            <w:r>
              <w:rPr>
                <w:rFonts w:hint="eastAsia"/>
                <w:color w:val="auto"/>
                <w:sz w:val="21"/>
                <w:szCs w:val="21"/>
              </w:rPr>
              <w:t>61.32</w:t>
            </w:r>
            <w:r>
              <w:rPr>
                <w:color w:val="auto"/>
                <w:sz w:val="21"/>
                <w:szCs w:val="21"/>
              </w:rPr>
              <w:t>t/a；BOD</w:t>
            </w:r>
            <w:r>
              <w:rPr>
                <w:color w:val="auto"/>
                <w:sz w:val="21"/>
                <w:szCs w:val="21"/>
                <w:vertAlign w:val="subscript"/>
              </w:rPr>
              <w:t>5</w:t>
            </w:r>
            <w:r>
              <w:rPr>
                <w:color w:val="auto"/>
                <w:sz w:val="21"/>
                <w:szCs w:val="21"/>
              </w:rPr>
              <w:t>：</w:t>
            </w:r>
            <w:r>
              <w:rPr>
                <w:rFonts w:hint="eastAsia"/>
                <w:color w:val="auto"/>
                <w:sz w:val="21"/>
                <w:szCs w:val="21"/>
              </w:rPr>
              <w:t>12.264</w:t>
            </w:r>
            <w:r>
              <w:rPr>
                <w:color w:val="auto"/>
                <w:sz w:val="21"/>
                <w:szCs w:val="21"/>
              </w:rPr>
              <w:t>t/a；SS：</w:t>
            </w:r>
            <w:r>
              <w:rPr>
                <w:rFonts w:hint="eastAsia"/>
                <w:color w:val="auto"/>
                <w:sz w:val="21"/>
                <w:szCs w:val="21"/>
              </w:rPr>
              <w:t>20.44</w:t>
            </w:r>
            <w:r>
              <w:rPr>
                <w:color w:val="auto"/>
                <w:sz w:val="21"/>
                <w:szCs w:val="21"/>
              </w:rPr>
              <w:t>t/a；TN：</w:t>
            </w:r>
            <w:r>
              <w:rPr>
                <w:rFonts w:hint="eastAsia"/>
                <w:color w:val="auto"/>
                <w:sz w:val="21"/>
                <w:szCs w:val="21"/>
              </w:rPr>
              <w:t>20.44</w:t>
            </w:r>
            <w:r>
              <w:rPr>
                <w:color w:val="auto"/>
                <w:sz w:val="21"/>
                <w:szCs w:val="21"/>
              </w:rPr>
              <w:t>t/a；NH</w:t>
            </w:r>
            <w:r>
              <w:rPr>
                <w:color w:val="auto"/>
                <w:sz w:val="21"/>
                <w:szCs w:val="21"/>
                <w:vertAlign w:val="subscript"/>
              </w:rPr>
              <w:t>3</w:t>
            </w:r>
            <w:r>
              <w:rPr>
                <w:color w:val="auto"/>
                <w:sz w:val="21"/>
                <w:szCs w:val="21"/>
              </w:rPr>
              <w:t>-N：</w:t>
            </w:r>
            <w:r>
              <w:rPr>
                <w:rFonts w:hint="eastAsia"/>
                <w:color w:val="auto"/>
                <w:sz w:val="21"/>
                <w:szCs w:val="21"/>
              </w:rPr>
              <w:t>3.066</w:t>
            </w:r>
            <w:r>
              <w:rPr>
                <w:color w:val="auto"/>
                <w:sz w:val="21"/>
                <w:szCs w:val="21"/>
              </w:rPr>
              <w:t>t/a；TP：</w:t>
            </w:r>
            <w:r>
              <w:rPr>
                <w:rFonts w:hint="eastAsia"/>
                <w:color w:val="auto"/>
                <w:sz w:val="21"/>
                <w:szCs w:val="21"/>
              </w:rPr>
              <w:t>0.6132</w:t>
            </w:r>
            <w:r>
              <w:rPr>
                <w:color w:val="auto"/>
                <w:sz w:val="21"/>
                <w:szCs w:val="21"/>
              </w:rPr>
              <w:t>t/a</w:t>
            </w:r>
          </w:p>
        </w:tc>
        <w:tc>
          <w:tcPr>
            <w:tcW w:w="3322" w:type="dxa"/>
            <w:vMerge w:val="restart"/>
            <w:vAlign w:val="center"/>
          </w:tcPr>
          <w:p>
            <w:pPr>
              <w:adjustRightInd w:val="0"/>
              <w:snapToGrid w:val="0"/>
              <w:jc w:val="center"/>
              <w:rPr>
                <w:color w:val="auto"/>
                <w:sz w:val="21"/>
                <w:szCs w:val="21"/>
              </w:rPr>
            </w:pPr>
            <w:r>
              <w:rPr>
                <w:color w:val="auto"/>
                <w:sz w:val="21"/>
                <w:szCs w:val="21"/>
              </w:rPr>
              <w:t>《地表水环境质量标准》（GB3838-2002）的准</w:t>
            </w:r>
            <w:r>
              <w:rPr>
                <w:rFonts w:hint="eastAsia" w:ascii="宋体" w:hAnsi="宋体" w:cs="宋体"/>
                <w:color w:val="auto"/>
                <w:sz w:val="21"/>
                <w:szCs w:val="21"/>
              </w:rPr>
              <w:t>Ⅳ</w:t>
            </w:r>
            <w:r>
              <w:rPr>
                <w:color w:val="auto"/>
                <w:sz w:val="21"/>
                <w:szCs w:val="21"/>
              </w:rPr>
              <w:t>类标准（即SS、粪大肠菌群数达到（GB18918-2002）中的一级A出水标准，其它主要污染指标达到地表水</w:t>
            </w:r>
            <w:r>
              <w:rPr>
                <w:rFonts w:hint="eastAsia" w:ascii="宋体" w:hAnsi="宋体" w:cs="宋体"/>
                <w:color w:val="auto"/>
                <w:sz w:val="21"/>
                <w:szCs w:val="21"/>
              </w:rPr>
              <w:t>Ⅳ</w:t>
            </w:r>
            <w:r>
              <w:rPr>
                <w:color w:val="auto"/>
                <w:sz w:val="21"/>
                <w:szCs w:val="21"/>
              </w:rPr>
              <w:t>类标准，TN放宽至10mg/L）</w:t>
            </w:r>
            <w:r>
              <w:rPr>
                <w:rFonts w:hint="eastAsia"/>
                <w:color w:val="auto"/>
                <w:sz w:val="21"/>
                <w:szCs w:val="21"/>
              </w:rPr>
              <w:t>；回用水水质执行《城市污水再生利用 城市杂用水水质》（GB/T18920-2020）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657" w:type="dxa"/>
            <w:vMerge w:val="continue"/>
            <w:vAlign w:val="center"/>
          </w:tcPr>
          <w:p>
            <w:pPr>
              <w:adjustRightInd w:val="0"/>
              <w:snapToGrid w:val="0"/>
              <w:jc w:val="center"/>
              <w:rPr>
                <w:color w:val="auto"/>
                <w:sz w:val="21"/>
                <w:szCs w:val="21"/>
              </w:rPr>
            </w:pPr>
          </w:p>
        </w:tc>
        <w:tc>
          <w:tcPr>
            <w:tcW w:w="1578" w:type="dxa"/>
            <w:vAlign w:val="center"/>
          </w:tcPr>
          <w:p>
            <w:pPr>
              <w:adjustRightInd w:val="0"/>
              <w:snapToGrid w:val="0"/>
              <w:jc w:val="center"/>
              <w:rPr>
                <w:color w:val="auto"/>
                <w:sz w:val="21"/>
                <w:szCs w:val="21"/>
              </w:rPr>
            </w:pPr>
            <w:r>
              <w:rPr>
                <w:color w:val="auto"/>
                <w:sz w:val="21"/>
                <w:szCs w:val="21"/>
              </w:rPr>
              <w:t>办公楼</w:t>
            </w:r>
          </w:p>
        </w:tc>
        <w:tc>
          <w:tcPr>
            <w:tcW w:w="1177" w:type="dxa"/>
            <w:vMerge w:val="continue"/>
            <w:vAlign w:val="center"/>
          </w:tcPr>
          <w:p>
            <w:pPr>
              <w:adjustRightInd w:val="0"/>
              <w:snapToGrid w:val="0"/>
              <w:jc w:val="center"/>
              <w:rPr>
                <w:color w:val="auto"/>
                <w:sz w:val="21"/>
                <w:szCs w:val="21"/>
              </w:rPr>
            </w:pPr>
          </w:p>
        </w:tc>
        <w:tc>
          <w:tcPr>
            <w:tcW w:w="2472" w:type="dxa"/>
            <w:vMerge w:val="continue"/>
            <w:vAlign w:val="center"/>
          </w:tcPr>
          <w:p>
            <w:pPr>
              <w:adjustRightInd w:val="0"/>
              <w:snapToGrid w:val="0"/>
              <w:jc w:val="center"/>
              <w:rPr>
                <w:color w:val="auto"/>
                <w:sz w:val="21"/>
                <w:szCs w:val="21"/>
              </w:rPr>
            </w:pPr>
          </w:p>
        </w:tc>
        <w:tc>
          <w:tcPr>
            <w:tcW w:w="2715" w:type="dxa"/>
            <w:vMerge w:val="continue"/>
            <w:vAlign w:val="center"/>
          </w:tcPr>
          <w:p>
            <w:pPr>
              <w:adjustRightInd w:val="0"/>
              <w:snapToGrid w:val="0"/>
              <w:jc w:val="center"/>
              <w:rPr>
                <w:color w:val="auto"/>
                <w:sz w:val="21"/>
                <w:szCs w:val="21"/>
              </w:rPr>
            </w:pPr>
          </w:p>
        </w:tc>
        <w:tc>
          <w:tcPr>
            <w:tcW w:w="2253" w:type="dxa"/>
            <w:vMerge w:val="continue"/>
            <w:vAlign w:val="center"/>
          </w:tcPr>
          <w:p>
            <w:pPr>
              <w:adjustRightInd w:val="0"/>
              <w:snapToGrid w:val="0"/>
              <w:jc w:val="center"/>
              <w:rPr>
                <w:color w:val="auto"/>
                <w:sz w:val="21"/>
                <w:szCs w:val="21"/>
              </w:rPr>
            </w:pPr>
          </w:p>
        </w:tc>
        <w:tc>
          <w:tcPr>
            <w:tcW w:w="3322"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7" w:type="dxa"/>
            <w:vMerge w:val="continue"/>
            <w:vAlign w:val="center"/>
          </w:tcPr>
          <w:p>
            <w:pPr>
              <w:adjustRightInd w:val="0"/>
              <w:snapToGrid w:val="0"/>
              <w:jc w:val="center"/>
              <w:rPr>
                <w:color w:val="auto"/>
                <w:sz w:val="21"/>
                <w:szCs w:val="21"/>
              </w:rPr>
            </w:pPr>
          </w:p>
        </w:tc>
        <w:tc>
          <w:tcPr>
            <w:tcW w:w="1578" w:type="dxa"/>
            <w:vAlign w:val="center"/>
          </w:tcPr>
          <w:p>
            <w:pPr>
              <w:adjustRightInd w:val="0"/>
              <w:snapToGrid w:val="0"/>
              <w:jc w:val="center"/>
              <w:rPr>
                <w:color w:val="auto"/>
                <w:sz w:val="21"/>
                <w:szCs w:val="21"/>
              </w:rPr>
            </w:pPr>
            <w:r>
              <w:rPr>
                <w:color w:val="auto"/>
                <w:sz w:val="21"/>
                <w:szCs w:val="21"/>
              </w:rPr>
              <w:t>曝气生物滤池</w:t>
            </w:r>
          </w:p>
        </w:tc>
        <w:tc>
          <w:tcPr>
            <w:tcW w:w="1177" w:type="dxa"/>
            <w:vMerge w:val="continue"/>
            <w:vAlign w:val="center"/>
          </w:tcPr>
          <w:p>
            <w:pPr>
              <w:adjustRightInd w:val="0"/>
              <w:snapToGrid w:val="0"/>
              <w:jc w:val="center"/>
              <w:rPr>
                <w:color w:val="auto"/>
                <w:sz w:val="21"/>
                <w:szCs w:val="21"/>
              </w:rPr>
            </w:pPr>
          </w:p>
        </w:tc>
        <w:tc>
          <w:tcPr>
            <w:tcW w:w="2472" w:type="dxa"/>
            <w:vMerge w:val="continue"/>
            <w:vAlign w:val="center"/>
          </w:tcPr>
          <w:p>
            <w:pPr>
              <w:adjustRightInd w:val="0"/>
              <w:snapToGrid w:val="0"/>
              <w:jc w:val="center"/>
              <w:rPr>
                <w:color w:val="auto"/>
                <w:sz w:val="21"/>
                <w:szCs w:val="21"/>
              </w:rPr>
            </w:pPr>
          </w:p>
        </w:tc>
        <w:tc>
          <w:tcPr>
            <w:tcW w:w="2715" w:type="dxa"/>
            <w:vMerge w:val="continue"/>
            <w:vAlign w:val="center"/>
          </w:tcPr>
          <w:p>
            <w:pPr>
              <w:adjustRightInd w:val="0"/>
              <w:snapToGrid w:val="0"/>
              <w:jc w:val="center"/>
              <w:rPr>
                <w:color w:val="auto"/>
                <w:sz w:val="21"/>
                <w:szCs w:val="21"/>
              </w:rPr>
            </w:pPr>
          </w:p>
        </w:tc>
        <w:tc>
          <w:tcPr>
            <w:tcW w:w="2253" w:type="dxa"/>
            <w:vMerge w:val="continue"/>
            <w:vAlign w:val="center"/>
          </w:tcPr>
          <w:p>
            <w:pPr>
              <w:adjustRightInd w:val="0"/>
              <w:snapToGrid w:val="0"/>
              <w:jc w:val="center"/>
              <w:rPr>
                <w:color w:val="auto"/>
                <w:sz w:val="21"/>
                <w:szCs w:val="21"/>
              </w:rPr>
            </w:pPr>
          </w:p>
        </w:tc>
        <w:tc>
          <w:tcPr>
            <w:tcW w:w="3322"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57" w:type="dxa"/>
            <w:vMerge w:val="continue"/>
            <w:vAlign w:val="center"/>
          </w:tcPr>
          <w:p>
            <w:pPr>
              <w:adjustRightInd w:val="0"/>
              <w:snapToGrid w:val="0"/>
              <w:jc w:val="center"/>
              <w:rPr>
                <w:color w:val="auto"/>
                <w:sz w:val="21"/>
                <w:szCs w:val="21"/>
              </w:rPr>
            </w:pPr>
          </w:p>
        </w:tc>
        <w:tc>
          <w:tcPr>
            <w:tcW w:w="1578" w:type="dxa"/>
            <w:vAlign w:val="center"/>
          </w:tcPr>
          <w:p>
            <w:pPr>
              <w:adjustRightInd w:val="0"/>
              <w:snapToGrid w:val="0"/>
              <w:jc w:val="center"/>
              <w:rPr>
                <w:color w:val="auto"/>
                <w:sz w:val="21"/>
                <w:szCs w:val="21"/>
              </w:rPr>
            </w:pPr>
            <w:r>
              <w:rPr>
                <w:color w:val="auto"/>
                <w:sz w:val="21"/>
                <w:szCs w:val="21"/>
              </w:rPr>
              <w:t>污泥脱水机房</w:t>
            </w:r>
          </w:p>
        </w:tc>
        <w:tc>
          <w:tcPr>
            <w:tcW w:w="1177" w:type="dxa"/>
            <w:vMerge w:val="continue"/>
            <w:vAlign w:val="center"/>
          </w:tcPr>
          <w:p>
            <w:pPr>
              <w:adjustRightInd w:val="0"/>
              <w:snapToGrid w:val="0"/>
              <w:jc w:val="center"/>
              <w:rPr>
                <w:color w:val="auto"/>
                <w:sz w:val="21"/>
                <w:szCs w:val="21"/>
              </w:rPr>
            </w:pPr>
          </w:p>
        </w:tc>
        <w:tc>
          <w:tcPr>
            <w:tcW w:w="2472" w:type="dxa"/>
            <w:vMerge w:val="continue"/>
            <w:vAlign w:val="center"/>
          </w:tcPr>
          <w:p>
            <w:pPr>
              <w:adjustRightInd w:val="0"/>
              <w:snapToGrid w:val="0"/>
              <w:jc w:val="center"/>
              <w:rPr>
                <w:color w:val="auto"/>
                <w:sz w:val="21"/>
                <w:szCs w:val="21"/>
              </w:rPr>
            </w:pPr>
          </w:p>
        </w:tc>
        <w:tc>
          <w:tcPr>
            <w:tcW w:w="2715" w:type="dxa"/>
            <w:vMerge w:val="continue"/>
            <w:vAlign w:val="center"/>
          </w:tcPr>
          <w:p>
            <w:pPr>
              <w:adjustRightInd w:val="0"/>
              <w:snapToGrid w:val="0"/>
              <w:jc w:val="center"/>
              <w:rPr>
                <w:color w:val="auto"/>
                <w:sz w:val="21"/>
                <w:szCs w:val="21"/>
              </w:rPr>
            </w:pPr>
          </w:p>
        </w:tc>
        <w:tc>
          <w:tcPr>
            <w:tcW w:w="2253" w:type="dxa"/>
            <w:vMerge w:val="continue"/>
            <w:vAlign w:val="center"/>
          </w:tcPr>
          <w:p>
            <w:pPr>
              <w:adjustRightInd w:val="0"/>
              <w:snapToGrid w:val="0"/>
              <w:jc w:val="center"/>
              <w:rPr>
                <w:color w:val="auto"/>
                <w:sz w:val="21"/>
                <w:szCs w:val="21"/>
              </w:rPr>
            </w:pPr>
          </w:p>
        </w:tc>
        <w:tc>
          <w:tcPr>
            <w:tcW w:w="3322" w:type="dxa"/>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Align w:val="center"/>
          </w:tcPr>
          <w:p>
            <w:pPr>
              <w:adjustRightInd w:val="0"/>
              <w:snapToGrid w:val="0"/>
              <w:jc w:val="center"/>
              <w:rPr>
                <w:color w:val="auto"/>
                <w:sz w:val="21"/>
                <w:szCs w:val="21"/>
              </w:rPr>
            </w:pPr>
            <w:r>
              <w:rPr>
                <w:color w:val="auto"/>
                <w:sz w:val="21"/>
                <w:szCs w:val="21"/>
              </w:rPr>
              <w:t>噪声</w:t>
            </w:r>
          </w:p>
        </w:tc>
        <w:tc>
          <w:tcPr>
            <w:tcW w:w="1578" w:type="dxa"/>
            <w:vAlign w:val="center"/>
          </w:tcPr>
          <w:p>
            <w:pPr>
              <w:adjustRightInd w:val="0"/>
              <w:snapToGrid w:val="0"/>
              <w:jc w:val="center"/>
              <w:rPr>
                <w:color w:val="auto"/>
                <w:sz w:val="21"/>
                <w:szCs w:val="21"/>
              </w:rPr>
            </w:pPr>
            <w:r>
              <w:rPr>
                <w:color w:val="auto"/>
                <w:sz w:val="21"/>
                <w:szCs w:val="21"/>
              </w:rPr>
              <w:t>污水处理设备</w:t>
            </w:r>
          </w:p>
        </w:tc>
        <w:tc>
          <w:tcPr>
            <w:tcW w:w="1177" w:type="dxa"/>
            <w:vAlign w:val="center"/>
          </w:tcPr>
          <w:p>
            <w:pPr>
              <w:adjustRightInd w:val="0"/>
              <w:snapToGrid w:val="0"/>
              <w:jc w:val="center"/>
              <w:rPr>
                <w:color w:val="auto"/>
                <w:sz w:val="21"/>
                <w:szCs w:val="21"/>
              </w:rPr>
            </w:pPr>
            <w:r>
              <w:rPr>
                <w:color w:val="auto"/>
                <w:sz w:val="21"/>
                <w:szCs w:val="21"/>
              </w:rPr>
              <w:t>等效A声级</w:t>
            </w:r>
          </w:p>
        </w:tc>
        <w:tc>
          <w:tcPr>
            <w:tcW w:w="2472" w:type="dxa"/>
            <w:vAlign w:val="center"/>
          </w:tcPr>
          <w:p>
            <w:pPr>
              <w:adjustRightInd w:val="0"/>
              <w:snapToGrid w:val="0"/>
              <w:jc w:val="center"/>
              <w:rPr>
                <w:color w:val="auto"/>
                <w:sz w:val="21"/>
                <w:szCs w:val="21"/>
              </w:rPr>
            </w:pPr>
            <w:r>
              <w:rPr>
                <w:color w:val="auto"/>
                <w:sz w:val="21"/>
                <w:szCs w:val="21"/>
              </w:rPr>
              <w:t>75~85dB（A）</w:t>
            </w:r>
          </w:p>
        </w:tc>
        <w:tc>
          <w:tcPr>
            <w:tcW w:w="2715" w:type="dxa"/>
            <w:vAlign w:val="center"/>
          </w:tcPr>
          <w:p>
            <w:pPr>
              <w:adjustRightInd w:val="0"/>
              <w:snapToGrid w:val="0"/>
              <w:jc w:val="center"/>
              <w:rPr>
                <w:color w:val="auto"/>
                <w:sz w:val="21"/>
                <w:szCs w:val="21"/>
              </w:rPr>
            </w:pPr>
            <w:r>
              <w:rPr>
                <w:color w:val="auto"/>
                <w:sz w:val="21"/>
                <w:szCs w:val="21"/>
              </w:rPr>
              <w:t>减震、隔声、距离衰减综合处理</w:t>
            </w:r>
          </w:p>
        </w:tc>
        <w:tc>
          <w:tcPr>
            <w:tcW w:w="2253" w:type="dxa"/>
            <w:vAlign w:val="center"/>
          </w:tcPr>
          <w:p>
            <w:pPr>
              <w:adjustRightInd w:val="0"/>
              <w:snapToGrid w:val="0"/>
              <w:jc w:val="center"/>
              <w:rPr>
                <w:color w:val="auto"/>
                <w:sz w:val="21"/>
                <w:szCs w:val="21"/>
              </w:rPr>
            </w:pPr>
            <w:r>
              <w:rPr>
                <w:color w:val="auto"/>
                <w:sz w:val="21"/>
                <w:szCs w:val="21"/>
              </w:rPr>
              <w:t>昼间≤60dB(A)；夜间≤50dB(A)</w:t>
            </w:r>
          </w:p>
        </w:tc>
        <w:tc>
          <w:tcPr>
            <w:tcW w:w="3322" w:type="dxa"/>
            <w:vAlign w:val="center"/>
          </w:tcPr>
          <w:p>
            <w:pPr>
              <w:adjustRightInd w:val="0"/>
              <w:snapToGrid w:val="0"/>
              <w:jc w:val="center"/>
              <w:rPr>
                <w:color w:val="auto"/>
                <w:sz w:val="21"/>
                <w:szCs w:val="21"/>
              </w:rPr>
            </w:pPr>
            <w:r>
              <w:rPr>
                <w:color w:val="auto"/>
                <w:sz w:val="21"/>
                <w:szCs w:val="21"/>
              </w:rPr>
              <w:t>《工业企业厂界环境噪声排放标准》（GB12348-2008）2类标准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Merge w:val="restart"/>
            <w:vAlign w:val="center"/>
          </w:tcPr>
          <w:p>
            <w:pPr>
              <w:adjustRightInd w:val="0"/>
              <w:snapToGrid w:val="0"/>
              <w:jc w:val="center"/>
              <w:rPr>
                <w:color w:val="auto"/>
                <w:sz w:val="21"/>
                <w:szCs w:val="21"/>
              </w:rPr>
            </w:pPr>
            <w:r>
              <w:rPr>
                <w:color w:val="auto"/>
                <w:sz w:val="21"/>
                <w:szCs w:val="21"/>
              </w:rPr>
              <w:t>固体废物</w:t>
            </w:r>
          </w:p>
        </w:tc>
        <w:tc>
          <w:tcPr>
            <w:tcW w:w="1578" w:type="dxa"/>
            <w:vAlign w:val="center"/>
          </w:tcPr>
          <w:p>
            <w:pPr>
              <w:adjustRightInd w:val="0"/>
              <w:snapToGrid w:val="0"/>
              <w:jc w:val="center"/>
              <w:rPr>
                <w:color w:val="auto"/>
                <w:sz w:val="21"/>
                <w:szCs w:val="21"/>
              </w:rPr>
            </w:pPr>
            <w:r>
              <w:rPr>
                <w:color w:val="auto"/>
                <w:sz w:val="21"/>
                <w:szCs w:val="21"/>
              </w:rPr>
              <w:t>办公楼</w:t>
            </w:r>
          </w:p>
        </w:tc>
        <w:tc>
          <w:tcPr>
            <w:tcW w:w="1177" w:type="dxa"/>
            <w:vAlign w:val="center"/>
          </w:tcPr>
          <w:p>
            <w:pPr>
              <w:adjustRightInd w:val="0"/>
              <w:snapToGrid w:val="0"/>
              <w:jc w:val="center"/>
              <w:rPr>
                <w:color w:val="auto"/>
                <w:sz w:val="21"/>
                <w:szCs w:val="21"/>
              </w:rPr>
            </w:pPr>
            <w:r>
              <w:rPr>
                <w:color w:val="auto"/>
                <w:sz w:val="21"/>
                <w:szCs w:val="21"/>
              </w:rPr>
              <w:t>生活垃圾</w:t>
            </w:r>
          </w:p>
        </w:tc>
        <w:tc>
          <w:tcPr>
            <w:tcW w:w="2472" w:type="dxa"/>
            <w:vAlign w:val="center"/>
          </w:tcPr>
          <w:p>
            <w:pPr>
              <w:adjustRightInd w:val="0"/>
              <w:snapToGrid w:val="0"/>
              <w:jc w:val="center"/>
              <w:rPr>
                <w:color w:val="auto"/>
                <w:sz w:val="21"/>
                <w:szCs w:val="21"/>
              </w:rPr>
            </w:pPr>
            <w:r>
              <w:rPr>
                <w:color w:val="auto"/>
                <w:sz w:val="21"/>
                <w:szCs w:val="21"/>
              </w:rPr>
              <w:t>4.56t/a</w:t>
            </w:r>
          </w:p>
        </w:tc>
        <w:tc>
          <w:tcPr>
            <w:tcW w:w="2715" w:type="dxa"/>
            <w:vAlign w:val="center"/>
          </w:tcPr>
          <w:p>
            <w:pPr>
              <w:adjustRightInd w:val="0"/>
              <w:snapToGrid w:val="0"/>
              <w:jc w:val="center"/>
              <w:rPr>
                <w:color w:val="auto"/>
                <w:sz w:val="21"/>
                <w:szCs w:val="21"/>
              </w:rPr>
            </w:pPr>
            <w:r>
              <w:rPr>
                <w:color w:val="auto"/>
                <w:sz w:val="21"/>
                <w:szCs w:val="21"/>
              </w:rPr>
              <w:t>统一收集后，运往就近垃圾堆放点，由环卫部门统一处置</w:t>
            </w:r>
          </w:p>
        </w:tc>
        <w:tc>
          <w:tcPr>
            <w:tcW w:w="2253" w:type="dxa"/>
            <w:vAlign w:val="center"/>
          </w:tcPr>
          <w:p>
            <w:pPr>
              <w:adjustRightInd w:val="0"/>
              <w:snapToGrid w:val="0"/>
              <w:jc w:val="center"/>
              <w:rPr>
                <w:color w:val="auto"/>
                <w:sz w:val="21"/>
                <w:szCs w:val="21"/>
              </w:rPr>
            </w:pPr>
            <w:r>
              <w:rPr>
                <w:color w:val="auto"/>
                <w:sz w:val="21"/>
                <w:szCs w:val="21"/>
              </w:rPr>
              <w:t>0</w:t>
            </w:r>
          </w:p>
        </w:tc>
        <w:tc>
          <w:tcPr>
            <w:tcW w:w="3322" w:type="dxa"/>
            <w:vAlign w:val="center"/>
          </w:tcPr>
          <w:p>
            <w:pPr>
              <w:adjustRightInd w:val="0"/>
              <w:snapToGrid w:val="0"/>
              <w:jc w:val="center"/>
              <w:rPr>
                <w:color w:val="auto"/>
                <w:sz w:val="21"/>
                <w:szCs w:val="21"/>
              </w:rPr>
            </w:pPr>
            <w:r>
              <w:rPr>
                <w:color w:val="auto"/>
                <w:sz w:val="21"/>
                <w:szCs w:val="21"/>
              </w:rPr>
              <w:t>《生活垃圾填埋场污染控制标准》（GB16889-2008）含水率及填埋要求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Merge w:val="continue"/>
            <w:vAlign w:val="center"/>
          </w:tcPr>
          <w:p>
            <w:pPr>
              <w:adjustRightInd w:val="0"/>
              <w:snapToGrid w:val="0"/>
              <w:jc w:val="center"/>
              <w:rPr>
                <w:color w:val="auto"/>
                <w:sz w:val="21"/>
                <w:szCs w:val="21"/>
              </w:rPr>
            </w:pPr>
          </w:p>
        </w:tc>
        <w:tc>
          <w:tcPr>
            <w:tcW w:w="1578" w:type="dxa"/>
            <w:vAlign w:val="center"/>
          </w:tcPr>
          <w:p>
            <w:pPr>
              <w:adjustRightInd w:val="0"/>
              <w:snapToGrid w:val="0"/>
              <w:jc w:val="center"/>
              <w:rPr>
                <w:color w:val="auto"/>
                <w:sz w:val="21"/>
                <w:szCs w:val="21"/>
              </w:rPr>
            </w:pPr>
            <w:r>
              <w:rPr>
                <w:color w:val="auto"/>
                <w:sz w:val="21"/>
                <w:szCs w:val="21"/>
              </w:rPr>
              <w:t>格栅池</w:t>
            </w:r>
          </w:p>
        </w:tc>
        <w:tc>
          <w:tcPr>
            <w:tcW w:w="1177" w:type="dxa"/>
            <w:vAlign w:val="center"/>
          </w:tcPr>
          <w:p>
            <w:pPr>
              <w:adjustRightInd w:val="0"/>
              <w:snapToGrid w:val="0"/>
              <w:jc w:val="center"/>
              <w:rPr>
                <w:color w:val="auto"/>
                <w:sz w:val="21"/>
                <w:szCs w:val="21"/>
              </w:rPr>
            </w:pPr>
            <w:r>
              <w:rPr>
                <w:color w:val="auto"/>
                <w:sz w:val="21"/>
                <w:szCs w:val="21"/>
              </w:rPr>
              <w:t>栅渣</w:t>
            </w:r>
          </w:p>
        </w:tc>
        <w:tc>
          <w:tcPr>
            <w:tcW w:w="2472" w:type="dxa"/>
            <w:vAlign w:val="center"/>
          </w:tcPr>
          <w:p>
            <w:pPr>
              <w:adjustRightInd w:val="0"/>
              <w:snapToGrid w:val="0"/>
              <w:jc w:val="center"/>
              <w:rPr>
                <w:color w:val="auto"/>
                <w:sz w:val="21"/>
                <w:szCs w:val="21"/>
              </w:rPr>
            </w:pPr>
            <w:r>
              <w:rPr>
                <w:rFonts w:hint="eastAsia"/>
                <w:color w:val="auto"/>
                <w:sz w:val="21"/>
                <w:szCs w:val="21"/>
              </w:rPr>
              <w:t>700.8</w:t>
            </w:r>
            <w:r>
              <w:rPr>
                <w:color w:val="auto"/>
                <w:sz w:val="21"/>
                <w:szCs w:val="21"/>
              </w:rPr>
              <w:t>t/a</w:t>
            </w:r>
          </w:p>
        </w:tc>
        <w:tc>
          <w:tcPr>
            <w:tcW w:w="2715" w:type="dxa"/>
            <w:vAlign w:val="center"/>
          </w:tcPr>
          <w:p>
            <w:pPr>
              <w:adjustRightInd w:val="0"/>
              <w:snapToGrid w:val="0"/>
              <w:jc w:val="center"/>
              <w:rPr>
                <w:color w:val="auto"/>
                <w:sz w:val="21"/>
                <w:szCs w:val="21"/>
              </w:rPr>
            </w:pPr>
            <w:r>
              <w:rPr>
                <w:rFonts w:hint="eastAsia"/>
                <w:color w:val="auto"/>
                <w:sz w:val="21"/>
                <w:szCs w:val="21"/>
              </w:rPr>
              <w:t>经压榨打包后使用渣斗储存，交由环卫部门处理</w:t>
            </w:r>
          </w:p>
        </w:tc>
        <w:tc>
          <w:tcPr>
            <w:tcW w:w="2253" w:type="dxa"/>
            <w:vAlign w:val="center"/>
          </w:tcPr>
          <w:p>
            <w:pPr>
              <w:adjustRightInd w:val="0"/>
              <w:snapToGrid w:val="0"/>
              <w:jc w:val="center"/>
              <w:rPr>
                <w:color w:val="auto"/>
                <w:sz w:val="21"/>
                <w:szCs w:val="21"/>
              </w:rPr>
            </w:pPr>
            <w:r>
              <w:rPr>
                <w:color w:val="auto"/>
                <w:sz w:val="21"/>
                <w:szCs w:val="21"/>
              </w:rPr>
              <w:t>0</w:t>
            </w:r>
          </w:p>
        </w:tc>
        <w:tc>
          <w:tcPr>
            <w:tcW w:w="3322" w:type="dxa"/>
            <w:vAlign w:val="center"/>
          </w:tcPr>
          <w:p>
            <w:pPr>
              <w:adjustRightInd w:val="0"/>
              <w:snapToGrid w:val="0"/>
              <w:jc w:val="center"/>
              <w:rPr>
                <w:color w:val="auto"/>
                <w:sz w:val="21"/>
                <w:szCs w:val="21"/>
              </w:rPr>
            </w:pPr>
            <w:r>
              <w:rPr>
                <w:color w:val="auto"/>
                <w:sz w:val="21"/>
                <w:szCs w:val="21"/>
              </w:rPr>
              <w:t>《一般工业固体废物贮存、处理场污染控制标准》（GB18599-2001）及其2013 年修改单相关要求</w:t>
            </w:r>
            <w:r>
              <w:rPr>
                <w:rFonts w:hint="eastAsia"/>
                <w:color w:val="auto"/>
                <w:sz w:val="21"/>
                <w:szCs w:val="21"/>
              </w:rPr>
              <w:t>、</w:t>
            </w:r>
            <w:r>
              <w:rPr>
                <w:color w:val="auto"/>
                <w:sz w:val="21"/>
                <w:szCs w:val="21"/>
              </w:rPr>
              <w:t>《生活垃圾填埋场污染控制标准》（GB16889-2008）含水率及填埋要求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Merge w:val="continue"/>
            <w:vAlign w:val="center"/>
          </w:tcPr>
          <w:p>
            <w:pPr>
              <w:adjustRightInd w:val="0"/>
              <w:snapToGrid w:val="0"/>
              <w:jc w:val="center"/>
              <w:rPr>
                <w:color w:val="auto"/>
                <w:sz w:val="21"/>
                <w:szCs w:val="21"/>
              </w:rPr>
            </w:pPr>
          </w:p>
        </w:tc>
        <w:tc>
          <w:tcPr>
            <w:tcW w:w="1578" w:type="dxa"/>
            <w:vAlign w:val="center"/>
          </w:tcPr>
          <w:p>
            <w:pPr>
              <w:adjustRightInd w:val="0"/>
              <w:snapToGrid w:val="0"/>
              <w:jc w:val="center"/>
              <w:rPr>
                <w:color w:val="auto"/>
                <w:sz w:val="21"/>
                <w:szCs w:val="21"/>
              </w:rPr>
            </w:pPr>
            <w:r>
              <w:rPr>
                <w:color w:val="auto"/>
                <w:sz w:val="21"/>
                <w:szCs w:val="21"/>
              </w:rPr>
              <w:t>生化处理系统、深度处理系统</w:t>
            </w:r>
          </w:p>
        </w:tc>
        <w:tc>
          <w:tcPr>
            <w:tcW w:w="1177" w:type="dxa"/>
            <w:vAlign w:val="center"/>
          </w:tcPr>
          <w:p>
            <w:pPr>
              <w:adjustRightInd w:val="0"/>
              <w:snapToGrid w:val="0"/>
              <w:jc w:val="center"/>
              <w:rPr>
                <w:color w:val="auto"/>
                <w:sz w:val="21"/>
                <w:szCs w:val="21"/>
              </w:rPr>
            </w:pPr>
            <w:r>
              <w:rPr>
                <w:color w:val="auto"/>
                <w:sz w:val="21"/>
                <w:szCs w:val="21"/>
              </w:rPr>
              <w:t>污泥（剩余污泥、深度处理污泥）</w:t>
            </w:r>
          </w:p>
        </w:tc>
        <w:tc>
          <w:tcPr>
            <w:tcW w:w="2472" w:type="dxa"/>
            <w:vAlign w:val="center"/>
          </w:tcPr>
          <w:p>
            <w:pPr>
              <w:adjustRightInd w:val="0"/>
              <w:snapToGrid w:val="0"/>
              <w:jc w:val="center"/>
              <w:rPr>
                <w:color w:val="auto"/>
                <w:sz w:val="21"/>
                <w:szCs w:val="21"/>
              </w:rPr>
            </w:pPr>
            <w:r>
              <w:rPr>
                <w:rFonts w:hint="eastAsia"/>
                <w:color w:val="auto"/>
                <w:sz w:val="21"/>
                <w:szCs w:val="21"/>
              </w:rPr>
              <w:t>716.495</w:t>
            </w:r>
            <w:r>
              <w:rPr>
                <w:color w:val="auto"/>
                <w:sz w:val="21"/>
                <w:szCs w:val="21"/>
              </w:rPr>
              <w:t>t/a</w:t>
            </w:r>
          </w:p>
        </w:tc>
        <w:tc>
          <w:tcPr>
            <w:tcW w:w="2715" w:type="dxa"/>
            <w:vAlign w:val="center"/>
          </w:tcPr>
          <w:p>
            <w:pPr>
              <w:adjustRightInd w:val="0"/>
              <w:snapToGrid w:val="0"/>
              <w:jc w:val="center"/>
              <w:rPr>
                <w:color w:val="auto"/>
                <w:sz w:val="21"/>
                <w:szCs w:val="21"/>
              </w:rPr>
            </w:pPr>
            <w:r>
              <w:rPr>
                <w:color w:val="auto"/>
                <w:sz w:val="21"/>
                <w:szCs w:val="21"/>
              </w:rPr>
              <w:t>经过鉴定后，若为危险废物需交有资质的单位进行处理；若为一般固废，</w:t>
            </w:r>
            <w:r>
              <w:rPr>
                <w:rFonts w:hint="eastAsia"/>
                <w:color w:val="auto"/>
                <w:sz w:val="21"/>
                <w:szCs w:val="21"/>
              </w:rPr>
              <w:t>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tc>
        <w:tc>
          <w:tcPr>
            <w:tcW w:w="2253" w:type="dxa"/>
            <w:vAlign w:val="center"/>
          </w:tcPr>
          <w:p>
            <w:pPr>
              <w:adjustRightInd w:val="0"/>
              <w:snapToGrid w:val="0"/>
              <w:jc w:val="center"/>
              <w:rPr>
                <w:color w:val="auto"/>
                <w:sz w:val="21"/>
                <w:szCs w:val="21"/>
              </w:rPr>
            </w:pPr>
            <w:r>
              <w:rPr>
                <w:color w:val="auto"/>
                <w:sz w:val="21"/>
                <w:szCs w:val="21"/>
              </w:rPr>
              <w:t>0</w:t>
            </w:r>
          </w:p>
        </w:tc>
        <w:tc>
          <w:tcPr>
            <w:tcW w:w="3322" w:type="dxa"/>
            <w:vAlign w:val="center"/>
          </w:tcPr>
          <w:p>
            <w:pPr>
              <w:adjustRightInd w:val="0"/>
              <w:snapToGrid w:val="0"/>
              <w:jc w:val="center"/>
              <w:rPr>
                <w:color w:val="auto"/>
                <w:sz w:val="21"/>
                <w:szCs w:val="21"/>
              </w:rPr>
            </w:pPr>
            <w:r>
              <w:rPr>
                <w:color w:val="auto"/>
                <w:sz w:val="21"/>
                <w:szCs w:val="21"/>
              </w:rPr>
              <w:t>《城镇污水处理厂污染物排放标准》（GB18918-2002）表5污泥稳定化控制标准、《城镇污水处理厂污染物排放标准》（GB18918-2002）</w:t>
            </w:r>
            <w:r>
              <w:rPr>
                <w:rFonts w:hint="eastAsia"/>
                <w:color w:val="auto"/>
                <w:sz w:val="21"/>
                <w:szCs w:val="21"/>
              </w:rPr>
              <w:t>、</w:t>
            </w:r>
            <w:r>
              <w:rPr>
                <w:color w:val="auto"/>
                <w:sz w:val="21"/>
                <w:szCs w:val="21"/>
              </w:rPr>
              <w:t>《危险废物贮存污染控制标准》（GB18597-2001）及2013 年修改单</w:t>
            </w:r>
            <w:r>
              <w:rPr>
                <w:rFonts w:hint="eastAsia"/>
                <w:color w:val="auto"/>
                <w:sz w:val="21"/>
                <w:szCs w:val="21"/>
              </w:rPr>
              <w:t>或《城镇污水处理厂污泥处置制砖用泥质》（GB/T25031-2010）或</w:t>
            </w:r>
            <w:r>
              <w:rPr>
                <w:color w:val="auto"/>
                <w:sz w:val="21"/>
                <w:szCs w:val="21"/>
              </w:rPr>
              <w:t>《生活垃圾填埋场污染控制标准》（GB16889-2008）含水率及填埋要求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vMerge w:val="continue"/>
            <w:vAlign w:val="center"/>
          </w:tcPr>
          <w:p>
            <w:pPr>
              <w:adjustRightInd w:val="0"/>
              <w:snapToGrid w:val="0"/>
              <w:jc w:val="center"/>
              <w:rPr>
                <w:color w:val="auto"/>
                <w:sz w:val="21"/>
                <w:szCs w:val="21"/>
              </w:rPr>
            </w:pPr>
          </w:p>
        </w:tc>
        <w:tc>
          <w:tcPr>
            <w:tcW w:w="1578" w:type="dxa"/>
            <w:vAlign w:val="center"/>
          </w:tcPr>
          <w:p>
            <w:pPr>
              <w:adjustRightInd w:val="0"/>
              <w:snapToGrid w:val="0"/>
              <w:jc w:val="center"/>
              <w:rPr>
                <w:color w:val="auto"/>
                <w:sz w:val="21"/>
                <w:szCs w:val="21"/>
              </w:rPr>
            </w:pPr>
            <w:r>
              <w:rPr>
                <w:color w:val="auto"/>
                <w:sz w:val="21"/>
                <w:szCs w:val="21"/>
              </w:rPr>
              <w:t>化验室</w:t>
            </w:r>
          </w:p>
        </w:tc>
        <w:tc>
          <w:tcPr>
            <w:tcW w:w="1177" w:type="dxa"/>
            <w:vAlign w:val="center"/>
          </w:tcPr>
          <w:p>
            <w:pPr>
              <w:adjustRightInd w:val="0"/>
              <w:snapToGrid w:val="0"/>
              <w:jc w:val="center"/>
              <w:rPr>
                <w:color w:val="auto"/>
                <w:sz w:val="21"/>
                <w:szCs w:val="21"/>
              </w:rPr>
            </w:pPr>
            <w:r>
              <w:rPr>
                <w:color w:val="auto"/>
                <w:sz w:val="21"/>
                <w:szCs w:val="21"/>
              </w:rPr>
              <w:t>废化学试剂</w:t>
            </w:r>
          </w:p>
        </w:tc>
        <w:tc>
          <w:tcPr>
            <w:tcW w:w="2472" w:type="dxa"/>
            <w:vAlign w:val="center"/>
          </w:tcPr>
          <w:p>
            <w:pPr>
              <w:adjustRightInd w:val="0"/>
              <w:snapToGrid w:val="0"/>
              <w:jc w:val="center"/>
              <w:rPr>
                <w:color w:val="auto"/>
                <w:sz w:val="21"/>
                <w:szCs w:val="21"/>
              </w:rPr>
            </w:pPr>
            <w:r>
              <w:rPr>
                <w:color w:val="auto"/>
                <w:sz w:val="21"/>
                <w:szCs w:val="21"/>
              </w:rPr>
              <w:t>0.5t/a</w:t>
            </w:r>
          </w:p>
        </w:tc>
        <w:tc>
          <w:tcPr>
            <w:tcW w:w="2715" w:type="dxa"/>
            <w:vAlign w:val="center"/>
          </w:tcPr>
          <w:p>
            <w:pPr>
              <w:adjustRightInd w:val="0"/>
              <w:snapToGrid w:val="0"/>
              <w:jc w:val="center"/>
              <w:rPr>
                <w:color w:val="auto"/>
                <w:sz w:val="21"/>
                <w:szCs w:val="21"/>
              </w:rPr>
            </w:pPr>
            <w:r>
              <w:rPr>
                <w:color w:val="auto"/>
                <w:sz w:val="21"/>
                <w:szCs w:val="21"/>
              </w:rPr>
              <w:t>定期交由有资质单位进行处理</w:t>
            </w:r>
          </w:p>
        </w:tc>
        <w:tc>
          <w:tcPr>
            <w:tcW w:w="2253" w:type="dxa"/>
            <w:vAlign w:val="center"/>
          </w:tcPr>
          <w:p>
            <w:pPr>
              <w:adjustRightInd w:val="0"/>
              <w:snapToGrid w:val="0"/>
              <w:jc w:val="center"/>
              <w:rPr>
                <w:color w:val="auto"/>
                <w:sz w:val="21"/>
                <w:szCs w:val="21"/>
              </w:rPr>
            </w:pPr>
            <w:r>
              <w:rPr>
                <w:color w:val="auto"/>
                <w:sz w:val="21"/>
                <w:szCs w:val="21"/>
              </w:rPr>
              <w:t>0</w:t>
            </w:r>
          </w:p>
        </w:tc>
        <w:tc>
          <w:tcPr>
            <w:tcW w:w="3322" w:type="dxa"/>
            <w:vAlign w:val="center"/>
          </w:tcPr>
          <w:p>
            <w:pPr>
              <w:adjustRightInd w:val="0"/>
              <w:snapToGrid w:val="0"/>
              <w:jc w:val="center"/>
              <w:rPr>
                <w:color w:val="auto"/>
                <w:sz w:val="21"/>
                <w:szCs w:val="21"/>
              </w:rPr>
            </w:pPr>
            <w:r>
              <w:rPr>
                <w:color w:val="auto"/>
                <w:sz w:val="21"/>
                <w:szCs w:val="21"/>
              </w:rPr>
              <w:t>《危险废物贮存污染控制标准》（GB18597-2001）及2013 年修改单</w:t>
            </w:r>
          </w:p>
        </w:tc>
      </w:tr>
    </w:tbl>
    <w:p>
      <w:pPr>
        <w:pStyle w:val="3"/>
        <w:spacing w:line="240" w:lineRule="auto"/>
        <w:jc w:val="center"/>
        <w:rPr>
          <w:b w:val="0"/>
          <w:color w:val="auto"/>
        </w:rPr>
        <w:sectPr>
          <w:pgSz w:w="16838" w:h="11906" w:orient="landscape"/>
          <w:pgMar w:top="1797" w:right="1440" w:bottom="1797" w:left="1440" w:header="851" w:footer="992" w:gutter="0"/>
          <w:cols w:space="425" w:num="1"/>
          <w:docGrid w:type="lines" w:linePitch="312" w:charSpace="0"/>
        </w:sectPr>
      </w:pPr>
    </w:p>
    <w:p>
      <w:pPr>
        <w:pStyle w:val="3"/>
        <w:rPr>
          <w:color w:val="auto"/>
        </w:rPr>
      </w:pPr>
      <w:bookmarkStart w:id="101" w:name="_Toc10821"/>
      <w:bookmarkStart w:id="102" w:name="_Toc26276831"/>
      <w:r>
        <w:rPr>
          <w:rFonts w:hint="eastAsia"/>
          <w:color w:val="auto"/>
        </w:rPr>
        <w:t>3.8清洁生产分析</w:t>
      </w:r>
      <w:bookmarkEnd w:id="101"/>
      <w:bookmarkEnd w:id="102"/>
    </w:p>
    <w:p>
      <w:pPr>
        <w:spacing w:line="360" w:lineRule="auto"/>
        <w:ind w:firstLine="480" w:firstLineChars="200"/>
        <w:rPr>
          <w:color w:val="auto"/>
          <w:sz w:val="24"/>
          <w:szCs w:val="24"/>
        </w:rPr>
      </w:pPr>
      <w:r>
        <w:rPr>
          <w:rFonts w:hint="eastAsia"/>
          <w:color w:val="auto"/>
          <w:sz w:val="24"/>
          <w:szCs w:val="24"/>
        </w:rPr>
        <w:t>实行清洁生产，走可持续发展的道路，是企业污染防治的基本原则。清洁生产是将整体预防的环境战略持续应用于生产过程、产品和服务中，以期增加生产效率并减少对社会和环境的风险。其实质是生产过程中，坚持采用新工艺、新技术，通过生产全过程的控制和资源、能源的合理配置，并尽可能采用环保型生产设备及原料，最大限度地把原料转化为产品，实现经济和环境保护的协调发展。</w:t>
      </w:r>
    </w:p>
    <w:p>
      <w:pPr>
        <w:spacing w:line="360" w:lineRule="auto"/>
        <w:ind w:firstLine="480" w:firstLineChars="200"/>
        <w:rPr>
          <w:color w:val="auto"/>
          <w:sz w:val="24"/>
          <w:szCs w:val="24"/>
        </w:rPr>
      </w:pPr>
      <w:r>
        <w:rPr>
          <w:rFonts w:hint="eastAsia"/>
          <w:color w:val="auto"/>
          <w:sz w:val="24"/>
          <w:szCs w:val="24"/>
        </w:rPr>
        <w:t>本项目建成后，削减污染物排放，对保护水体环境起到积极作用，环境效益显著。结合项目为城市污水治理环保工程特点，本环评从工程采用的工艺路线先进性、能耗、二次污染防治等方面分析项目的清洁生产水平。</w:t>
      </w:r>
    </w:p>
    <w:p>
      <w:pPr>
        <w:pStyle w:val="4"/>
        <w:rPr>
          <w:color w:val="auto"/>
        </w:rPr>
      </w:pPr>
      <w:bookmarkStart w:id="103" w:name="_Toc26276832"/>
      <w:r>
        <w:rPr>
          <w:rFonts w:hint="eastAsia"/>
          <w:color w:val="auto"/>
        </w:rPr>
        <w:t>3.8.1工艺先进、适用</w:t>
      </w:r>
      <w:bookmarkEnd w:id="103"/>
    </w:p>
    <w:p>
      <w:pPr>
        <w:spacing w:line="360" w:lineRule="auto"/>
        <w:ind w:firstLine="482" w:firstLineChars="200"/>
        <w:rPr>
          <w:b/>
          <w:color w:val="auto"/>
          <w:sz w:val="24"/>
          <w:szCs w:val="24"/>
        </w:rPr>
      </w:pPr>
      <w:r>
        <w:rPr>
          <w:rFonts w:hint="eastAsia"/>
          <w:b/>
          <w:color w:val="auto"/>
          <w:sz w:val="24"/>
          <w:szCs w:val="24"/>
        </w:rPr>
        <w:t>1、污水处理工艺</w:t>
      </w:r>
    </w:p>
    <w:p>
      <w:pPr>
        <w:spacing w:line="360" w:lineRule="auto"/>
        <w:ind w:firstLine="480" w:firstLineChars="200"/>
        <w:rPr>
          <w:color w:val="auto"/>
          <w:sz w:val="24"/>
          <w:szCs w:val="24"/>
        </w:rPr>
      </w:pPr>
      <w:r>
        <w:rPr>
          <w:rFonts w:hint="eastAsia"/>
          <w:color w:val="auto"/>
          <w:sz w:val="24"/>
          <w:szCs w:val="24"/>
        </w:rPr>
        <w:t>本项目选用的污水处理工艺为“曝气沉砂池+应急沉淀池+倒置AAO+曝气生物滤池+高效沉淀池+转盘滤池+消毒接触池”，符合五华河东绿色生态工业小镇南部分区及五华河东绿色生态工业小镇南区东边村庄的污水特征，出水水质稳定、工艺可靠可行，符合国家《城市污水处理及污染防治技术政策》（建城〔2000〕124 号文）中工艺选择的要求。</w:t>
      </w:r>
    </w:p>
    <w:p>
      <w:pPr>
        <w:spacing w:line="360" w:lineRule="auto"/>
        <w:ind w:firstLine="482" w:firstLineChars="200"/>
        <w:rPr>
          <w:b/>
          <w:color w:val="auto"/>
          <w:sz w:val="24"/>
          <w:szCs w:val="24"/>
        </w:rPr>
      </w:pPr>
      <w:r>
        <w:rPr>
          <w:rFonts w:hint="eastAsia"/>
          <w:b/>
          <w:color w:val="auto"/>
          <w:sz w:val="24"/>
          <w:szCs w:val="24"/>
        </w:rPr>
        <w:t>2、出水消毒工艺</w:t>
      </w:r>
    </w:p>
    <w:p>
      <w:pPr>
        <w:spacing w:line="360" w:lineRule="auto"/>
        <w:ind w:firstLine="480" w:firstLineChars="200"/>
        <w:rPr>
          <w:color w:val="auto"/>
          <w:sz w:val="24"/>
          <w:szCs w:val="24"/>
        </w:rPr>
      </w:pPr>
      <w:r>
        <w:rPr>
          <w:rFonts w:hint="eastAsia"/>
          <w:color w:val="auto"/>
          <w:sz w:val="24"/>
          <w:szCs w:val="24"/>
        </w:rPr>
        <w:t>本工程采用次氯酸钠消毒，与其他消毒工艺相比，该工艺主要优点是节省占地、使用安全、操作管理、投资节省，在环境保护和化工等方面广泛应用。由于本工程处理的废水水质存在不确定性，为保证出水水质达标，选用次氯酸钠消毒方式，从环境保护的角度来说，该工艺更加符合清洁生产的要求。</w:t>
      </w:r>
    </w:p>
    <w:p>
      <w:pPr>
        <w:spacing w:line="360" w:lineRule="auto"/>
        <w:ind w:firstLine="482" w:firstLineChars="200"/>
        <w:rPr>
          <w:b/>
          <w:color w:val="auto"/>
          <w:sz w:val="24"/>
          <w:szCs w:val="24"/>
        </w:rPr>
      </w:pPr>
      <w:r>
        <w:rPr>
          <w:rFonts w:hint="eastAsia"/>
          <w:b/>
          <w:color w:val="auto"/>
          <w:sz w:val="24"/>
          <w:szCs w:val="24"/>
        </w:rPr>
        <w:t>3、污泥处理工艺</w:t>
      </w:r>
    </w:p>
    <w:p>
      <w:pPr>
        <w:spacing w:line="360" w:lineRule="auto"/>
        <w:ind w:firstLine="480" w:firstLineChars="200"/>
        <w:rPr>
          <w:color w:val="auto"/>
        </w:rPr>
      </w:pPr>
      <w:r>
        <w:rPr>
          <w:rFonts w:hint="eastAsia"/>
          <w:color w:val="auto"/>
          <w:sz w:val="24"/>
          <w:szCs w:val="24"/>
        </w:rPr>
        <w:t>本项目污泥经脱水后，暂存于带盖的污泥贮池中，按《关于污（废）水处理设施产生的污泥危险特性鉴别有关意见的函》（环函〔2010〕129 号）进行管理和处置。目前，五华河东绿色生态工业小镇还处于招商引资阶段，后期接纳的工业废水具有不确定性，因此本项目污泥经脱水后应先进行危险特性鉴别，以确定最终处置去向，若属于危险废物，应与有资质单位签定处置协议，进行无害化处置；若属于一般固废，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p>
      <w:pPr>
        <w:pStyle w:val="4"/>
        <w:rPr>
          <w:color w:val="auto"/>
        </w:rPr>
      </w:pPr>
      <w:bookmarkStart w:id="104" w:name="_Toc26276833"/>
      <w:r>
        <w:rPr>
          <w:rFonts w:hint="eastAsia"/>
          <w:color w:val="auto"/>
        </w:rPr>
        <w:t>3.8.2设备成熟、先进</w:t>
      </w:r>
      <w:bookmarkEnd w:id="104"/>
    </w:p>
    <w:p>
      <w:pPr>
        <w:spacing w:line="360" w:lineRule="auto"/>
        <w:ind w:firstLine="482" w:firstLineChars="200"/>
        <w:rPr>
          <w:b/>
          <w:color w:val="auto"/>
          <w:sz w:val="24"/>
          <w:szCs w:val="24"/>
        </w:rPr>
      </w:pPr>
      <w:r>
        <w:rPr>
          <w:rFonts w:hint="eastAsia"/>
          <w:b/>
          <w:color w:val="auto"/>
          <w:sz w:val="24"/>
          <w:szCs w:val="24"/>
        </w:rPr>
        <w:t>1、泵</w:t>
      </w:r>
    </w:p>
    <w:p>
      <w:pPr>
        <w:spacing w:line="360" w:lineRule="auto"/>
        <w:ind w:firstLine="480" w:firstLineChars="200"/>
        <w:rPr>
          <w:color w:val="auto"/>
          <w:sz w:val="24"/>
          <w:szCs w:val="24"/>
        </w:rPr>
      </w:pPr>
      <w:r>
        <w:rPr>
          <w:rFonts w:hint="eastAsia"/>
          <w:color w:val="auto"/>
          <w:sz w:val="24"/>
          <w:szCs w:val="24"/>
        </w:rPr>
        <w:t>优选水泵/污泥泵。在工矿企业中，水泵/污泥泵（风机）类属于通用机械，耗电量多（用电量约占总用电量的 40%~45%）、并且节电潜力巨大（目前企业广泛应用的风机水泵/污泥泵类机械设备的额定效率大都低于70%）。</w:t>
      </w:r>
    </w:p>
    <w:p>
      <w:pPr>
        <w:spacing w:line="360" w:lineRule="auto"/>
        <w:ind w:firstLine="480" w:firstLineChars="200"/>
        <w:rPr>
          <w:color w:val="auto"/>
          <w:sz w:val="24"/>
          <w:szCs w:val="24"/>
        </w:rPr>
      </w:pPr>
      <w:r>
        <w:rPr>
          <w:rFonts w:hint="eastAsia"/>
          <w:color w:val="auto"/>
          <w:sz w:val="24"/>
          <w:szCs w:val="24"/>
        </w:rPr>
        <w:t>流量与转速成正比，功率与转速立方成正比，当流量需要改变时，如果采用改变风门和阀门开度进行控制，效率会很低，而且一部分能量会损失在风门和阀门上；如采用转速控制，当流量需要减少时，所需的功率近似按流量的 3 次方大幅度下降。</w:t>
      </w:r>
    </w:p>
    <w:p>
      <w:pPr>
        <w:spacing w:line="360" w:lineRule="auto"/>
        <w:ind w:firstLine="480" w:firstLineChars="200"/>
        <w:rPr>
          <w:color w:val="auto"/>
          <w:sz w:val="24"/>
          <w:szCs w:val="24"/>
        </w:rPr>
      </w:pPr>
      <w:r>
        <w:rPr>
          <w:rFonts w:hint="eastAsia"/>
          <w:color w:val="auto"/>
          <w:sz w:val="24"/>
          <w:szCs w:val="24"/>
        </w:rPr>
        <w:t>工作水泵/污泥泵的型号及台数应根据逐时、逐日和逐季水量变化、水压要求、水质情况、调节水池大小、机组的效率和功率因素等，综合考虑确定。当供水量变化大且水泵/污泥泵台数较少时，应考虑大小规格搭配，但型号不宜过多，电机的电压宜一致。</w:t>
      </w:r>
    </w:p>
    <w:p>
      <w:pPr>
        <w:spacing w:line="360" w:lineRule="auto"/>
        <w:ind w:firstLine="480" w:firstLineChars="200"/>
        <w:rPr>
          <w:color w:val="auto"/>
          <w:sz w:val="24"/>
          <w:szCs w:val="24"/>
        </w:rPr>
      </w:pPr>
      <w:r>
        <w:rPr>
          <w:rFonts w:hint="eastAsia"/>
          <w:color w:val="auto"/>
          <w:sz w:val="24"/>
          <w:szCs w:val="24"/>
        </w:rPr>
        <w:t>水泵/污泥泵的选择应符合节能要求。当水量和水压变化较大时，经过技术经济比较，可采用机组调速、更换叶轮、调节叶片角度等措施。</w:t>
      </w:r>
    </w:p>
    <w:p>
      <w:pPr>
        <w:spacing w:line="360" w:lineRule="auto"/>
        <w:ind w:firstLine="480" w:firstLineChars="200"/>
        <w:rPr>
          <w:color w:val="auto"/>
          <w:sz w:val="24"/>
          <w:szCs w:val="24"/>
        </w:rPr>
      </w:pPr>
      <w:r>
        <w:rPr>
          <w:rFonts w:hint="eastAsia"/>
          <w:color w:val="auto"/>
          <w:sz w:val="24"/>
          <w:szCs w:val="24"/>
        </w:rPr>
        <w:t>变频技术应用：当流量在 90%~100%范围内变化时，可以通过风门、阀门、阀门开度等调节。超出该范围时可采用调速装置进行节能。由于每天的污泥量变化幅度大，采用变频调速技术可以使水泵/污泥泵始终运行在适宜的工况点，避免小流量时水泵/污泥泵频繁启动。</w:t>
      </w:r>
    </w:p>
    <w:p>
      <w:pPr>
        <w:spacing w:line="360" w:lineRule="auto"/>
        <w:ind w:firstLine="482" w:firstLineChars="200"/>
        <w:rPr>
          <w:b/>
          <w:color w:val="auto"/>
          <w:sz w:val="24"/>
          <w:szCs w:val="24"/>
        </w:rPr>
      </w:pPr>
      <w:r>
        <w:rPr>
          <w:rFonts w:hint="eastAsia"/>
          <w:b/>
          <w:color w:val="auto"/>
          <w:sz w:val="24"/>
          <w:szCs w:val="24"/>
        </w:rPr>
        <w:t>2、管道及输送系统</w:t>
      </w:r>
    </w:p>
    <w:p>
      <w:pPr>
        <w:spacing w:line="360" w:lineRule="auto"/>
        <w:ind w:firstLine="480" w:firstLineChars="200"/>
        <w:rPr>
          <w:color w:val="auto"/>
          <w:sz w:val="24"/>
          <w:szCs w:val="24"/>
        </w:rPr>
      </w:pPr>
      <w:r>
        <w:rPr>
          <w:rFonts w:hint="eastAsia"/>
          <w:color w:val="auto"/>
          <w:sz w:val="24"/>
          <w:szCs w:val="24"/>
        </w:rPr>
        <w:t>采用大口径管道，提高系统调蓄削峰能力，减小输送规模；采用粗糙系数小的新型管材，减少管内水头损失，减小系统能耗，降低泵提升扬程。</w:t>
      </w:r>
    </w:p>
    <w:p>
      <w:pPr>
        <w:spacing w:line="360" w:lineRule="auto"/>
        <w:ind w:firstLine="482" w:firstLineChars="200"/>
        <w:rPr>
          <w:b/>
          <w:color w:val="auto"/>
          <w:sz w:val="24"/>
          <w:szCs w:val="24"/>
        </w:rPr>
      </w:pPr>
      <w:r>
        <w:rPr>
          <w:rFonts w:hint="eastAsia"/>
          <w:b/>
          <w:color w:val="auto"/>
          <w:sz w:val="24"/>
          <w:szCs w:val="24"/>
        </w:rPr>
        <w:t>3、水质净化厂</w:t>
      </w:r>
    </w:p>
    <w:p>
      <w:pPr>
        <w:spacing w:line="360" w:lineRule="auto"/>
        <w:ind w:firstLine="480" w:firstLineChars="200"/>
        <w:rPr>
          <w:color w:val="auto"/>
          <w:sz w:val="24"/>
          <w:szCs w:val="24"/>
        </w:rPr>
      </w:pPr>
      <w:r>
        <w:rPr>
          <w:rFonts w:hint="eastAsia"/>
          <w:color w:val="auto"/>
          <w:sz w:val="24"/>
          <w:szCs w:val="24"/>
        </w:rPr>
        <w:t>厂内管道采用同程布置，从而使不同处理线总水头损失相同，节省提升水头达到节能目的。</w:t>
      </w:r>
    </w:p>
    <w:p>
      <w:pPr>
        <w:spacing w:line="360" w:lineRule="auto"/>
        <w:ind w:firstLine="482" w:firstLineChars="200"/>
        <w:rPr>
          <w:b/>
          <w:color w:val="auto"/>
          <w:sz w:val="24"/>
          <w:szCs w:val="24"/>
        </w:rPr>
      </w:pPr>
      <w:r>
        <w:rPr>
          <w:rFonts w:hint="eastAsia"/>
          <w:b/>
          <w:color w:val="auto"/>
          <w:sz w:val="24"/>
          <w:szCs w:val="24"/>
        </w:rPr>
        <w:t>4 、采用多通道超声波计量方式</w:t>
      </w:r>
    </w:p>
    <w:p>
      <w:pPr>
        <w:spacing w:line="360" w:lineRule="auto"/>
        <w:ind w:firstLine="480" w:firstLineChars="200"/>
        <w:rPr>
          <w:color w:val="auto"/>
          <w:sz w:val="24"/>
          <w:szCs w:val="24"/>
        </w:rPr>
      </w:pPr>
      <w:r>
        <w:rPr>
          <w:rFonts w:hint="eastAsia"/>
          <w:color w:val="auto"/>
          <w:sz w:val="24"/>
          <w:szCs w:val="24"/>
        </w:rPr>
        <w:t>通常采用电磁流量计计量方式，为了保证精度需要局部缩小管径加大流速，水头损失大，能耗较高。采用多通道超声波计量方式可直接装在管道外，通过测定不同断面的流速积算出流量，没有管内阻力，可以减少0.3~0.5m提升能耗。</w:t>
      </w:r>
    </w:p>
    <w:p>
      <w:pPr>
        <w:pStyle w:val="4"/>
        <w:rPr>
          <w:color w:val="auto"/>
        </w:rPr>
      </w:pPr>
      <w:bookmarkStart w:id="105" w:name="_Toc26276834"/>
      <w:r>
        <w:rPr>
          <w:rFonts w:hint="eastAsia"/>
          <w:color w:val="auto"/>
        </w:rPr>
        <w:t>3.8.3有效的二次污染防治措施</w:t>
      </w:r>
      <w:bookmarkEnd w:id="105"/>
    </w:p>
    <w:p>
      <w:pPr>
        <w:spacing w:line="360" w:lineRule="auto"/>
        <w:ind w:firstLine="482" w:firstLineChars="200"/>
        <w:rPr>
          <w:b/>
          <w:color w:val="auto"/>
          <w:sz w:val="24"/>
          <w:szCs w:val="24"/>
        </w:rPr>
      </w:pPr>
      <w:r>
        <w:rPr>
          <w:rFonts w:hint="eastAsia"/>
          <w:b/>
          <w:color w:val="auto"/>
          <w:sz w:val="24"/>
          <w:szCs w:val="24"/>
        </w:rPr>
        <w:t>1、固体废弃物</w:t>
      </w:r>
    </w:p>
    <w:p>
      <w:pPr>
        <w:spacing w:line="360" w:lineRule="auto"/>
        <w:ind w:firstLine="480" w:firstLineChars="200"/>
        <w:rPr>
          <w:color w:val="auto"/>
          <w:sz w:val="24"/>
          <w:szCs w:val="24"/>
        </w:rPr>
      </w:pPr>
      <w:r>
        <w:rPr>
          <w:rFonts w:hint="eastAsia"/>
          <w:color w:val="auto"/>
          <w:sz w:val="24"/>
          <w:szCs w:val="24"/>
        </w:rPr>
        <w:t>分类收集。在厂内设暂存设施，并作防雨、防渗、防流失处理，日产日清，尽量做到综合利用，实现固体废弃物的减量化和无害化。</w:t>
      </w:r>
    </w:p>
    <w:p>
      <w:pPr>
        <w:spacing w:line="360" w:lineRule="auto"/>
        <w:ind w:firstLine="482" w:firstLineChars="200"/>
        <w:rPr>
          <w:b/>
          <w:color w:val="auto"/>
          <w:sz w:val="24"/>
          <w:szCs w:val="24"/>
        </w:rPr>
      </w:pPr>
      <w:r>
        <w:rPr>
          <w:rFonts w:hint="eastAsia"/>
          <w:b/>
          <w:color w:val="auto"/>
          <w:sz w:val="24"/>
          <w:szCs w:val="24"/>
        </w:rPr>
        <w:t>2、废水</w:t>
      </w:r>
    </w:p>
    <w:p>
      <w:pPr>
        <w:spacing w:line="360" w:lineRule="auto"/>
        <w:ind w:firstLine="480" w:firstLineChars="200"/>
        <w:rPr>
          <w:color w:val="auto"/>
          <w:sz w:val="24"/>
          <w:szCs w:val="24"/>
        </w:rPr>
      </w:pPr>
      <w:r>
        <w:rPr>
          <w:rFonts w:hint="eastAsia"/>
          <w:color w:val="auto"/>
          <w:sz w:val="24"/>
          <w:szCs w:val="24"/>
        </w:rPr>
        <w:t>员工生活污水与园区废水一同进入本项目污水处理设施处理，出水达《地表水环境质量标准》（GB3838-2002）准Ⅳ类标准（即SS、粪大肠菌群数达到《城镇污水处理厂污染物排放标准》（GB18918-2002）中的一级A出水标准，其它主要污染指标达到地表水Ⅳ类标准，TN放宽至10mg/L）后，部分回用于水质净化厂自用、园区内城市绿化、道路清扫和冲厕，其余尾水经管道引至大嵩河达标排放。</w:t>
      </w:r>
    </w:p>
    <w:p>
      <w:pPr>
        <w:spacing w:line="360" w:lineRule="auto"/>
        <w:ind w:firstLine="482" w:firstLineChars="200"/>
        <w:rPr>
          <w:b/>
          <w:color w:val="auto"/>
          <w:sz w:val="24"/>
          <w:szCs w:val="24"/>
        </w:rPr>
      </w:pPr>
      <w:r>
        <w:rPr>
          <w:rFonts w:hint="eastAsia"/>
          <w:b/>
          <w:color w:val="auto"/>
          <w:sz w:val="24"/>
          <w:szCs w:val="24"/>
        </w:rPr>
        <w:t>3、恶臭</w:t>
      </w:r>
    </w:p>
    <w:p>
      <w:pPr>
        <w:spacing w:line="360" w:lineRule="auto"/>
        <w:ind w:firstLine="480" w:firstLineChars="200"/>
        <w:rPr>
          <w:color w:val="auto"/>
          <w:sz w:val="24"/>
          <w:szCs w:val="24"/>
        </w:rPr>
      </w:pPr>
      <w:r>
        <w:rPr>
          <w:rFonts w:hint="eastAsia"/>
          <w:color w:val="auto"/>
          <w:sz w:val="24"/>
          <w:szCs w:val="24"/>
        </w:rPr>
        <w:t>分别在污水预处理单元及污泥脱水机房设置除臭装置，采用化学洗涤+生物滤池工艺。恶臭污染物无组织排放达到《城镇污水处理厂污染物排放标准》（</w:t>
      </w:r>
      <w:r>
        <w:rPr>
          <w:color w:val="auto"/>
          <w:sz w:val="24"/>
          <w:szCs w:val="24"/>
        </w:rPr>
        <w:t>GB18918-2002</w:t>
      </w:r>
      <w:r>
        <w:rPr>
          <w:rFonts w:hint="eastAsia"/>
          <w:color w:val="auto"/>
          <w:sz w:val="24"/>
          <w:szCs w:val="24"/>
        </w:rPr>
        <w:t>）及其修改单中表</w:t>
      </w:r>
      <w:r>
        <w:rPr>
          <w:color w:val="auto"/>
          <w:sz w:val="24"/>
          <w:szCs w:val="24"/>
        </w:rPr>
        <w:t>4“</w:t>
      </w:r>
      <w:r>
        <w:rPr>
          <w:rFonts w:hint="eastAsia"/>
          <w:color w:val="auto"/>
          <w:sz w:val="24"/>
          <w:szCs w:val="24"/>
        </w:rPr>
        <w:t>厂界（防护带边缘）废气排放最高允许浓度</w:t>
      </w:r>
      <w:r>
        <w:rPr>
          <w:color w:val="auto"/>
          <w:sz w:val="24"/>
          <w:szCs w:val="24"/>
        </w:rPr>
        <w:t>”</w:t>
      </w:r>
      <w:r>
        <w:rPr>
          <w:rFonts w:hint="eastAsia"/>
          <w:color w:val="auto"/>
          <w:sz w:val="24"/>
          <w:szCs w:val="24"/>
        </w:rPr>
        <w:t>二级标准限值；有组织排放执行《恶臭污染物排放标准》（</w:t>
      </w:r>
      <w:r>
        <w:rPr>
          <w:color w:val="auto"/>
          <w:sz w:val="24"/>
          <w:szCs w:val="24"/>
        </w:rPr>
        <w:t>GB 14554-93</w:t>
      </w:r>
      <w:r>
        <w:rPr>
          <w:rFonts w:hint="eastAsia"/>
          <w:color w:val="auto"/>
          <w:sz w:val="24"/>
          <w:szCs w:val="24"/>
        </w:rPr>
        <w:t>）表</w:t>
      </w:r>
      <w:r>
        <w:rPr>
          <w:color w:val="auto"/>
          <w:sz w:val="24"/>
          <w:szCs w:val="24"/>
        </w:rPr>
        <w:t>2</w:t>
      </w:r>
      <w:r>
        <w:rPr>
          <w:rFonts w:hint="eastAsia"/>
          <w:color w:val="auto"/>
          <w:sz w:val="24"/>
          <w:szCs w:val="24"/>
        </w:rPr>
        <w:t>排放标准限值。</w:t>
      </w:r>
    </w:p>
    <w:p>
      <w:pPr>
        <w:spacing w:line="360" w:lineRule="auto"/>
        <w:ind w:firstLine="482" w:firstLineChars="200"/>
        <w:rPr>
          <w:b/>
          <w:color w:val="auto"/>
          <w:sz w:val="24"/>
          <w:szCs w:val="24"/>
        </w:rPr>
      </w:pPr>
      <w:r>
        <w:rPr>
          <w:rFonts w:hint="eastAsia"/>
          <w:b/>
          <w:color w:val="auto"/>
          <w:sz w:val="24"/>
          <w:szCs w:val="24"/>
        </w:rPr>
        <w:t>4、噪声</w:t>
      </w:r>
    </w:p>
    <w:p>
      <w:pPr>
        <w:spacing w:line="360" w:lineRule="auto"/>
        <w:ind w:firstLine="480" w:firstLineChars="200"/>
        <w:rPr>
          <w:color w:val="auto"/>
          <w:sz w:val="24"/>
          <w:szCs w:val="24"/>
        </w:rPr>
      </w:pPr>
      <w:r>
        <w:rPr>
          <w:rFonts w:hint="eastAsia"/>
          <w:color w:val="auto"/>
          <w:sz w:val="24"/>
          <w:szCs w:val="24"/>
        </w:rPr>
        <w:t>对主要噪声源如污水提升泵、水泵房、鼓风机和污泥脱水机等均采取了隔声、减振等措施，可使厂界噪声满足《工业企业厂界环境噪声排放标准》(GB12348-2008)2类标准。</w:t>
      </w:r>
    </w:p>
    <w:p>
      <w:pPr>
        <w:pStyle w:val="4"/>
        <w:rPr>
          <w:color w:val="auto"/>
        </w:rPr>
      </w:pPr>
      <w:bookmarkStart w:id="106" w:name="_Toc26276835"/>
      <w:r>
        <w:rPr>
          <w:rFonts w:hint="eastAsia"/>
          <w:color w:val="auto"/>
        </w:rPr>
        <w:t>3.8.4环境管理要求</w:t>
      </w:r>
      <w:bookmarkEnd w:id="106"/>
    </w:p>
    <w:p>
      <w:pPr>
        <w:spacing w:line="360" w:lineRule="auto"/>
        <w:ind w:firstLine="480" w:firstLineChars="200"/>
        <w:rPr>
          <w:color w:val="auto"/>
          <w:sz w:val="24"/>
          <w:szCs w:val="24"/>
        </w:rPr>
      </w:pPr>
      <w:r>
        <w:rPr>
          <w:rFonts w:hint="eastAsia"/>
          <w:color w:val="auto"/>
          <w:sz w:val="24"/>
          <w:szCs w:val="24"/>
        </w:rPr>
        <w:t>本项目的环境管理从六个方面进行，具体内容见下表。</w:t>
      </w:r>
    </w:p>
    <w:p>
      <w:pPr>
        <w:spacing w:line="360" w:lineRule="auto"/>
        <w:jc w:val="center"/>
        <w:rPr>
          <w:b/>
          <w:color w:val="auto"/>
          <w:sz w:val="24"/>
          <w:szCs w:val="24"/>
        </w:rPr>
      </w:pPr>
      <w:r>
        <w:rPr>
          <w:rFonts w:hint="eastAsia"/>
          <w:b/>
          <w:color w:val="auto"/>
          <w:sz w:val="24"/>
          <w:szCs w:val="24"/>
        </w:rPr>
        <w:t>表3-8-1   环境管理要求</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jc w:val="center"/>
              <w:rPr>
                <w:color w:val="auto"/>
                <w:sz w:val="21"/>
                <w:szCs w:val="21"/>
              </w:rPr>
            </w:pPr>
            <w:r>
              <w:rPr>
                <w:rFonts w:hint="eastAsia"/>
                <w:color w:val="auto"/>
                <w:sz w:val="21"/>
                <w:szCs w:val="21"/>
              </w:rPr>
              <w:t>环境法律法规标准</w:t>
            </w:r>
          </w:p>
        </w:tc>
        <w:tc>
          <w:tcPr>
            <w:tcW w:w="6571" w:type="dxa"/>
            <w:vAlign w:val="center"/>
          </w:tcPr>
          <w:p>
            <w:pPr>
              <w:jc w:val="center"/>
              <w:rPr>
                <w:color w:val="auto"/>
                <w:sz w:val="21"/>
                <w:szCs w:val="21"/>
              </w:rPr>
            </w:pPr>
            <w:r>
              <w:rPr>
                <w:rFonts w:hint="eastAsia"/>
                <w:color w:val="auto"/>
                <w:sz w:val="21"/>
                <w:szCs w:val="21"/>
              </w:rPr>
              <w:t>符合国家和地方有关环境法律、法规，污染物排放达到国家和地方排放标准、总量控制和排污许可证管理要求。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jc w:val="center"/>
              <w:rPr>
                <w:color w:val="auto"/>
                <w:sz w:val="21"/>
                <w:szCs w:val="21"/>
              </w:rPr>
            </w:pPr>
            <w:r>
              <w:rPr>
                <w:rFonts w:hint="eastAsia"/>
                <w:color w:val="auto"/>
                <w:sz w:val="21"/>
                <w:szCs w:val="21"/>
              </w:rPr>
              <w:t>环境审核</w:t>
            </w:r>
          </w:p>
        </w:tc>
        <w:tc>
          <w:tcPr>
            <w:tcW w:w="6571" w:type="dxa"/>
            <w:vAlign w:val="center"/>
          </w:tcPr>
          <w:p>
            <w:pPr>
              <w:jc w:val="center"/>
              <w:rPr>
                <w:color w:val="auto"/>
                <w:sz w:val="21"/>
                <w:szCs w:val="21"/>
              </w:rPr>
            </w:pPr>
            <w:r>
              <w:rPr>
                <w:rFonts w:hint="eastAsia"/>
                <w:color w:val="auto"/>
                <w:sz w:val="21"/>
                <w:szCs w:val="21"/>
              </w:rPr>
              <w:t>环境管理制度健全，原始记录及数据齐全有效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jc w:val="center"/>
              <w:rPr>
                <w:color w:val="auto"/>
                <w:sz w:val="21"/>
                <w:szCs w:val="21"/>
              </w:rPr>
            </w:pPr>
            <w:r>
              <w:rPr>
                <w:rFonts w:hint="eastAsia"/>
                <w:color w:val="auto"/>
                <w:sz w:val="21"/>
                <w:szCs w:val="21"/>
              </w:rPr>
              <w:t>废物处理管理</w:t>
            </w:r>
          </w:p>
        </w:tc>
        <w:tc>
          <w:tcPr>
            <w:tcW w:w="6571" w:type="dxa"/>
            <w:vAlign w:val="center"/>
          </w:tcPr>
          <w:p>
            <w:pPr>
              <w:jc w:val="center"/>
              <w:rPr>
                <w:color w:val="auto"/>
                <w:sz w:val="21"/>
                <w:szCs w:val="21"/>
              </w:rPr>
            </w:pPr>
            <w:r>
              <w:rPr>
                <w:rFonts w:hint="eastAsia"/>
                <w:color w:val="auto"/>
                <w:sz w:val="21"/>
                <w:szCs w:val="21"/>
              </w:rPr>
              <w:t>废水处理设施正常运行，排污口规范；污泥及时清运；栅渣、生活垃圾定点存放，袋装后交环卫部门统一处置；加强厂区内及周边的绿化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vAlign w:val="center"/>
          </w:tcPr>
          <w:p>
            <w:pPr>
              <w:jc w:val="center"/>
              <w:rPr>
                <w:color w:val="auto"/>
                <w:sz w:val="21"/>
                <w:szCs w:val="21"/>
              </w:rPr>
            </w:pPr>
            <w:r>
              <w:rPr>
                <w:rFonts w:hint="eastAsia"/>
                <w:color w:val="auto"/>
                <w:sz w:val="21"/>
                <w:szCs w:val="21"/>
              </w:rPr>
              <w:t>生产过程环境管理</w:t>
            </w:r>
          </w:p>
        </w:tc>
        <w:tc>
          <w:tcPr>
            <w:tcW w:w="6571" w:type="dxa"/>
            <w:vAlign w:val="center"/>
          </w:tcPr>
          <w:p>
            <w:pPr>
              <w:jc w:val="center"/>
              <w:rPr>
                <w:color w:val="auto"/>
                <w:sz w:val="21"/>
                <w:szCs w:val="21"/>
              </w:rPr>
            </w:pPr>
            <w:r>
              <w:rPr>
                <w:rFonts w:hint="eastAsia"/>
                <w:color w:val="auto"/>
                <w:sz w:val="21"/>
                <w:szCs w:val="21"/>
              </w:rPr>
              <w:t>生产现场环境清洁、整洁，管理有序，危险品有明显标识。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jc w:val="center"/>
              <w:rPr>
                <w:color w:val="auto"/>
                <w:sz w:val="21"/>
                <w:szCs w:val="21"/>
              </w:rPr>
            </w:pPr>
            <w:r>
              <w:rPr>
                <w:rFonts w:hint="eastAsia"/>
                <w:color w:val="auto"/>
                <w:sz w:val="21"/>
                <w:szCs w:val="21"/>
              </w:rPr>
              <w:t>相关方环境管理</w:t>
            </w:r>
          </w:p>
        </w:tc>
        <w:tc>
          <w:tcPr>
            <w:tcW w:w="6571" w:type="dxa"/>
            <w:vAlign w:val="center"/>
          </w:tcPr>
          <w:p>
            <w:pPr>
              <w:jc w:val="center"/>
              <w:rPr>
                <w:color w:val="auto"/>
                <w:sz w:val="21"/>
                <w:szCs w:val="21"/>
              </w:rPr>
            </w:pPr>
            <w:r>
              <w:rPr>
                <w:rFonts w:hint="eastAsia"/>
                <w:color w:val="auto"/>
                <w:sz w:val="21"/>
                <w:szCs w:val="21"/>
              </w:rPr>
              <w:t>购买有资质的原材料供货商的产品，对原材料供货商的产品质量、包装和运输等环节施加影响。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jc w:val="center"/>
              <w:rPr>
                <w:color w:val="auto"/>
                <w:sz w:val="21"/>
                <w:szCs w:val="21"/>
              </w:rPr>
            </w:pPr>
            <w:r>
              <w:rPr>
                <w:rFonts w:hint="eastAsia"/>
                <w:color w:val="auto"/>
                <w:sz w:val="21"/>
                <w:szCs w:val="21"/>
              </w:rPr>
              <w:t>制定和完善本单位安全生产应急预案</w:t>
            </w:r>
          </w:p>
        </w:tc>
        <w:tc>
          <w:tcPr>
            <w:tcW w:w="6571" w:type="dxa"/>
            <w:vAlign w:val="center"/>
          </w:tcPr>
          <w:p>
            <w:pPr>
              <w:jc w:val="center"/>
              <w:rPr>
                <w:color w:val="auto"/>
                <w:sz w:val="21"/>
                <w:szCs w:val="21"/>
              </w:rPr>
            </w:pPr>
            <w:r>
              <w:rPr>
                <w:rFonts w:hint="eastAsia"/>
                <w:color w:val="auto"/>
                <w:sz w:val="21"/>
                <w:szCs w:val="21"/>
              </w:rPr>
              <w:t>按照《国务院关于全面加强应急管理工作的意见》（国发〔2006〕24号）的精神，根据实际情况制定和完善本单位应急预案，明确各类突发事件的防范措施和处理程序。</w:t>
            </w:r>
          </w:p>
        </w:tc>
      </w:tr>
    </w:tbl>
    <w:p>
      <w:pPr>
        <w:pStyle w:val="4"/>
        <w:rPr>
          <w:color w:val="auto"/>
        </w:rPr>
      </w:pPr>
      <w:bookmarkStart w:id="107" w:name="_Toc26276836"/>
      <w:r>
        <w:rPr>
          <w:rFonts w:hint="eastAsia"/>
          <w:color w:val="auto"/>
        </w:rPr>
        <w:t>3.8.5清洁生产结论及建议</w:t>
      </w:r>
      <w:bookmarkEnd w:id="107"/>
    </w:p>
    <w:p>
      <w:pPr>
        <w:spacing w:line="360" w:lineRule="auto"/>
        <w:ind w:firstLine="480" w:firstLineChars="200"/>
        <w:rPr>
          <w:color w:val="auto"/>
          <w:sz w:val="24"/>
          <w:szCs w:val="24"/>
        </w:rPr>
      </w:pPr>
      <w:r>
        <w:rPr>
          <w:rFonts w:hint="eastAsia"/>
          <w:color w:val="auto"/>
          <w:sz w:val="24"/>
          <w:szCs w:val="24"/>
        </w:rPr>
        <w:t>综上所述，项目采用节能降耗的先进工艺，在力求降低物耗、能耗的同时，改善了工作环境，对污染物均采取了有效、可行的治理措施，符合清洁生产原则。同时本环评建议：</w:t>
      </w:r>
    </w:p>
    <w:p>
      <w:pPr>
        <w:spacing w:line="360" w:lineRule="auto"/>
        <w:ind w:firstLine="482" w:firstLineChars="200"/>
        <w:rPr>
          <w:b/>
          <w:color w:val="auto"/>
          <w:sz w:val="24"/>
          <w:szCs w:val="24"/>
        </w:rPr>
      </w:pPr>
      <w:r>
        <w:rPr>
          <w:rFonts w:hint="eastAsia"/>
          <w:b/>
          <w:color w:val="auto"/>
          <w:sz w:val="24"/>
          <w:szCs w:val="24"/>
        </w:rPr>
        <w:t>1、加强节能</w:t>
      </w:r>
    </w:p>
    <w:p>
      <w:pPr>
        <w:spacing w:line="360" w:lineRule="auto"/>
        <w:ind w:firstLine="480" w:firstLineChars="200"/>
        <w:rPr>
          <w:color w:val="auto"/>
          <w:sz w:val="24"/>
          <w:szCs w:val="24"/>
        </w:rPr>
      </w:pPr>
      <w:r>
        <w:rPr>
          <w:rFonts w:hint="eastAsia"/>
          <w:color w:val="auto"/>
          <w:sz w:val="24"/>
          <w:szCs w:val="24"/>
        </w:rPr>
        <w:t>评价建议提升水泵电机选用变频式，曝气系统选择先进、能耗低的设备，同时加强员工的节能意识。</w:t>
      </w:r>
    </w:p>
    <w:p>
      <w:pPr>
        <w:spacing w:line="360" w:lineRule="auto"/>
        <w:ind w:firstLine="482" w:firstLineChars="200"/>
        <w:rPr>
          <w:b/>
          <w:color w:val="auto"/>
          <w:sz w:val="24"/>
          <w:szCs w:val="24"/>
        </w:rPr>
      </w:pPr>
      <w:r>
        <w:rPr>
          <w:rFonts w:hint="eastAsia"/>
          <w:b/>
          <w:color w:val="auto"/>
          <w:sz w:val="24"/>
          <w:szCs w:val="24"/>
        </w:rPr>
        <w:t>2、尾水回用</w:t>
      </w:r>
    </w:p>
    <w:p>
      <w:pPr>
        <w:spacing w:line="360" w:lineRule="auto"/>
        <w:ind w:firstLine="480" w:firstLineChars="200"/>
        <w:rPr>
          <w:color w:val="auto"/>
          <w:sz w:val="24"/>
          <w:szCs w:val="24"/>
        </w:rPr>
      </w:pPr>
      <w:r>
        <w:rPr>
          <w:rFonts w:hint="eastAsia"/>
          <w:color w:val="auto"/>
          <w:sz w:val="24"/>
          <w:szCs w:val="24"/>
        </w:rPr>
        <w:t>本项目水质净化厂可将少量尾水经水泵提升后提供水质净化厂自用，可用作水质净化厂绿化和冲洗用水等，</w:t>
      </w:r>
      <w:r>
        <w:rPr>
          <w:color w:val="auto"/>
          <w:sz w:val="24"/>
          <w:szCs w:val="24"/>
        </w:rPr>
        <w:t>部分回用于</w:t>
      </w:r>
      <w:r>
        <w:rPr>
          <w:rFonts w:hint="eastAsia"/>
          <w:color w:val="auto"/>
          <w:sz w:val="24"/>
          <w:szCs w:val="24"/>
        </w:rPr>
        <w:t>五华河东绿色生态工业小镇</w:t>
      </w:r>
      <w:r>
        <w:rPr>
          <w:color w:val="auto"/>
          <w:sz w:val="24"/>
          <w:szCs w:val="24"/>
        </w:rPr>
        <w:t>内</w:t>
      </w:r>
      <w:r>
        <w:rPr>
          <w:rFonts w:hint="eastAsia"/>
          <w:color w:val="auto"/>
          <w:sz w:val="24"/>
          <w:szCs w:val="24"/>
        </w:rPr>
        <w:t>城市绿化、道路清扫和冲厕。建议进一步开辟城区城市再生水回用市场，提高再生水回用率。</w:t>
      </w:r>
    </w:p>
    <w:p>
      <w:pPr>
        <w:spacing w:line="360" w:lineRule="auto"/>
        <w:ind w:firstLine="482" w:firstLineChars="200"/>
        <w:rPr>
          <w:b/>
          <w:color w:val="auto"/>
          <w:sz w:val="24"/>
          <w:szCs w:val="24"/>
        </w:rPr>
      </w:pPr>
      <w:r>
        <w:rPr>
          <w:rFonts w:hint="eastAsia"/>
          <w:b/>
          <w:color w:val="auto"/>
          <w:sz w:val="24"/>
          <w:szCs w:val="24"/>
        </w:rPr>
        <w:t>3、清洁生产管理</w:t>
      </w:r>
    </w:p>
    <w:p>
      <w:pPr>
        <w:spacing w:line="360" w:lineRule="auto"/>
        <w:ind w:firstLine="480" w:firstLineChars="200"/>
        <w:rPr>
          <w:color w:val="auto"/>
          <w:sz w:val="24"/>
          <w:szCs w:val="24"/>
        </w:rPr>
      </w:pPr>
      <w:r>
        <w:rPr>
          <w:rFonts w:hint="eastAsia"/>
          <w:color w:val="auto"/>
          <w:sz w:val="24"/>
          <w:szCs w:val="24"/>
        </w:rPr>
        <w:t>重视清洁生产审核，待工程建成投产后，制定持续清洁生产计划，按照相关要求开展清洁生产审核工作，加强环境保护管理，确保尾水持续稳定达标排放。项目建成后，应完善企业环境管理体系，明确分工，责任到人，不断提高环境管理水平，从而推动企业的清洁生产发展，提高企业的清洁生产水平。</w:t>
      </w:r>
    </w:p>
    <w:p>
      <w:pPr>
        <w:rPr>
          <w:color w:val="auto"/>
        </w:rPr>
        <w:sectPr>
          <w:pgSz w:w="11906" w:h="16838"/>
          <w:pgMar w:top="1440" w:right="1800" w:bottom="1440" w:left="1800" w:header="851" w:footer="992" w:gutter="0"/>
          <w:cols w:space="425" w:num="1"/>
          <w:docGrid w:type="lines" w:linePitch="312" w:charSpace="0"/>
        </w:sectPr>
      </w:pPr>
    </w:p>
    <w:p>
      <w:pPr>
        <w:pStyle w:val="2"/>
        <w:rPr>
          <w:color w:val="auto"/>
        </w:rPr>
      </w:pPr>
      <w:bookmarkStart w:id="108" w:name="_Toc26276837"/>
      <w:bookmarkStart w:id="109" w:name="_Toc10823"/>
      <w:r>
        <w:rPr>
          <w:rFonts w:hint="eastAsia"/>
          <w:color w:val="auto"/>
        </w:rPr>
        <w:t>4环境现状调查与评价</w:t>
      </w:r>
      <w:bookmarkEnd w:id="108"/>
      <w:bookmarkEnd w:id="109"/>
    </w:p>
    <w:p>
      <w:pPr>
        <w:pStyle w:val="3"/>
        <w:rPr>
          <w:color w:val="auto"/>
        </w:rPr>
      </w:pPr>
      <w:bookmarkStart w:id="110" w:name="_Toc26276838"/>
      <w:bookmarkStart w:id="111" w:name="_Toc27200"/>
      <w:r>
        <w:rPr>
          <w:rFonts w:hint="eastAsia"/>
          <w:color w:val="auto"/>
        </w:rPr>
        <w:t>4.1自然环境概况</w:t>
      </w:r>
      <w:bookmarkEnd w:id="110"/>
      <w:bookmarkEnd w:id="111"/>
    </w:p>
    <w:p>
      <w:pPr>
        <w:pStyle w:val="4"/>
        <w:rPr>
          <w:color w:val="auto"/>
        </w:rPr>
      </w:pPr>
      <w:bookmarkStart w:id="112" w:name="_Toc26276839"/>
      <w:r>
        <w:rPr>
          <w:rFonts w:hint="eastAsia"/>
          <w:color w:val="auto"/>
        </w:rPr>
        <w:t>4.1.1地理位置</w:t>
      </w:r>
      <w:bookmarkEnd w:id="112"/>
    </w:p>
    <w:p>
      <w:pPr>
        <w:spacing w:line="360" w:lineRule="auto"/>
        <w:ind w:firstLine="480" w:firstLineChars="200"/>
        <w:rPr>
          <w:color w:val="auto"/>
          <w:sz w:val="24"/>
          <w:szCs w:val="24"/>
        </w:rPr>
      </w:pPr>
      <w:r>
        <w:rPr>
          <w:rFonts w:hint="eastAsia"/>
          <w:color w:val="auto"/>
          <w:sz w:val="24"/>
          <w:szCs w:val="24"/>
        </w:rPr>
        <w:t>本项目位于梅州市五华县河东镇，选址于畲华高速的东侧、油新公园的西南侧，中心坐标为</w:t>
      </w:r>
      <w:r>
        <w:rPr>
          <w:color w:val="auto"/>
          <w:sz w:val="24"/>
          <w:szCs w:val="24"/>
        </w:rPr>
        <w:t>23.934993°,115.836947°</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本项目所在位置五华县隶属梅州市，为广东省梅州市辖县，地处广东省东北部，韩江上游，是粤东丘陵地带的一部分，介于北纬</w:t>
      </w:r>
      <w:r>
        <w:rPr>
          <w:color w:val="auto"/>
          <w:sz w:val="24"/>
          <w:szCs w:val="24"/>
        </w:rPr>
        <w:t>23°23'</w:t>
      </w:r>
      <w:r>
        <w:rPr>
          <w:rFonts w:hint="eastAsia" w:ascii="MS Mincho" w:hAnsi="MS Mincho" w:eastAsia="MS Mincho" w:cs="MS Mincho"/>
          <w:color w:val="auto"/>
          <w:sz w:val="24"/>
          <w:szCs w:val="24"/>
        </w:rPr>
        <w:t>〜</w:t>
      </w:r>
      <w:r>
        <w:rPr>
          <w:color w:val="auto"/>
          <w:sz w:val="24"/>
          <w:szCs w:val="24"/>
        </w:rPr>
        <w:t>24°12'</w:t>
      </w:r>
      <w:r>
        <w:rPr>
          <w:rFonts w:hint="eastAsia"/>
          <w:color w:val="auto"/>
          <w:sz w:val="24"/>
          <w:szCs w:val="24"/>
        </w:rPr>
        <w:t>，东经</w:t>
      </w:r>
      <w:r>
        <w:rPr>
          <w:color w:val="auto"/>
          <w:sz w:val="24"/>
          <w:szCs w:val="24"/>
        </w:rPr>
        <w:t>115°18'</w:t>
      </w:r>
      <w:r>
        <w:rPr>
          <w:rFonts w:hint="eastAsia" w:ascii="MS Mincho" w:hAnsi="MS Mincho" w:eastAsia="MS Mincho" w:cs="MS Mincho"/>
          <w:color w:val="auto"/>
          <w:sz w:val="24"/>
          <w:szCs w:val="24"/>
        </w:rPr>
        <w:t>〜</w:t>
      </w:r>
      <w:r>
        <w:rPr>
          <w:color w:val="auto"/>
          <w:sz w:val="24"/>
          <w:szCs w:val="24"/>
        </w:rPr>
        <w:t>116°02'</w:t>
      </w:r>
      <w:r>
        <w:rPr>
          <w:rFonts w:hint="eastAsia"/>
          <w:color w:val="auto"/>
          <w:sz w:val="24"/>
          <w:szCs w:val="24"/>
        </w:rPr>
        <w:t>之间，东起郭田照月岭，西止长布鸡心石，南起登畲龙狮殿，北至新桥洋塘尾。东南与丰顺县、揭西县、陆河交界，西南与河源市紫金县接壤，西北与龙川相连，东北与兴宁毗邻。东西相距</w:t>
      </w:r>
      <w:r>
        <w:rPr>
          <w:color w:val="auto"/>
          <w:sz w:val="24"/>
          <w:szCs w:val="24"/>
        </w:rPr>
        <w:t>71.59</w:t>
      </w:r>
      <w:r>
        <w:rPr>
          <w:rFonts w:hint="eastAsia"/>
          <w:color w:val="auto"/>
          <w:sz w:val="24"/>
          <w:szCs w:val="24"/>
        </w:rPr>
        <w:t>公里，南北长为</w:t>
      </w:r>
      <w:r>
        <w:rPr>
          <w:color w:val="auto"/>
          <w:sz w:val="24"/>
          <w:szCs w:val="24"/>
        </w:rPr>
        <w:t>87.99</w:t>
      </w:r>
      <w:r>
        <w:rPr>
          <w:rFonts w:hint="eastAsia"/>
          <w:color w:val="auto"/>
          <w:sz w:val="24"/>
          <w:szCs w:val="24"/>
        </w:rPr>
        <w:t>公里。全县地形成为菱形，总面积达</w:t>
      </w:r>
      <w:r>
        <w:rPr>
          <w:color w:val="auto"/>
          <w:sz w:val="24"/>
          <w:szCs w:val="24"/>
        </w:rPr>
        <w:t>3226.06</w:t>
      </w:r>
      <w:r>
        <w:rPr>
          <w:rFonts w:hint="eastAsia"/>
          <w:color w:val="auto"/>
          <w:sz w:val="24"/>
          <w:szCs w:val="24"/>
        </w:rPr>
        <w:t>平方公里，占广东省面积的</w:t>
      </w:r>
      <w:r>
        <w:rPr>
          <w:color w:val="auto"/>
          <w:sz w:val="24"/>
          <w:szCs w:val="24"/>
        </w:rPr>
        <w:t>1.47%</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梅州境内有广梅汕铁路和梅坎铁路，205国道、206国道和梅揭、梅河（含兴畲支线）、长深高速蕉岭至梅县段（含西环段）、梅龙（含东延线）、济广高速平兴段、汕湛高速五华段共6条9段高速公路。</w:t>
      </w:r>
    </w:p>
    <w:p>
      <w:pPr>
        <w:pStyle w:val="4"/>
        <w:rPr>
          <w:color w:val="auto"/>
        </w:rPr>
      </w:pPr>
      <w:bookmarkStart w:id="113" w:name="_Toc26276840"/>
      <w:r>
        <w:rPr>
          <w:rFonts w:hint="eastAsia"/>
          <w:color w:val="auto"/>
        </w:rPr>
        <w:t>4.1.2地形地貌</w:t>
      </w:r>
      <w:bookmarkEnd w:id="113"/>
    </w:p>
    <w:p>
      <w:pPr>
        <w:spacing w:line="360" w:lineRule="auto"/>
        <w:ind w:firstLine="480" w:firstLineChars="200"/>
        <w:rPr>
          <w:color w:val="auto"/>
          <w:sz w:val="24"/>
          <w:szCs w:val="24"/>
        </w:rPr>
      </w:pPr>
      <w:r>
        <w:rPr>
          <w:rFonts w:hint="eastAsia"/>
          <w:color w:val="auto"/>
          <w:sz w:val="24"/>
          <w:szCs w:val="24"/>
        </w:rPr>
        <w:t>梅州市地处五岭山脉以南，全市85%左右的面积为海拔500米以下的丘陵和山地，故称八山一水一分田。梅州市地质构造比较复杂，主要由花岗岩、喷出岩、变质岩、砂页岩、红色岩和灰岩六大岩石构成台地、丘陵、山地、阶地和平原五大类地貌类型。全市山地面积占24.3%；丘陵及台地、阶地面积占56.6%；平原面积仅占13.7%左右；河流和水库等水面积占5.4%。</w:t>
      </w:r>
    </w:p>
    <w:p>
      <w:pPr>
        <w:spacing w:line="360" w:lineRule="auto"/>
        <w:ind w:firstLine="480" w:firstLineChars="200"/>
        <w:rPr>
          <w:color w:val="auto"/>
          <w:sz w:val="24"/>
          <w:szCs w:val="24"/>
        </w:rPr>
      </w:pPr>
      <w:r>
        <w:rPr>
          <w:rFonts w:hint="eastAsia"/>
          <w:color w:val="auto"/>
          <w:sz w:val="24"/>
          <w:szCs w:val="24"/>
        </w:rPr>
        <w:t>五华县四周以山岭为障，境内地形复杂，山地丘陵相间，河谷盆地交错。其中山地占49.1%，丘陵占41.3%，河谷占5.4%，盆地占4.2%。该县地势西南高，东北底。西北部南岭山脉自西北向西南延伸，北有玳瑁山，西北有七目嶂、石马髻、笔架山、七星嶂。这些高山峻岭，气势雄伟，蜿蜒起伏，组成了西北天然屏障，交汇成紫五龙河边界。这支山脉，尤以七目嶂为第一高峰，海拔1318米；又以石马支脉，东跨饭篓髻，南越洋塘山，平覆于黄龙、员谨、横陂、夏阜、锡坑。东南部莲花山脉由南向东延伸，三天嶂、圣峰嶂、李望嶂、三县凸、鸿图嶂，高山相照，巍蛾挺拔，延绵八十公里，共有千米以上山峰12座，形成南部、东南部和东部屏障，交汇成揭、陆、华、丰边境。这支山脉，既有宋丞相文天祥的足迹，又有天柱山的环山古迹名胜。天堂山上的白云庵，誉为“广东名山第七庵”，八乡山上的鸿图嶂，筑起了粤东电视转播台。</w:t>
      </w:r>
    </w:p>
    <w:p>
      <w:pPr>
        <w:pStyle w:val="4"/>
        <w:rPr>
          <w:color w:val="auto"/>
        </w:rPr>
      </w:pPr>
      <w:bookmarkStart w:id="114" w:name="_Toc26276841"/>
      <w:r>
        <w:rPr>
          <w:rFonts w:hint="eastAsia"/>
          <w:color w:val="auto"/>
        </w:rPr>
        <w:t>4.1.3地质构造</w:t>
      </w:r>
      <w:bookmarkEnd w:id="114"/>
    </w:p>
    <w:p>
      <w:pPr>
        <w:spacing w:line="360" w:lineRule="auto"/>
        <w:ind w:firstLine="482" w:firstLineChars="200"/>
        <w:rPr>
          <w:b/>
          <w:color w:val="auto"/>
          <w:sz w:val="24"/>
          <w:szCs w:val="24"/>
        </w:rPr>
      </w:pPr>
      <w:r>
        <w:rPr>
          <w:rFonts w:hint="eastAsia"/>
          <w:b/>
          <w:color w:val="auto"/>
          <w:sz w:val="24"/>
          <w:szCs w:val="24"/>
        </w:rPr>
        <w:t>1、区域地质构造</w:t>
      </w:r>
    </w:p>
    <w:p>
      <w:pPr>
        <w:spacing w:line="360" w:lineRule="auto"/>
        <w:ind w:firstLine="480" w:firstLineChars="200"/>
        <w:rPr>
          <w:color w:val="auto"/>
          <w:sz w:val="24"/>
          <w:szCs w:val="24"/>
        </w:rPr>
      </w:pPr>
      <w:r>
        <w:rPr>
          <w:rFonts w:hint="eastAsia"/>
          <w:color w:val="auto"/>
          <w:sz w:val="24"/>
          <w:szCs w:val="24"/>
        </w:rPr>
        <w:t>经过喜马拉雅运动的构造分异，沿北东向发生垂直断块差异运动，形成安流—五华盆地，接收第三系沉积。琴江河、五华河河流阶地的形成多级夷平面，五华大断层的复活，区域性构造地震活动时有发生：西部紧邻河源多发地震区，新丰江水库地震波及五华，地震烈度为Ⅵ～Ⅶ度。由此表明五华县新构造运动比较活跃。本区域主要断层构造有：</w:t>
      </w:r>
    </w:p>
    <w:p>
      <w:pPr>
        <w:spacing w:line="360" w:lineRule="auto"/>
        <w:ind w:firstLine="480" w:firstLineChars="200"/>
        <w:rPr>
          <w:color w:val="auto"/>
          <w:sz w:val="24"/>
          <w:szCs w:val="24"/>
        </w:rPr>
      </w:pPr>
      <w:r>
        <w:rPr>
          <w:rFonts w:hint="eastAsia"/>
          <w:color w:val="auto"/>
          <w:sz w:val="24"/>
          <w:szCs w:val="24"/>
        </w:rPr>
        <w:t>五华大断层：走向北东，倾向北西，为区域性正断层，挤压破碎糜棱岩带，宽5.0～10.0km，断层面在地貌上形成断层阶梯。</w:t>
      </w:r>
    </w:p>
    <w:p>
      <w:pPr>
        <w:spacing w:line="360" w:lineRule="auto"/>
        <w:ind w:firstLine="480" w:firstLineChars="200"/>
        <w:rPr>
          <w:color w:val="auto"/>
          <w:sz w:val="24"/>
          <w:szCs w:val="24"/>
        </w:rPr>
      </w:pPr>
      <w:r>
        <w:rPr>
          <w:rFonts w:hint="eastAsia"/>
          <w:color w:val="auto"/>
          <w:sz w:val="24"/>
          <w:szCs w:val="24"/>
        </w:rPr>
        <w:t>紫金断层：走向北东，倾向南东断层面附近岩石已糜棱岩化，范围15.0～20.0m，为区域逆断层。</w:t>
      </w:r>
    </w:p>
    <w:p>
      <w:pPr>
        <w:spacing w:line="360" w:lineRule="auto"/>
        <w:ind w:firstLine="480" w:firstLineChars="200"/>
        <w:rPr>
          <w:color w:val="auto"/>
          <w:sz w:val="24"/>
          <w:szCs w:val="24"/>
        </w:rPr>
      </w:pPr>
      <w:r>
        <w:rPr>
          <w:rFonts w:hint="eastAsia"/>
          <w:color w:val="auto"/>
          <w:sz w:val="24"/>
          <w:szCs w:val="24"/>
        </w:rPr>
        <w:t>高车洞断层：北北西延伸，断层北东盘地层为侵入岩，南西盘地层为侵入岩。</w:t>
      </w:r>
    </w:p>
    <w:p>
      <w:pPr>
        <w:spacing w:line="360" w:lineRule="auto"/>
        <w:ind w:firstLine="480" w:firstLineChars="200"/>
        <w:rPr>
          <w:color w:val="auto"/>
          <w:sz w:val="24"/>
          <w:szCs w:val="24"/>
        </w:rPr>
      </w:pPr>
      <w:r>
        <w:rPr>
          <w:rFonts w:hint="eastAsia"/>
          <w:color w:val="auto"/>
          <w:sz w:val="24"/>
          <w:szCs w:val="24"/>
        </w:rPr>
        <w:t>兰坑口断层：北北西延伸，北端北花岗岩所侵入，南段则被一近东西向断层所切失。</w:t>
      </w:r>
    </w:p>
    <w:p>
      <w:pPr>
        <w:spacing w:line="360" w:lineRule="auto"/>
        <w:ind w:firstLine="480" w:firstLineChars="200"/>
        <w:rPr>
          <w:color w:val="auto"/>
          <w:sz w:val="24"/>
          <w:szCs w:val="24"/>
        </w:rPr>
      </w:pPr>
      <w:r>
        <w:rPr>
          <w:rFonts w:hint="eastAsia"/>
          <w:color w:val="auto"/>
          <w:sz w:val="24"/>
          <w:szCs w:val="24"/>
        </w:rPr>
        <w:t>该区断层发育，且规模不一，大者贯穿全区，小者仅数十米。断层性质以张应力断层占多数，形成时间稍晚，即某些断层有继承复活现象。如五华断层，其上盘为南雄群及丹霞群岩层，下盘为花岗岩及下古生界岩层，在断层附近的上白垩统以前岩石均强烈片理化和硅化，而其后的岩石都未变化，说明此断层于花岗岩后期形成后，上白垩统之前形成，当时为一逆掩断层，与丹霞沉积之后又沿原断层面复活，复活为正断层性质。</w:t>
      </w:r>
    </w:p>
    <w:p>
      <w:pPr>
        <w:spacing w:line="360" w:lineRule="auto"/>
        <w:ind w:firstLine="480" w:firstLineChars="200"/>
        <w:rPr>
          <w:color w:val="auto"/>
          <w:sz w:val="24"/>
          <w:szCs w:val="24"/>
        </w:rPr>
      </w:pPr>
      <w:r>
        <w:rPr>
          <w:rFonts w:hint="eastAsia"/>
          <w:color w:val="auto"/>
          <w:sz w:val="24"/>
          <w:szCs w:val="24"/>
        </w:rPr>
        <w:t>根据本次勘察结果，拟建场地未发现有断裂等地质构造通过，场地是稳定的。</w:t>
      </w:r>
    </w:p>
    <w:p>
      <w:pPr>
        <w:spacing w:line="360" w:lineRule="auto"/>
        <w:ind w:firstLine="482" w:firstLineChars="200"/>
        <w:rPr>
          <w:b/>
          <w:color w:val="auto"/>
          <w:sz w:val="24"/>
          <w:szCs w:val="24"/>
        </w:rPr>
      </w:pPr>
      <w:r>
        <w:rPr>
          <w:rFonts w:hint="eastAsia"/>
          <w:b/>
          <w:color w:val="auto"/>
          <w:sz w:val="24"/>
          <w:szCs w:val="24"/>
        </w:rPr>
        <w:t>2、地层岩性</w:t>
      </w:r>
    </w:p>
    <w:p>
      <w:pPr>
        <w:spacing w:line="360" w:lineRule="auto"/>
        <w:ind w:firstLine="480" w:firstLineChars="200"/>
        <w:rPr>
          <w:color w:val="auto"/>
          <w:sz w:val="24"/>
          <w:szCs w:val="24"/>
        </w:rPr>
      </w:pPr>
      <w:r>
        <w:rPr>
          <w:rFonts w:hint="eastAsia"/>
          <w:color w:val="auto"/>
          <w:sz w:val="24"/>
          <w:szCs w:val="24"/>
        </w:rPr>
        <w:t>根据《五华河东绿色生态工业小镇水质净化厂一期工程（油新水质净化厂）岩土工程勘察报告》（核工业鹰潭工程勘察院，2019.1.21）、《五华河东绿色生态工业小镇水质净化厂一期工程提升扩容岩土工程勘察报告》（核工业鹰潭工程勘察院，2020.6.8）野外钻探揭露，场地内埋藏地层主要有人工填土层（Q</w:t>
      </w:r>
      <w:r>
        <w:rPr>
          <w:rFonts w:hint="eastAsia"/>
          <w:color w:val="auto"/>
          <w:sz w:val="24"/>
          <w:szCs w:val="24"/>
          <w:vertAlign w:val="subscript"/>
        </w:rPr>
        <w:t>4</w:t>
      </w:r>
      <w:r>
        <w:rPr>
          <w:rFonts w:hint="eastAsia"/>
          <w:color w:val="auto"/>
          <w:sz w:val="24"/>
          <w:szCs w:val="24"/>
          <w:vertAlign w:val="superscript"/>
        </w:rPr>
        <w:t>ml</w:t>
      </w:r>
      <w:r>
        <w:rPr>
          <w:rFonts w:hint="eastAsia"/>
          <w:color w:val="auto"/>
          <w:sz w:val="24"/>
          <w:szCs w:val="24"/>
        </w:rPr>
        <w:t>）、第四系湖积层（Q</w:t>
      </w:r>
      <w:r>
        <w:rPr>
          <w:rFonts w:hint="eastAsia"/>
          <w:color w:val="auto"/>
          <w:sz w:val="24"/>
          <w:szCs w:val="24"/>
          <w:vertAlign w:val="subscript"/>
        </w:rPr>
        <w:t>4</w:t>
      </w:r>
      <w:r>
        <w:rPr>
          <w:rFonts w:hint="eastAsia"/>
          <w:color w:val="auto"/>
          <w:sz w:val="24"/>
          <w:szCs w:val="24"/>
          <w:vertAlign w:val="superscript"/>
        </w:rPr>
        <w:t>l</w:t>
      </w:r>
      <w:r>
        <w:rPr>
          <w:rFonts w:hint="eastAsia"/>
          <w:color w:val="auto"/>
          <w:sz w:val="24"/>
          <w:szCs w:val="24"/>
        </w:rPr>
        <w:t>）第四系冲洪积层（Q</w:t>
      </w:r>
      <w:r>
        <w:rPr>
          <w:rFonts w:hint="eastAsia"/>
          <w:color w:val="auto"/>
          <w:sz w:val="24"/>
          <w:szCs w:val="24"/>
          <w:vertAlign w:val="subscript"/>
        </w:rPr>
        <w:t>4</w:t>
      </w:r>
      <w:r>
        <w:rPr>
          <w:rFonts w:hint="eastAsia"/>
          <w:color w:val="auto"/>
          <w:sz w:val="24"/>
          <w:szCs w:val="24"/>
          <w:vertAlign w:val="superscript"/>
        </w:rPr>
        <w:t>al+pl</w:t>
      </w:r>
      <w:r>
        <w:rPr>
          <w:rFonts w:hint="eastAsia"/>
          <w:color w:val="auto"/>
          <w:sz w:val="24"/>
          <w:szCs w:val="24"/>
        </w:rPr>
        <w:t>）及下伏基岩白垩系上统（K</w:t>
      </w:r>
      <w:r>
        <w:rPr>
          <w:rFonts w:hint="eastAsia"/>
          <w:color w:val="auto"/>
          <w:sz w:val="24"/>
          <w:szCs w:val="24"/>
          <w:vertAlign w:val="subscript"/>
        </w:rPr>
        <w:t>2</w:t>
      </w:r>
      <w:r>
        <w:rPr>
          <w:rFonts w:hint="eastAsia"/>
          <w:color w:val="auto"/>
          <w:sz w:val="24"/>
          <w:szCs w:val="24"/>
        </w:rPr>
        <w:t>）砂砾岩。场地内地层按自上而下的顺序依次描述如下：</w:t>
      </w:r>
    </w:p>
    <w:p>
      <w:pPr>
        <w:spacing w:line="360" w:lineRule="auto"/>
        <w:ind w:firstLine="480" w:firstLineChars="200"/>
        <w:rPr>
          <w:color w:val="auto"/>
          <w:sz w:val="24"/>
          <w:szCs w:val="24"/>
        </w:rPr>
      </w:pPr>
      <w:r>
        <w:rPr>
          <w:rFonts w:hint="eastAsia"/>
          <w:color w:val="auto"/>
          <w:sz w:val="24"/>
          <w:szCs w:val="24"/>
        </w:rPr>
        <w:t>（1）人工填土层（Q</w:t>
      </w:r>
      <w:r>
        <w:rPr>
          <w:rFonts w:hint="eastAsia"/>
          <w:color w:val="auto"/>
          <w:sz w:val="24"/>
          <w:szCs w:val="24"/>
          <w:vertAlign w:val="subscript"/>
        </w:rPr>
        <w:t>4</w:t>
      </w:r>
      <w:r>
        <w:rPr>
          <w:rFonts w:hint="eastAsia"/>
          <w:color w:val="auto"/>
          <w:sz w:val="24"/>
          <w:szCs w:val="24"/>
          <w:vertAlign w:val="superscript"/>
        </w:rPr>
        <w:t>ml</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素填土1：呈杂色，松散，主要成份为粉质粘土、粉土，含少量中粗砂和砾石，稍湿，局部为耕植土。填积时间约1~2年，在自然或荷载状态下仍可产生固结沉降，对桩基础产生负摩阻力。</w:t>
      </w:r>
    </w:p>
    <w:p>
      <w:pPr>
        <w:spacing w:line="360" w:lineRule="auto"/>
        <w:ind w:firstLine="480" w:firstLineChars="200"/>
        <w:rPr>
          <w:color w:val="auto"/>
          <w:sz w:val="24"/>
          <w:szCs w:val="24"/>
        </w:rPr>
      </w:pPr>
      <w:r>
        <w:rPr>
          <w:rFonts w:hint="eastAsia"/>
          <w:color w:val="auto"/>
          <w:sz w:val="24"/>
          <w:szCs w:val="24"/>
        </w:rPr>
        <w:t>该层场地局部地段均有分布，层顶标高介于106.65~121.12m，层底埋深介于1.00~2.80m，层底标高介于105.65~120.12m，层厚1.00~2.80m，平均值1.32m。</w:t>
      </w:r>
    </w:p>
    <w:p>
      <w:pPr>
        <w:spacing w:line="360" w:lineRule="auto"/>
        <w:ind w:firstLine="480" w:firstLineChars="200"/>
        <w:rPr>
          <w:color w:val="auto"/>
          <w:sz w:val="24"/>
          <w:szCs w:val="24"/>
        </w:rPr>
      </w:pPr>
      <w:r>
        <w:rPr>
          <w:rFonts w:hint="eastAsia"/>
          <w:color w:val="auto"/>
          <w:sz w:val="24"/>
          <w:szCs w:val="24"/>
        </w:rPr>
        <w:t>（2）第四系冲洪积层（Q</w:t>
      </w:r>
      <w:r>
        <w:rPr>
          <w:rFonts w:hint="eastAsia"/>
          <w:color w:val="auto"/>
          <w:sz w:val="24"/>
          <w:szCs w:val="24"/>
          <w:vertAlign w:val="subscript"/>
        </w:rPr>
        <w:t>4</w:t>
      </w:r>
      <w:r>
        <w:rPr>
          <w:rFonts w:hint="eastAsia"/>
          <w:color w:val="auto"/>
          <w:sz w:val="24"/>
          <w:szCs w:val="24"/>
          <w:vertAlign w:val="superscript"/>
        </w:rPr>
        <w:t>al+pl</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①淤泥质土2-1：灰黑色，流塑，静水沉积而成，具腐臭味，含有机质，干强度中等，中等韧性，摇振反应迅速。该层局部地段有分布，层顶埋深介于1.00~4.10m，层顶标高介于105.04~112.39m，层底埋深介于2.50~6.50m，层厚0.90~3.40m，平均值2.11m。</w:t>
      </w:r>
    </w:p>
    <w:p>
      <w:pPr>
        <w:spacing w:line="360" w:lineRule="auto"/>
        <w:ind w:firstLine="480" w:firstLineChars="200"/>
        <w:rPr>
          <w:color w:val="auto"/>
          <w:sz w:val="24"/>
          <w:szCs w:val="24"/>
        </w:rPr>
      </w:pPr>
      <w:r>
        <w:rPr>
          <w:rFonts w:hint="eastAsia"/>
          <w:color w:val="auto"/>
          <w:sz w:val="24"/>
          <w:szCs w:val="24"/>
        </w:rPr>
        <w:t>②粉质粘土2-2：黄褐色，可塑，土质较均匀，主要成分为黏粉颗粒，刀切面较光滑，干强度中等，中等韧性。该层局部地段有分布，层顶标高介于106.74~131.54m，层厚1.60~8.50m，场地不连续分布。</w:t>
      </w:r>
    </w:p>
    <w:p>
      <w:pPr>
        <w:spacing w:line="360" w:lineRule="auto"/>
        <w:ind w:firstLine="480" w:firstLineChars="200"/>
        <w:rPr>
          <w:color w:val="auto"/>
          <w:sz w:val="24"/>
          <w:szCs w:val="24"/>
        </w:rPr>
      </w:pPr>
      <w:r>
        <w:rPr>
          <w:rFonts w:hint="eastAsia"/>
          <w:color w:val="auto"/>
          <w:sz w:val="24"/>
          <w:szCs w:val="24"/>
        </w:rPr>
        <w:t>（3）基岩为白垩系上统（K</w:t>
      </w:r>
      <w:r>
        <w:rPr>
          <w:rFonts w:hint="eastAsia"/>
          <w:color w:val="auto"/>
          <w:sz w:val="24"/>
          <w:szCs w:val="24"/>
          <w:vertAlign w:val="subscript"/>
        </w:rPr>
        <w:t>2</w:t>
      </w:r>
      <w:r>
        <w:rPr>
          <w:rFonts w:hint="eastAsia"/>
          <w:color w:val="auto"/>
          <w:sz w:val="24"/>
          <w:szCs w:val="24"/>
        </w:rPr>
        <w:t>）砂砾岩，砂砾状结构，中厚层状构造，泥质胶结为主，岩质较软。本次勘察揭露有全风化、强风化、中风化三个风化层，分述如下：</w:t>
      </w:r>
    </w:p>
    <w:p>
      <w:pPr>
        <w:spacing w:line="360" w:lineRule="auto"/>
        <w:ind w:firstLine="480" w:firstLineChars="200"/>
        <w:rPr>
          <w:color w:val="auto"/>
          <w:sz w:val="24"/>
          <w:szCs w:val="24"/>
        </w:rPr>
      </w:pPr>
      <w:r>
        <w:rPr>
          <w:rFonts w:hint="eastAsia"/>
          <w:color w:val="auto"/>
          <w:sz w:val="24"/>
          <w:szCs w:val="24"/>
        </w:rPr>
        <w:t>①全风化砂砾岩3-1：紫红色，全风化，原岩结构构造已破坏，岩芯呈土柱状为主，手可捏碎，遇水易软化易崩解，局部呈碎块状。场地大部分地段揭露该层，层顶标高介于103.35~132.00m，层厚2.30~12.00m，场地均有分布。</w:t>
      </w:r>
    </w:p>
    <w:p>
      <w:pPr>
        <w:spacing w:line="360" w:lineRule="auto"/>
        <w:ind w:firstLine="480" w:firstLineChars="200"/>
        <w:rPr>
          <w:color w:val="auto"/>
          <w:sz w:val="24"/>
          <w:szCs w:val="24"/>
        </w:rPr>
      </w:pPr>
      <w:r>
        <w:rPr>
          <w:rFonts w:hint="eastAsia"/>
          <w:color w:val="auto"/>
          <w:sz w:val="24"/>
          <w:szCs w:val="24"/>
        </w:rPr>
        <w:t>②强风化砂砾岩3-2：紫红色，强风化，原岩结构构造已大部分破坏，节理裂隙极发育，岩芯呈块状为主，局部呈砂砾状，岩体基本质量等级为Ⅴ级。场地勘察深度内未发现空洞、破碎岩体及软弱夹层，强风化砂砾岩遇水具有可软化性，不具膨胀性，遇水和失水无崩解性。该层全场均有分布，层顶标高介于96.85~122.00m，场地均有分布，该层未揭穿。</w:t>
      </w:r>
    </w:p>
    <w:p>
      <w:pPr>
        <w:spacing w:line="360" w:lineRule="auto"/>
        <w:ind w:firstLine="480" w:firstLineChars="200"/>
        <w:rPr>
          <w:color w:val="auto"/>
          <w:sz w:val="24"/>
          <w:szCs w:val="24"/>
        </w:rPr>
      </w:pPr>
      <w:r>
        <w:rPr>
          <w:rFonts w:hint="eastAsia"/>
          <w:color w:val="auto"/>
          <w:sz w:val="24"/>
          <w:szCs w:val="24"/>
        </w:rPr>
        <w:t>③中风化砂砾岩3-3：紫红色夹灰褐色，中风化，砂砾状结构，中厚层状构造，泥质胶结，岩体较破碎，岩芯呈块状、短柱状为主，局部呈柱状，裂隙发育，裂隙面被铁锰质等矿物充填，岩体基本质量等级为Ⅳ级。该层局部地段有分布，勘察深度内未发现空洞、破碎岩体及软弱夹层，中风化砂砾岩不具软化性及膨胀性，遇水和失水均无崩解性。层顶埋深深介于8.60~20.80m，层顶标高介于95.58~102.62m，该层未揭穿，揭露层厚2.90~14.90m，平均值8.58m。</w:t>
      </w:r>
    </w:p>
    <w:p>
      <w:pPr>
        <w:pStyle w:val="4"/>
        <w:rPr>
          <w:color w:val="auto"/>
        </w:rPr>
        <w:sectPr>
          <w:pgSz w:w="11906" w:h="16838"/>
          <w:pgMar w:top="1440" w:right="1800" w:bottom="1440" w:left="1800" w:header="851" w:footer="992" w:gutter="0"/>
          <w:cols w:space="425" w:num="1"/>
          <w:docGrid w:type="lines" w:linePitch="312" w:charSpace="0"/>
        </w:sectPr>
      </w:pPr>
    </w:p>
    <w:p>
      <w:pPr>
        <w:jc w:val="center"/>
        <w:rPr>
          <w:color w:val="auto"/>
        </w:rPr>
      </w:pPr>
      <w:r>
        <w:rPr>
          <w:color w:val="auto"/>
        </w:rPr>
        <w:drawing>
          <wp:inline distT="0" distB="0" distL="0" distR="0">
            <wp:extent cx="7739380" cy="4737735"/>
            <wp:effectExtent l="1905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36" cstate="print"/>
                    <a:srcRect/>
                    <a:stretch>
                      <a:fillRect/>
                    </a:stretch>
                  </pic:blipFill>
                  <pic:spPr>
                    <a:xfrm>
                      <a:off x="0" y="0"/>
                      <a:ext cx="7740000" cy="4737768"/>
                    </a:xfrm>
                    <a:prstGeom prst="rect">
                      <a:avLst/>
                    </a:prstGeom>
                    <a:noFill/>
                    <a:ln w="9525">
                      <a:noFill/>
                      <a:miter lim="800000"/>
                      <a:headEnd/>
                      <a:tailEnd/>
                    </a:ln>
                  </pic:spPr>
                </pic:pic>
              </a:graphicData>
            </a:graphic>
          </wp:inline>
        </w:drawing>
      </w:r>
    </w:p>
    <w:p>
      <w:pPr>
        <w:jc w:val="center"/>
        <w:rPr>
          <w:b/>
          <w:color w:val="auto"/>
          <w:sz w:val="24"/>
          <w:szCs w:val="24"/>
        </w:rPr>
      </w:pPr>
      <w:r>
        <w:rPr>
          <w:rFonts w:hint="eastAsia"/>
          <w:b/>
          <w:color w:val="auto"/>
          <w:sz w:val="24"/>
          <w:szCs w:val="24"/>
        </w:rPr>
        <w:t>图4-1-1   项目所在区域水文地质情况</w:t>
      </w:r>
    </w:p>
    <w:p>
      <w:pPr>
        <w:rPr>
          <w:color w:val="auto"/>
        </w:rPr>
        <w:sectPr>
          <w:pgSz w:w="16838" w:h="11906" w:orient="landscape"/>
          <w:pgMar w:top="1797" w:right="1440" w:bottom="1797" w:left="1440" w:header="851" w:footer="992" w:gutter="0"/>
          <w:cols w:space="425" w:num="1"/>
          <w:docGrid w:type="lines" w:linePitch="312" w:charSpace="0"/>
        </w:sectPr>
      </w:pPr>
    </w:p>
    <w:p>
      <w:pPr>
        <w:spacing w:line="360" w:lineRule="auto"/>
        <w:ind w:firstLine="482" w:firstLineChars="200"/>
        <w:jc w:val="left"/>
        <w:rPr>
          <w:b/>
          <w:color w:val="auto"/>
          <w:sz w:val="24"/>
          <w:szCs w:val="24"/>
        </w:rPr>
      </w:pPr>
      <w:r>
        <w:rPr>
          <w:rFonts w:hint="eastAsia"/>
          <w:b/>
          <w:color w:val="auto"/>
          <w:sz w:val="24"/>
          <w:szCs w:val="24"/>
        </w:rPr>
        <w:t>3、地震效应</w:t>
      </w:r>
    </w:p>
    <w:p>
      <w:pPr>
        <w:spacing w:line="360" w:lineRule="auto"/>
        <w:ind w:firstLine="480" w:firstLineChars="200"/>
        <w:jc w:val="left"/>
        <w:rPr>
          <w:color w:val="auto"/>
          <w:sz w:val="24"/>
          <w:szCs w:val="24"/>
        </w:rPr>
      </w:pPr>
      <w:r>
        <w:rPr>
          <w:rFonts w:hint="eastAsia"/>
          <w:color w:val="auto"/>
          <w:sz w:val="24"/>
          <w:szCs w:val="24"/>
        </w:rPr>
        <w:t>根据国家标准《建筑抗震设计规范》（GB50011-2010，2016版）及《中国地震动参数区划图》（GB18306-2015），拟建场区位于梅州市五华县河东镇，场地的抗震设防基本烈度为6度，设计基本地震动峰值加速度为0.05g，所属的设计地震分组为第一组。</w:t>
      </w:r>
    </w:p>
    <w:p>
      <w:pPr>
        <w:spacing w:line="360" w:lineRule="auto"/>
        <w:ind w:firstLine="480" w:firstLineChars="200"/>
        <w:jc w:val="left"/>
        <w:rPr>
          <w:color w:val="auto"/>
          <w:sz w:val="24"/>
          <w:szCs w:val="24"/>
        </w:rPr>
      </w:pPr>
      <w:r>
        <w:rPr>
          <w:rFonts w:hint="eastAsia"/>
          <w:color w:val="auto"/>
          <w:sz w:val="24"/>
          <w:szCs w:val="24"/>
        </w:rPr>
        <w:t>根据《室外给水排水和燃气热力工程抗震设计规范》（GB50032-2003）第1.0.7条，对污水处理厂内的主要水处理构筑物和变电站、进水泵房等宜按本地区抗震设防烈度提高一度采取抗震措施。污水处理厂内主要水处理构（建）筑物地震作用按6度考虑，抗震措施按7度考虑；其余构（建）筑物地震作用及抗震措施均按6度考虑。</w:t>
      </w:r>
    </w:p>
    <w:p>
      <w:pPr>
        <w:spacing w:line="360" w:lineRule="auto"/>
        <w:ind w:firstLine="480" w:firstLineChars="200"/>
        <w:jc w:val="left"/>
        <w:rPr>
          <w:color w:val="auto"/>
          <w:sz w:val="24"/>
          <w:szCs w:val="24"/>
        </w:rPr>
      </w:pPr>
      <w:r>
        <w:rPr>
          <w:rFonts w:hint="eastAsia"/>
          <w:color w:val="auto"/>
          <w:sz w:val="24"/>
          <w:szCs w:val="24"/>
        </w:rPr>
        <w:t>根据钻探揭露，结合本工程的具体情况、《建筑抗震设计规范》（GB50011-2010，2016版）相关规定，拟建场地地段类别整体划分为对建筑抗震不利地段，建筑场地类别为Ⅱ类，地震动反应谱特征周期为0.35s。</w:t>
      </w:r>
    </w:p>
    <w:p>
      <w:pPr>
        <w:pStyle w:val="4"/>
        <w:rPr>
          <w:color w:val="auto"/>
        </w:rPr>
      </w:pPr>
      <w:bookmarkStart w:id="115" w:name="_Toc26276842"/>
      <w:r>
        <w:rPr>
          <w:rFonts w:hint="eastAsia"/>
          <w:color w:val="auto"/>
        </w:rPr>
        <w:t>4.1.4气候与气象</w:t>
      </w:r>
      <w:bookmarkEnd w:id="115"/>
    </w:p>
    <w:p>
      <w:pPr>
        <w:spacing w:line="360" w:lineRule="auto"/>
        <w:ind w:firstLine="480" w:firstLineChars="200"/>
        <w:rPr>
          <w:color w:val="auto"/>
          <w:sz w:val="24"/>
          <w:szCs w:val="24"/>
        </w:rPr>
      </w:pPr>
      <w:r>
        <w:rPr>
          <w:rFonts w:hint="eastAsia"/>
          <w:color w:val="auto"/>
          <w:sz w:val="24"/>
          <w:szCs w:val="24"/>
        </w:rPr>
        <w:t>场地所处的梅州市五华县靠近北回归线，属亚热带季风性气候，夏季较长，冬季短暂。据五华周边各气象站和各水文站、雨量站的气象资料统计：测区多年平均降水量在1400～2400mm之间，每年5月至9月份为雨季，5个月的降水量占全年的64%～75%；多年平均蒸发为1300～1840mm；相对湿度77%～82%，雷暴天气入夏后逐渐增多，8月份高峰，全年均可构筑物施工。但由于受地形影响，使区内各地的降水量及蒸发量有所差异。</w:t>
      </w:r>
    </w:p>
    <w:p>
      <w:pPr>
        <w:pStyle w:val="4"/>
        <w:rPr>
          <w:color w:val="auto"/>
        </w:rPr>
      </w:pPr>
      <w:bookmarkStart w:id="116" w:name="_Toc26276843"/>
      <w:r>
        <w:rPr>
          <w:rFonts w:hint="eastAsia"/>
          <w:color w:val="auto"/>
        </w:rPr>
        <w:t>4.1.5水文特征</w:t>
      </w:r>
      <w:bookmarkEnd w:id="116"/>
    </w:p>
    <w:p>
      <w:pPr>
        <w:spacing w:line="360" w:lineRule="auto"/>
        <w:ind w:firstLine="480" w:firstLineChars="200"/>
        <w:jc w:val="left"/>
        <w:rPr>
          <w:color w:val="auto"/>
          <w:sz w:val="24"/>
          <w:szCs w:val="24"/>
        </w:rPr>
      </w:pPr>
      <w:r>
        <w:rPr>
          <w:rFonts w:hint="eastAsia"/>
          <w:color w:val="auto"/>
          <w:sz w:val="24"/>
          <w:szCs w:val="24"/>
        </w:rPr>
        <w:t>（1）地表水</w:t>
      </w:r>
    </w:p>
    <w:p>
      <w:pPr>
        <w:spacing w:line="360" w:lineRule="auto"/>
        <w:ind w:firstLine="480" w:firstLineChars="200"/>
        <w:jc w:val="left"/>
        <w:rPr>
          <w:color w:val="auto"/>
          <w:sz w:val="24"/>
          <w:szCs w:val="24"/>
        </w:rPr>
      </w:pPr>
      <w:r>
        <w:rPr>
          <w:rFonts w:hint="eastAsia"/>
          <w:color w:val="auto"/>
          <w:sz w:val="24"/>
          <w:szCs w:val="24"/>
        </w:rPr>
        <w:t>项目尾水排入大嵩河，最终汇入梅江。</w:t>
      </w:r>
    </w:p>
    <w:p>
      <w:pPr>
        <w:spacing w:line="360" w:lineRule="auto"/>
        <w:ind w:firstLine="480" w:firstLineChars="200"/>
        <w:jc w:val="left"/>
        <w:rPr>
          <w:color w:val="auto"/>
          <w:sz w:val="24"/>
          <w:szCs w:val="24"/>
        </w:rPr>
      </w:pPr>
      <w:r>
        <w:rPr>
          <w:rFonts w:hint="eastAsia"/>
          <w:color w:val="auto"/>
          <w:sz w:val="24"/>
          <w:szCs w:val="24"/>
        </w:rPr>
        <w:t>梅江是韩江的主流，地理位置在东经115°13′~116°33′，北纬23°55′~24°48′。发源于汕尾陆丰与河源紫金交界的乌突山七星岽，上游称琴江，流经五华县水寨与五华河汇合后始称梅江，由西南向东北流经五华、兴宁、梅县至大埔县的三河坝与汀江和梅潭河汇合后称韩江。梅江沿河流经水口、畲江、水车、梅南、长沙、程江、梅城、西阳、丙村、雁洋、松口、三河坝等镇。梅江流域东西宽136.5km，南北长172km，干流全长307km，流域集水面积为14061km</w:t>
      </w:r>
      <w:r>
        <w:rPr>
          <w:rFonts w:hint="eastAsia"/>
          <w:color w:val="auto"/>
          <w:sz w:val="24"/>
          <w:szCs w:val="24"/>
          <w:vertAlign w:val="superscript"/>
        </w:rPr>
        <w:t>2</w:t>
      </w:r>
      <w:r>
        <w:rPr>
          <w:rFonts w:hint="eastAsia"/>
          <w:color w:val="auto"/>
          <w:sz w:val="24"/>
          <w:szCs w:val="24"/>
        </w:rPr>
        <w:t>，梅江在梅州市境内有集雨面积10424km</w:t>
      </w:r>
      <w:r>
        <w:rPr>
          <w:rFonts w:hint="eastAsia"/>
          <w:color w:val="auto"/>
          <w:sz w:val="24"/>
          <w:szCs w:val="24"/>
          <w:vertAlign w:val="superscript"/>
        </w:rPr>
        <w:t>2</w:t>
      </w:r>
      <w:r>
        <w:rPr>
          <w:rFonts w:hint="eastAsia"/>
          <w:color w:val="auto"/>
          <w:sz w:val="24"/>
          <w:szCs w:val="24"/>
        </w:rPr>
        <w:t>，河长270 km，平均坡降0.4‰。</w:t>
      </w:r>
    </w:p>
    <w:p>
      <w:pPr>
        <w:spacing w:line="360" w:lineRule="auto"/>
        <w:ind w:firstLine="480" w:firstLineChars="200"/>
        <w:jc w:val="left"/>
        <w:rPr>
          <w:color w:val="auto"/>
          <w:sz w:val="24"/>
          <w:szCs w:val="24"/>
        </w:rPr>
      </w:pPr>
      <w:r>
        <w:rPr>
          <w:rFonts w:hint="eastAsia"/>
          <w:color w:val="auto"/>
          <w:sz w:val="24"/>
          <w:szCs w:val="24"/>
        </w:rPr>
        <w:t>大嵩水属韩江主流梅江河系，是五华县梅江一级支流，发源于兴宁市宋声镇坑尾肚，于河东镇浮湖村汇入梅江。流域面积80.3km</w:t>
      </w:r>
      <w:r>
        <w:rPr>
          <w:rFonts w:hint="eastAsia"/>
          <w:color w:val="auto"/>
          <w:sz w:val="24"/>
          <w:szCs w:val="24"/>
          <w:vertAlign w:val="superscript"/>
        </w:rPr>
        <w:t>2</w:t>
      </w:r>
      <w:r>
        <w:rPr>
          <w:rFonts w:hint="eastAsia"/>
          <w:color w:val="auto"/>
          <w:sz w:val="24"/>
          <w:szCs w:val="24"/>
        </w:rPr>
        <w:t>，河长32km，五华县内集雨面积45.5km</w:t>
      </w:r>
      <w:r>
        <w:rPr>
          <w:rFonts w:hint="eastAsia"/>
          <w:color w:val="auto"/>
          <w:sz w:val="24"/>
          <w:szCs w:val="24"/>
          <w:vertAlign w:val="superscript"/>
        </w:rPr>
        <w:t>2</w:t>
      </w:r>
      <w:r>
        <w:rPr>
          <w:rFonts w:hint="eastAsia"/>
          <w:color w:val="auto"/>
          <w:sz w:val="24"/>
          <w:szCs w:val="24"/>
        </w:rPr>
        <w:t>，五华段主河道长15.7km，平均坡降14.9‰。大嵩水河东镇开发利用区起始范围为岩前水库坝下，终止范围为河东镇浮湖村汇入琴江交汇口，全长16km，区域涉及河东镇。该区域以农业用水为主，划定为开发利用区。</w:t>
      </w:r>
    </w:p>
    <w:p>
      <w:pPr>
        <w:spacing w:line="360" w:lineRule="auto"/>
        <w:ind w:firstLine="480" w:firstLineChars="200"/>
        <w:jc w:val="left"/>
        <w:rPr>
          <w:color w:val="auto"/>
          <w:sz w:val="24"/>
          <w:szCs w:val="24"/>
        </w:rPr>
      </w:pPr>
      <w:r>
        <w:rPr>
          <w:rFonts w:hint="eastAsia"/>
          <w:color w:val="auto"/>
          <w:sz w:val="24"/>
          <w:szCs w:val="24"/>
        </w:rPr>
        <w:t>梅江干流有水文、水位站3个，分别为水口站、梅县站和横山站。梅江上坝至水口区间已建合江电站（装机0.72 万kW）；规划在水口下游兴建华泰电站（装机0.72 kW）；在水口至梅县河段干流已建有两级梯级。一是梅县梅南镇上游约2km 处的龙上电站（装机2.2 万kW），回水可改善畲江、水车两镇环境；二是位于梅江区长沙镇的三龙电站（装机2.4 万kW），回水可改善长沙、梅南两镇环境。而梅州城区以下河段除西阳、丙村、松口等较大城镇外，多属U 型河谷，且沿河浅滩多，主要有蓬辣滩、西阳滩。在梅城下游的梅江干流上已建有西阳、丙村、单竹窝、蓬辣滩等四个梯级电站。</w:t>
      </w:r>
    </w:p>
    <w:p>
      <w:pPr>
        <w:adjustRightInd w:val="0"/>
        <w:snapToGrid w:val="0"/>
        <w:jc w:val="center"/>
        <w:rPr>
          <w:color w:val="auto"/>
          <w:sz w:val="24"/>
          <w:szCs w:val="24"/>
        </w:rPr>
      </w:pPr>
      <w:r>
        <w:rPr>
          <w:color w:val="auto"/>
          <w:sz w:val="24"/>
          <w:szCs w:val="24"/>
        </w:rPr>
        <w:drawing>
          <wp:inline distT="0" distB="0" distL="0" distR="0">
            <wp:extent cx="5219700" cy="3878580"/>
            <wp:effectExtent l="0" t="0" r="7620" b="762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noChangeArrowheads="1"/>
                    </pic:cNvPicPr>
                  </pic:nvPicPr>
                  <pic:blipFill>
                    <a:blip r:embed="rId37" cstate="print"/>
                    <a:srcRect/>
                    <a:stretch>
                      <a:fillRect/>
                    </a:stretch>
                  </pic:blipFill>
                  <pic:spPr>
                    <a:xfrm>
                      <a:off x="0" y="0"/>
                      <a:ext cx="5219700" cy="3878580"/>
                    </a:xfrm>
                    <a:prstGeom prst="rect">
                      <a:avLst/>
                    </a:prstGeom>
                    <a:noFill/>
                    <a:ln w="9525">
                      <a:noFill/>
                      <a:miter lim="800000"/>
                      <a:headEnd/>
                      <a:tailEnd/>
                    </a:ln>
                  </pic:spPr>
                </pic:pic>
              </a:graphicData>
            </a:graphic>
          </wp:inline>
        </w:drawing>
      </w:r>
    </w:p>
    <w:p>
      <w:pPr>
        <w:adjustRightInd w:val="0"/>
        <w:snapToGrid w:val="0"/>
        <w:jc w:val="center"/>
        <w:rPr>
          <w:color w:val="auto"/>
          <w:sz w:val="24"/>
          <w:szCs w:val="24"/>
        </w:rPr>
      </w:pPr>
      <w:r>
        <w:rPr>
          <w:rFonts w:hint="eastAsia"/>
          <w:b/>
          <w:color w:val="auto"/>
          <w:sz w:val="24"/>
          <w:szCs w:val="24"/>
        </w:rPr>
        <w:t>图4-1-2  大嵩河与梅江交汇口上下游关系图</w:t>
      </w:r>
    </w:p>
    <w:p>
      <w:pPr>
        <w:spacing w:line="360" w:lineRule="auto"/>
        <w:ind w:firstLine="480" w:firstLineChars="200"/>
        <w:jc w:val="left"/>
        <w:rPr>
          <w:color w:val="auto"/>
          <w:sz w:val="24"/>
          <w:szCs w:val="24"/>
        </w:rPr>
      </w:pPr>
      <w:r>
        <w:rPr>
          <w:rFonts w:hint="eastAsia"/>
          <w:color w:val="auto"/>
          <w:sz w:val="24"/>
          <w:szCs w:val="24"/>
        </w:rPr>
        <w:t>（2）地下水</w:t>
      </w:r>
    </w:p>
    <w:p>
      <w:pPr>
        <w:spacing w:line="360" w:lineRule="auto"/>
        <w:ind w:firstLine="480" w:firstLineChars="200"/>
        <w:jc w:val="left"/>
        <w:rPr>
          <w:color w:val="auto"/>
          <w:sz w:val="24"/>
          <w:szCs w:val="24"/>
        </w:rPr>
      </w:pPr>
      <w:r>
        <w:rPr>
          <w:rFonts w:hint="eastAsia"/>
          <w:color w:val="auto"/>
          <w:sz w:val="24"/>
          <w:szCs w:val="24"/>
        </w:rPr>
        <w:t>根据《五华河东绿色生态工业小镇水质净化厂一期工程（油新水质净化厂）岩土工程勘察报告》（核工业鹰潭工程勘察院，2019.1.21）、《五华河东绿色生态工业小镇水质净化厂一期工程提升扩容岩土工程勘察报告》（核工业鹰潭工程勘察院，2020.6.8）野外钻探揭露：</w:t>
      </w:r>
    </w:p>
    <w:p>
      <w:pPr>
        <w:spacing w:line="360" w:lineRule="auto"/>
        <w:ind w:firstLine="480" w:firstLineChars="200"/>
        <w:jc w:val="left"/>
        <w:rPr>
          <w:color w:val="auto"/>
          <w:sz w:val="24"/>
          <w:szCs w:val="24"/>
        </w:rPr>
      </w:pPr>
      <w:r>
        <w:rPr>
          <w:rFonts w:hint="eastAsia"/>
          <w:color w:val="auto"/>
          <w:sz w:val="24"/>
          <w:szCs w:val="24"/>
        </w:rPr>
        <w:t>①含（隔）水层结构及其分布特征</w:t>
      </w:r>
    </w:p>
    <w:p>
      <w:pPr>
        <w:spacing w:line="360" w:lineRule="auto"/>
        <w:ind w:firstLine="480" w:firstLineChars="200"/>
        <w:jc w:val="left"/>
        <w:rPr>
          <w:color w:val="auto"/>
          <w:sz w:val="24"/>
          <w:szCs w:val="24"/>
        </w:rPr>
      </w:pPr>
      <w:r>
        <w:rPr>
          <w:rFonts w:hint="eastAsia"/>
          <w:color w:val="auto"/>
          <w:sz w:val="24"/>
          <w:szCs w:val="24"/>
        </w:rPr>
        <w:t xml:space="preserve">项目场地地下水类型属潜水，稍具承压性，根据其赋存方式分为第四系土层孔隙潜水、基岩裂隙水。 </w:t>
      </w:r>
    </w:p>
    <w:p>
      <w:pPr>
        <w:spacing w:line="360" w:lineRule="auto"/>
        <w:ind w:firstLine="480" w:firstLineChars="200"/>
        <w:jc w:val="left"/>
        <w:rPr>
          <w:color w:val="auto"/>
          <w:sz w:val="24"/>
          <w:szCs w:val="24"/>
        </w:rPr>
      </w:pPr>
      <w:r>
        <w:rPr>
          <w:rFonts w:hint="eastAsia"/>
          <w:color w:val="auto"/>
          <w:sz w:val="24"/>
          <w:szCs w:val="24"/>
        </w:rPr>
        <w:t>第四系土层孔隙潜水在拟建场地内主要赋存的地层为淤泥质土2-1、粉质粘土2-2，均为弱透水性地层，富水性差；孔隙潜水与大气降水和地表水联系密切，水位变化因气候、季节而异，雨季期间地下水位有所上升，枯水期地下水位则有所下降。</w:t>
      </w:r>
    </w:p>
    <w:p>
      <w:pPr>
        <w:spacing w:line="360" w:lineRule="auto"/>
        <w:ind w:firstLine="480" w:firstLineChars="200"/>
        <w:jc w:val="left"/>
        <w:rPr>
          <w:color w:val="auto"/>
          <w:sz w:val="24"/>
          <w:szCs w:val="24"/>
        </w:rPr>
      </w:pPr>
      <w:r>
        <w:rPr>
          <w:rFonts w:hint="eastAsia"/>
          <w:color w:val="auto"/>
          <w:sz w:val="24"/>
          <w:szCs w:val="24"/>
        </w:rPr>
        <w:t>基岩裂隙水主要赋存于砂砾岩的全风化、强风化和中风化层中，为弱透水性地层，本次揭露基岩较破碎，地下水沿裂隙流通，水流量较小，基岩裂隙水与上层地下水联通性一般，互为补给。</w:t>
      </w:r>
    </w:p>
    <w:p>
      <w:pPr>
        <w:spacing w:line="360" w:lineRule="auto"/>
        <w:ind w:firstLine="480" w:firstLineChars="200"/>
        <w:jc w:val="left"/>
        <w:rPr>
          <w:color w:val="auto"/>
          <w:sz w:val="24"/>
          <w:szCs w:val="24"/>
        </w:rPr>
      </w:pPr>
      <w:r>
        <w:rPr>
          <w:rFonts w:hint="eastAsia"/>
          <w:color w:val="auto"/>
          <w:sz w:val="24"/>
          <w:szCs w:val="24"/>
        </w:rPr>
        <w:t>本场地地下水的补给来源主要是大气降雨和地表径流。地下水的排泄主要是大气蒸发和向低水位场地的渗流。</w:t>
      </w:r>
    </w:p>
    <w:p>
      <w:pPr>
        <w:spacing w:line="360" w:lineRule="auto"/>
        <w:ind w:firstLine="480" w:firstLineChars="200"/>
        <w:jc w:val="left"/>
        <w:rPr>
          <w:color w:val="auto"/>
          <w:sz w:val="24"/>
          <w:szCs w:val="24"/>
        </w:rPr>
      </w:pPr>
      <w:r>
        <w:rPr>
          <w:rFonts w:hint="eastAsia"/>
          <w:color w:val="auto"/>
          <w:sz w:val="24"/>
          <w:szCs w:val="24"/>
        </w:rPr>
        <w:t>②地下水流场</w:t>
      </w:r>
    </w:p>
    <w:p>
      <w:pPr>
        <w:spacing w:line="360" w:lineRule="auto"/>
        <w:ind w:firstLine="480" w:firstLineChars="200"/>
        <w:jc w:val="left"/>
        <w:rPr>
          <w:color w:val="auto"/>
          <w:sz w:val="24"/>
          <w:szCs w:val="24"/>
        </w:rPr>
      </w:pPr>
      <w:r>
        <w:rPr>
          <w:rFonts w:hint="eastAsia"/>
          <w:color w:val="auto"/>
          <w:sz w:val="24"/>
          <w:szCs w:val="24"/>
        </w:rPr>
        <w:t>拟建场地地下水位差异较小，根据梅州地区的区域水文地质资料，拟建场地的地下水位变化幅度可按2.00~3.00m考虑。</w:t>
      </w:r>
    </w:p>
    <w:p>
      <w:pPr>
        <w:spacing w:line="360" w:lineRule="auto"/>
        <w:ind w:firstLine="480" w:firstLineChars="200"/>
        <w:jc w:val="left"/>
        <w:rPr>
          <w:color w:val="auto"/>
          <w:sz w:val="24"/>
          <w:szCs w:val="24"/>
        </w:rPr>
      </w:pPr>
      <w:r>
        <w:rPr>
          <w:rFonts w:hint="eastAsia"/>
          <w:color w:val="auto"/>
          <w:sz w:val="24"/>
          <w:szCs w:val="24"/>
        </w:rPr>
        <w:t>③地下水开发利用现状与规划</w:t>
      </w:r>
    </w:p>
    <w:p>
      <w:pPr>
        <w:spacing w:line="360" w:lineRule="auto"/>
        <w:ind w:firstLine="480" w:firstLineChars="200"/>
        <w:rPr>
          <w:color w:val="auto"/>
          <w:sz w:val="24"/>
          <w:szCs w:val="24"/>
        </w:rPr>
      </w:pPr>
      <w:r>
        <w:rPr>
          <w:rFonts w:hint="eastAsia"/>
          <w:color w:val="auto"/>
          <w:sz w:val="24"/>
          <w:szCs w:val="24"/>
        </w:rPr>
        <w:t>根据《广东省地下水环境功能区划》（粤办函[2009]459号），项目所在区域的浅层地下水属于韩江及粤东诸河梅州五华分散式开发利用区（代码：H084414001Q04），所在水资源二级分区为韩江及粤东诸河，地貌类型为山间平原区，地下水类型为孔隙水，矿化度在0.2~0.26g/L，现状水质类别为Ⅰ-Ⅳ类，年均总补给量模数为11.67万m</w:t>
      </w:r>
      <w:r>
        <w:rPr>
          <w:rFonts w:hint="eastAsia"/>
          <w:color w:val="auto"/>
          <w:sz w:val="24"/>
          <w:szCs w:val="24"/>
          <w:vertAlign w:val="superscript"/>
        </w:rPr>
        <w:t>3</w:t>
      </w:r>
      <w:r>
        <w:rPr>
          <w:rFonts w:hint="eastAsia"/>
          <w:color w:val="auto"/>
          <w:sz w:val="24"/>
          <w:szCs w:val="24"/>
        </w:rPr>
        <w:t>/a.km</w:t>
      </w:r>
      <w:r>
        <w:rPr>
          <w:rFonts w:hint="eastAsia"/>
          <w:color w:val="auto"/>
          <w:sz w:val="24"/>
          <w:szCs w:val="24"/>
          <w:vertAlign w:val="superscript"/>
        </w:rPr>
        <w:t>2</w:t>
      </w:r>
      <w:r>
        <w:rPr>
          <w:rFonts w:hint="eastAsia"/>
          <w:color w:val="auto"/>
          <w:sz w:val="24"/>
          <w:szCs w:val="24"/>
        </w:rPr>
        <w:t>，年均可开采量模数为11.67万m</w:t>
      </w:r>
      <w:r>
        <w:rPr>
          <w:rFonts w:hint="eastAsia"/>
          <w:color w:val="auto"/>
          <w:sz w:val="24"/>
          <w:szCs w:val="24"/>
          <w:vertAlign w:val="superscript"/>
        </w:rPr>
        <w:t>3</w:t>
      </w:r>
      <w:r>
        <w:rPr>
          <w:rFonts w:hint="eastAsia"/>
          <w:color w:val="auto"/>
          <w:sz w:val="24"/>
          <w:szCs w:val="24"/>
        </w:rPr>
        <w:t>/a.km</w:t>
      </w:r>
      <w:r>
        <w:rPr>
          <w:rFonts w:hint="eastAsia"/>
          <w:color w:val="auto"/>
          <w:sz w:val="24"/>
          <w:szCs w:val="24"/>
          <w:vertAlign w:val="superscript"/>
        </w:rPr>
        <w:t>2</w:t>
      </w:r>
      <w:r>
        <w:rPr>
          <w:rFonts w:hint="eastAsia"/>
          <w:color w:val="auto"/>
          <w:sz w:val="24"/>
          <w:szCs w:val="24"/>
        </w:rPr>
        <w:t>，现状年实际开采量模数为4.39万m</w:t>
      </w:r>
      <w:r>
        <w:rPr>
          <w:rFonts w:hint="eastAsia"/>
          <w:color w:val="auto"/>
          <w:sz w:val="24"/>
          <w:szCs w:val="24"/>
          <w:vertAlign w:val="superscript"/>
        </w:rPr>
        <w:t>3</w:t>
      </w:r>
      <w:r>
        <w:rPr>
          <w:rFonts w:hint="eastAsia"/>
          <w:color w:val="auto"/>
          <w:sz w:val="24"/>
          <w:szCs w:val="24"/>
        </w:rPr>
        <w:t>/a.km</w:t>
      </w:r>
      <w:r>
        <w:rPr>
          <w:rFonts w:hint="eastAsia"/>
          <w:color w:val="auto"/>
          <w:sz w:val="24"/>
          <w:szCs w:val="24"/>
          <w:vertAlign w:val="superscript"/>
        </w:rPr>
        <w:t>2</w:t>
      </w:r>
      <w:r>
        <w:rPr>
          <w:rFonts w:hint="eastAsia"/>
          <w:color w:val="auto"/>
          <w:sz w:val="24"/>
          <w:szCs w:val="24"/>
        </w:rPr>
        <w:t>，水量为267万m</w:t>
      </w:r>
      <w:r>
        <w:rPr>
          <w:rFonts w:hint="eastAsia"/>
          <w:color w:val="auto"/>
          <w:sz w:val="24"/>
          <w:szCs w:val="24"/>
          <w:vertAlign w:val="superscript"/>
        </w:rPr>
        <w:t>3</w:t>
      </w:r>
      <w:r>
        <w:rPr>
          <w:rFonts w:hint="eastAsia"/>
          <w:color w:val="auto"/>
          <w:sz w:val="24"/>
          <w:szCs w:val="24"/>
        </w:rPr>
        <w:t>，水质类别为《地下水质量标准》（GB/T 14848-2017）的Ⅲ类水，开采水位降深控制在5~8m以内，局部F、NO</w:t>
      </w:r>
      <w:r>
        <w:rPr>
          <w:rFonts w:hint="eastAsia"/>
          <w:color w:val="auto"/>
          <w:sz w:val="24"/>
          <w:szCs w:val="24"/>
          <w:vertAlign w:val="superscript"/>
        </w:rPr>
        <w:t>2-</w:t>
      </w:r>
      <w:r>
        <w:rPr>
          <w:rFonts w:hint="eastAsia"/>
          <w:color w:val="auto"/>
          <w:sz w:val="24"/>
          <w:szCs w:val="24"/>
        </w:rPr>
        <w:t>值超标。</w:t>
      </w:r>
    </w:p>
    <w:p>
      <w:pPr>
        <w:pStyle w:val="4"/>
        <w:rPr>
          <w:color w:val="auto"/>
        </w:rPr>
      </w:pPr>
      <w:bookmarkStart w:id="117" w:name="_Toc26276844"/>
      <w:r>
        <w:rPr>
          <w:rFonts w:hint="eastAsia"/>
          <w:color w:val="auto"/>
        </w:rPr>
        <w:t>4.1.6土壤、植被</w:t>
      </w:r>
      <w:bookmarkEnd w:id="117"/>
    </w:p>
    <w:p>
      <w:pPr>
        <w:spacing w:line="360" w:lineRule="auto"/>
        <w:ind w:firstLine="480" w:firstLineChars="200"/>
        <w:rPr>
          <w:color w:val="auto"/>
          <w:sz w:val="24"/>
          <w:szCs w:val="24"/>
        </w:rPr>
      </w:pPr>
      <w:r>
        <w:rPr>
          <w:rFonts w:hint="eastAsia"/>
          <w:color w:val="auto"/>
          <w:sz w:val="24"/>
          <w:szCs w:val="24"/>
        </w:rPr>
        <w:t>梅州市地处赤红壤地带，土壤类型复杂多样，成土母岩多为花岗岩，小部分为玄武岩，山地丘陵为母岩风化形成的赤红壤，土壤普遍呈酸性；韩江三角洲平原主要为水稻土。各种类型土中又夹杂着过渡性土壤。花岗岩赤红壤植被主要有马尾松、台湾相思、木麻黄等；部分荒坡地开垦为旱园，种植花生、柑橘等；玄武岩赤红壤土层深厚，有机物质丰富，质地较粘，主要栽培荔枝、龙眼、柑桔等果树。</w:t>
      </w:r>
    </w:p>
    <w:p>
      <w:pPr>
        <w:pStyle w:val="3"/>
        <w:rPr>
          <w:color w:val="auto"/>
        </w:rPr>
      </w:pPr>
      <w:bookmarkStart w:id="118" w:name="_Toc32581"/>
      <w:bookmarkStart w:id="119" w:name="_Toc26276845"/>
      <w:r>
        <w:rPr>
          <w:rFonts w:hint="eastAsia"/>
          <w:color w:val="auto"/>
        </w:rPr>
        <w:t>4.2环境质量现状调查与评价</w:t>
      </w:r>
      <w:bookmarkEnd w:id="118"/>
      <w:bookmarkEnd w:id="119"/>
    </w:p>
    <w:p>
      <w:pPr>
        <w:pStyle w:val="4"/>
        <w:rPr>
          <w:color w:val="auto"/>
        </w:rPr>
      </w:pPr>
      <w:bookmarkStart w:id="120" w:name="_Toc26276846"/>
      <w:r>
        <w:rPr>
          <w:rFonts w:hint="eastAsia"/>
          <w:color w:val="auto"/>
        </w:rPr>
        <w:t>4.2.1空气质量现状调查与评价</w:t>
      </w:r>
      <w:bookmarkEnd w:id="120"/>
    </w:p>
    <w:p>
      <w:pPr>
        <w:pStyle w:val="5"/>
        <w:rPr>
          <w:color w:val="auto"/>
        </w:rPr>
      </w:pPr>
      <w:r>
        <w:rPr>
          <w:rFonts w:hint="eastAsia"/>
          <w:color w:val="auto"/>
        </w:rPr>
        <w:t>4.2.1.1项目所在区域达标判断</w:t>
      </w:r>
    </w:p>
    <w:p>
      <w:pPr>
        <w:spacing w:line="360" w:lineRule="auto"/>
        <w:ind w:firstLine="480" w:firstLineChars="200"/>
        <w:jc w:val="left"/>
        <w:rPr>
          <w:color w:val="auto"/>
          <w:sz w:val="24"/>
          <w:szCs w:val="24"/>
        </w:rPr>
      </w:pPr>
      <w:r>
        <w:rPr>
          <w:rFonts w:hint="eastAsia"/>
          <w:color w:val="auto"/>
          <w:sz w:val="24"/>
          <w:szCs w:val="24"/>
        </w:rPr>
        <w:t>根据《2019年梅州市生态环境状况公报》（梅州市生态环境局，2020年6月1日），2019年梅州市环境空气质量总体较好，环境空气质量指数（AQI）范围在18~117之间，空气质量优的天数192天，良的天数169天，轻度污染4天，优良率98.9%，同比下降0.6个百分点；首要污染物NO</w:t>
      </w:r>
      <w:r>
        <w:rPr>
          <w:rFonts w:hint="eastAsia"/>
          <w:color w:val="auto"/>
          <w:sz w:val="24"/>
          <w:szCs w:val="24"/>
          <w:vertAlign w:val="subscript"/>
        </w:rPr>
        <w:t>2</w:t>
      </w:r>
      <w:r>
        <w:rPr>
          <w:rFonts w:hint="eastAsia"/>
          <w:color w:val="auto"/>
          <w:sz w:val="24"/>
          <w:szCs w:val="24"/>
        </w:rPr>
        <w:t>（11天）、PM</w:t>
      </w:r>
      <w:r>
        <w:rPr>
          <w:rFonts w:hint="eastAsia"/>
          <w:color w:val="auto"/>
          <w:sz w:val="24"/>
          <w:szCs w:val="24"/>
          <w:vertAlign w:val="subscript"/>
        </w:rPr>
        <w:t>10</w:t>
      </w:r>
      <w:r>
        <w:rPr>
          <w:rFonts w:hint="eastAsia"/>
          <w:color w:val="auto"/>
          <w:sz w:val="24"/>
          <w:szCs w:val="24"/>
        </w:rPr>
        <w:t>（29天）、O</w:t>
      </w:r>
      <w:r>
        <w:rPr>
          <w:rFonts w:hint="eastAsia"/>
          <w:color w:val="auto"/>
          <w:sz w:val="24"/>
          <w:szCs w:val="24"/>
          <w:vertAlign w:val="subscript"/>
        </w:rPr>
        <w:t>3</w:t>
      </w:r>
      <w:r>
        <w:rPr>
          <w:rFonts w:hint="eastAsia"/>
          <w:color w:val="auto"/>
          <w:sz w:val="24"/>
          <w:szCs w:val="24"/>
        </w:rPr>
        <w:t>（101天）、PM</w:t>
      </w:r>
      <w:r>
        <w:rPr>
          <w:rFonts w:hint="eastAsia"/>
          <w:color w:val="auto"/>
          <w:sz w:val="24"/>
          <w:szCs w:val="24"/>
          <w:vertAlign w:val="subscript"/>
        </w:rPr>
        <w:t>2.5</w:t>
      </w:r>
      <w:r>
        <w:rPr>
          <w:rFonts w:hint="eastAsia"/>
          <w:color w:val="auto"/>
          <w:sz w:val="24"/>
          <w:szCs w:val="24"/>
        </w:rPr>
        <w:t>（37天）；城市环境空气质量综合指数为3.19，在全省21个地级市中与深圳市并列排第6名。</w:t>
      </w:r>
    </w:p>
    <w:p>
      <w:pPr>
        <w:spacing w:line="360" w:lineRule="auto"/>
        <w:ind w:firstLine="480" w:firstLineChars="200"/>
        <w:jc w:val="left"/>
        <w:rPr>
          <w:color w:val="auto"/>
          <w:sz w:val="24"/>
          <w:szCs w:val="24"/>
        </w:rPr>
      </w:pPr>
      <w:r>
        <w:rPr>
          <w:rFonts w:hint="eastAsia"/>
          <w:color w:val="auto"/>
          <w:sz w:val="24"/>
          <w:szCs w:val="24"/>
        </w:rPr>
        <w:t>2019年梅州市环境空气质量情况详见下表。</w:t>
      </w:r>
    </w:p>
    <w:p>
      <w:pPr>
        <w:spacing w:line="360" w:lineRule="auto"/>
        <w:jc w:val="center"/>
        <w:rPr>
          <w:b/>
          <w:bCs/>
          <w:color w:val="auto"/>
          <w:sz w:val="24"/>
          <w:szCs w:val="24"/>
        </w:rPr>
      </w:pPr>
      <w:r>
        <w:rPr>
          <w:rFonts w:hint="eastAsia"/>
          <w:b/>
          <w:bCs/>
          <w:color w:val="auto"/>
          <w:sz w:val="24"/>
          <w:szCs w:val="24"/>
        </w:rPr>
        <w:t>表4-2-1   梅州市</w:t>
      </w:r>
      <w:r>
        <w:rPr>
          <w:b/>
          <w:bCs/>
          <w:color w:val="auto"/>
          <w:sz w:val="24"/>
          <w:szCs w:val="24"/>
        </w:rPr>
        <w:t>201</w:t>
      </w:r>
      <w:r>
        <w:rPr>
          <w:rFonts w:hint="eastAsia"/>
          <w:b/>
          <w:bCs/>
          <w:color w:val="auto"/>
          <w:sz w:val="24"/>
          <w:szCs w:val="24"/>
        </w:rPr>
        <w:t>9</w:t>
      </w:r>
      <w:r>
        <w:rPr>
          <w:b/>
          <w:bCs/>
          <w:color w:val="auto"/>
          <w:sz w:val="24"/>
          <w:szCs w:val="24"/>
        </w:rPr>
        <w:t>年环境空气质量情况（单位：μg/m</w:t>
      </w:r>
      <w:r>
        <w:rPr>
          <w:b/>
          <w:bCs/>
          <w:color w:val="auto"/>
          <w:sz w:val="24"/>
          <w:szCs w:val="24"/>
          <w:vertAlign w:val="superscript"/>
        </w:rPr>
        <w:t>3</w:t>
      </w:r>
      <w:r>
        <w:rPr>
          <w:b/>
          <w:bCs/>
          <w:color w:val="auto"/>
          <w:sz w:val="24"/>
          <w:szCs w:val="24"/>
        </w:rPr>
        <w:t>，CO：mg/m</w:t>
      </w:r>
      <w:r>
        <w:rPr>
          <w:b/>
          <w:bCs/>
          <w:color w:val="auto"/>
          <w:sz w:val="24"/>
          <w:szCs w:val="24"/>
          <w:vertAlign w:val="superscript"/>
        </w:rPr>
        <w:t>3</w:t>
      </w:r>
      <w:r>
        <w:rPr>
          <w:b/>
          <w:bCs/>
          <w:color w:val="auto"/>
          <w:sz w:val="24"/>
          <w:szCs w:val="24"/>
        </w:rPr>
        <w:t>）</w:t>
      </w:r>
    </w:p>
    <w:tbl>
      <w:tblPr>
        <w:tblStyle w:val="28"/>
        <w:tblW w:w="8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780"/>
        <w:gridCol w:w="1560"/>
        <w:gridCol w:w="1984"/>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b/>
                <w:bCs/>
                <w:color w:val="auto"/>
                <w:sz w:val="21"/>
                <w:szCs w:val="21"/>
              </w:rPr>
            </w:pPr>
            <w:r>
              <w:rPr>
                <w:b/>
                <w:bCs/>
                <w:color w:val="auto"/>
                <w:sz w:val="21"/>
                <w:szCs w:val="21"/>
              </w:rPr>
              <w:t>序号</w:t>
            </w:r>
          </w:p>
        </w:tc>
        <w:tc>
          <w:tcPr>
            <w:tcW w:w="3780" w:type="dxa"/>
            <w:vAlign w:val="center"/>
          </w:tcPr>
          <w:p>
            <w:pPr>
              <w:jc w:val="center"/>
              <w:rPr>
                <w:b/>
                <w:bCs/>
                <w:color w:val="auto"/>
                <w:sz w:val="21"/>
                <w:szCs w:val="21"/>
              </w:rPr>
            </w:pPr>
            <w:r>
              <w:rPr>
                <w:b/>
                <w:bCs/>
                <w:color w:val="auto"/>
                <w:sz w:val="21"/>
                <w:szCs w:val="21"/>
              </w:rPr>
              <w:t>环境质量指标</w:t>
            </w:r>
          </w:p>
        </w:tc>
        <w:tc>
          <w:tcPr>
            <w:tcW w:w="1560" w:type="dxa"/>
            <w:vAlign w:val="center"/>
          </w:tcPr>
          <w:p>
            <w:pPr>
              <w:jc w:val="center"/>
              <w:rPr>
                <w:b/>
                <w:bCs/>
                <w:color w:val="auto"/>
                <w:sz w:val="21"/>
                <w:szCs w:val="21"/>
              </w:rPr>
            </w:pPr>
            <w:r>
              <w:rPr>
                <w:b/>
                <w:bCs/>
                <w:color w:val="auto"/>
                <w:sz w:val="21"/>
                <w:szCs w:val="21"/>
              </w:rPr>
              <w:t>201</w:t>
            </w:r>
            <w:r>
              <w:rPr>
                <w:rFonts w:hint="eastAsia"/>
                <w:b/>
                <w:bCs/>
                <w:color w:val="auto"/>
                <w:sz w:val="21"/>
                <w:szCs w:val="21"/>
              </w:rPr>
              <w:t>9</w:t>
            </w:r>
            <w:r>
              <w:rPr>
                <w:b/>
                <w:bCs/>
                <w:color w:val="auto"/>
                <w:sz w:val="21"/>
                <w:szCs w:val="21"/>
              </w:rPr>
              <w:t>年现状值</w:t>
            </w:r>
          </w:p>
        </w:tc>
        <w:tc>
          <w:tcPr>
            <w:tcW w:w="1984" w:type="dxa"/>
            <w:vAlign w:val="center"/>
          </w:tcPr>
          <w:p>
            <w:pPr>
              <w:jc w:val="center"/>
              <w:rPr>
                <w:b/>
                <w:bCs/>
                <w:color w:val="auto"/>
                <w:sz w:val="21"/>
                <w:szCs w:val="21"/>
              </w:rPr>
            </w:pPr>
            <w:r>
              <w:rPr>
                <w:b/>
                <w:bCs/>
                <w:color w:val="auto"/>
                <w:sz w:val="21"/>
                <w:szCs w:val="21"/>
              </w:rPr>
              <w:t>国家空气质量标准</w:t>
            </w:r>
          </w:p>
        </w:tc>
        <w:tc>
          <w:tcPr>
            <w:tcW w:w="929" w:type="dxa"/>
            <w:vAlign w:val="center"/>
          </w:tcPr>
          <w:p>
            <w:pPr>
              <w:jc w:val="center"/>
              <w:rPr>
                <w:b/>
                <w:bCs/>
                <w:color w:val="auto"/>
                <w:sz w:val="21"/>
                <w:szCs w:val="21"/>
              </w:rPr>
            </w:pPr>
            <w:r>
              <w:rPr>
                <w:b/>
                <w:bCs/>
                <w:color w:val="auto"/>
                <w:sz w:val="21"/>
                <w:szCs w:val="21"/>
              </w:rPr>
              <w:t>达标性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bCs/>
                <w:color w:val="auto"/>
                <w:sz w:val="21"/>
                <w:szCs w:val="21"/>
              </w:rPr>
            </w:pPr>
            <w:r>
              <w:rPr>
                <w:bCs/>
                <w:color w:val="auto"/>
                <w:sz w:val="21"/>
                <w:szCs w:val="21"/>
              </w:rPr>
              <w:t>1</w:t>
            </w:r>
          </w:p>
        </w:tc>
        <w:tc>
          <w:tcPr>
            <w:tcW w:w="3780" w:type="dxa"/>
            <w:vAlign w:val="center"/>
          </w:tcPr>
          <w:p>
            <w:pPr>
              <w:jc w:val="center"/>
              <w:rPr>
                <w:bCs/>
                <w:color w:val="auto"/>
                <w:sz w:val="21"/>
                <w:szCs w:val="21"/>
              </w:rPr>
            </w:pPr>
            <w:r>
              <w:rPr>
                <w:bCs/>
                <w:color w:val="auto"/>
                <w:sz w:val="21"/>
                <w:szCs w:val="21"/>
              </w:rPr>
              <w:t>二氧化硫年均浓度</w:t>
            </w:r>
          </w:p>
        </w:tc>
        <w:tc>
          <w:tcPr>
            <w:tcW w:w="1560" w:type="dxa"/>
            <w:vAlign w:val="center"/>
          </w:tcPr>
          <w:p>
            <w:pPr>
              <w:jc w:val="center"/>
              <w:rPr>
                <w:bCs/>
                <w:color w:val="auto"/>
                <w:sz w:val="21"/>
                <w:szCs w:val="21"/>
              </w:rPr>
            </w:pPr>
            <w:r>
              <w:rPr>
                <w:rFonts w:hint="eastAsia"/>
                <w:bCs/>
                <w:color w:val="auto"/>
                <w:sz w:val="21"/>
                <w:szCs w:val="21"/>
              </w:rPr>
              <w:t>8</w:t>
            </w:r>
          </w:p>
        </w:tc>
        <w:tc>
          <w:tcPr>
            <w:tcW w:w="1984" w:type="dxa"/>
            <w:vAlign w:val="center"/>
          </w:tcPr>
          <w:p>
            <w:pPr>
              <w:jc w:val="center"/>
              <w:rPr>
                <w:bCs/>
                <w:color w:val="auto"/>
                <w:sz w:val="21"/>
                <w:szCs w:val="21"/>
              </w:rPr>
            </w:pPr>
            <w:r>
              <w:rPr>
                <w:bCs/>
                <w:color w:val="auto"/>
                <w:sz w:val="21"/>
                <w:szCs w:val="21"/>
              </w:rPr>
              <w:t>≤60</w:t>
            </w:r>
          </w:p>
        </w:tc>
        <w:tc>
          <w:tcPr>
            <w:tcW w:w="929" w:type="dxa"/>
            <w:vAlign w:val="center"/>
          </w:tcPr>
          <w:p>
            <w:pPr>
              <w:jc w:val="center"/>
              <w:rPr>
                <w:bCs/>
                <w:color w:val="auto"/>
                <w:sz w:val="21"/>
                <w:szCs w:val="21"/>
              </w:rPr>
            </w:pPr>
            <w:r>
              <w:rPr>
                <w:bCs/>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bCs/>
                <w:color w:val="auto"/>
                <w:sz w:val="21"/>
                <w:szCs w:val="21"/>
              </w:rPr>
            </w:pPr>
            <w:r>
              <w:rPr>
                <w:bCs/>
                <w:color w:val="auto"/>
                <w:sz w:val="21"/>
                <w:szCs w:val="21"/>
              </w:rPr>
              <w:t>2</w:t>
            </w:r>
          </w:p>
        </w:tc>
        <w:tc>
          <w:tcPr>
            <w:tcW w:w="3780" w:type="dxa"/>
            <w:vAlign w:val="center"/>
          </w:tcPr>
          <w:p>
            <w:pPr>
              <w:jc w:val="center"/>
              <w:rPr>
                <w:bCs/>
                <w:color w:val="auto"/>
                <w:sz w:val="21"/>
                <w:szCs w:val="21"/>
              </w:rPr>
            </w:pPr>
            <w:r>
              <w:rPr>
                <w:bCs/>
                <w:color w:val="auto"/>
                <w:sz w:val="21"/>
                <w:szCs w:val="21"/>
              </w:rPr>
              <w:t>二氧化氮年均浓度</w:t>
            </w:r>
          </w:p>
        </w:tc>
        <w:tc>
          <w:tcPr>
            <w:tcW w:w="1560" w:type="dxa"/>
            <w:vAlign w:val="center"/>
          </w:tcPr>
          <w:p>
            <w:pPr>
              <w:jc w:val="center"/>
              <w:rPr>
                <w:bCs/>
                <w:color w:val="auto"/>
                <w:sz w:val="21"/>
                <w:szCs w:val="21"/>
              </w:rPr>
            </w:pPr>
            <w:r>
              <w:rPr>
                <w:rFonts w:hint="eastAsia"/>
                <w:bCs/>
                <w:color w:val="auto"/>
                <w:sz w:val="21"/>
                <w:szCs w:val="21"/>
              </w:rPr>
              <w:t>25</w:t>
            </w:r>
          </w:p>
        </w:tc>
        <w:tc>
          <w:tcPr>
            <w:tcW w:w="1984" w:type="dxa"/>
            <w:vAlign w:val="center"/>
          </w:tcPr>
          <w:p>
            <w:pPr>
              <w:jc w:val="center"/>
              <w:rPr>
                <w:bCs/>
                <w:color w:val="auto"/>
                <w:sz w:val="21"/>
                <w:szCs w:val="21"/>
              </w:rPr>
            </w:pPr>
            <w:r>
              <w:rPr>
                <w:bCs/>
                <w:color w:val="auto"/>
                <w:sz w:val="21"/>
                <w:szCs w:val="21"/>
              </w:rPr>
              <w:t>≤40</w:t>
            </w:r>
          </w:p>
        </w:tc>
        <w:tc>
          <w:tcPr>
            <w:tcW w:w="929" w:type="dxa"/>
            <w:vAlign w:val="center"/>
          </w:tcPr>
          <w:p>
            <w:pPr>
              <w:jc w:val="center"/>
              <w:rPr>
                <w:bCs/>
                <w:color w:val="auto"/>
                <w:sz w:val="21"/>
                <w:szCs w:val="21"/>
              </w:rPr>
            </w:pPr>
            <w:r>
              <w:rPr>
                <w:bCs/>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bCs/>
                <w:color w:val="auto"/>
                <w:sz w:val="21"/>
                <w:szCs w:val="21"/>
              </w:rPr>
            </w:pPr>
            <w:r>
              <w:rPr>
                <w:bCs/>
                <w:color w:val="auto"/>
                <w:sz w:val="21"/>
                <w:szCs w:val="21"/>
              </w:rPr>
              <w:t>3</w:t>
            </w:r>
          </w:p>
        </w:tc>
        <w:tc>
          <w:tcPr>
            <w:tcW w:w="3780" w:type="dxa"/>
            <w:vAlign w:val="center"/>
          </w:tcPr>
          <w:p>
            <w:pPr>
              <w:jc w:val="center"/>
              <w:rPr>
                <w:bCs/>
                <w:color w:val="auto"/>
                <w:sz w:val="21"/>
                <w:szCs w:val="21"/>
              </w:rPr>
            </w:pPr>
            <w:r>
              <w:rPr>
                <w:bCs/>
                <w:color w:val="auto"/>
                <w:sz w:val="21"/>
                <w:szCs w:val="21"/>
              </w:rPr>
              <w:t>PM</w:t>
            </w:r>
            <w:r>
              <w:rPr>
                <w:bCs/>
                <w:color w:val="auto"/>
                <w:sz w:val="21"/>
                <w:szCs w:val="21"/>
                <w:vertAlign w:val="subscript"/>
              </w:rPr>
              <w:t>10</w:t>
            </w:r>
            <w:r>
              <w:rPr>
                <w:bCs/>
                <w:color w:val="auto"/>
                <w:sz w:val="21"/>
                <w:szCs w:val="21"/>
              </w:rPr>
              <w:t>年均浓度</w:t>
            </w:r>
          </w:p>
        </w:tc>
        <w:tc>
          <w:tcPr>
            <w:tcW w:w="1560" w:type="dxa"/>
            <w:vAlign w:val="center"/>
          </w:tcPr>
          <w:p>
            <w:pPr>
              <w:jc w:val="center"/>
              <w:rPr>
                <w:bCs/>
                <w:color w:val="auto"/>
                <w:sz w:val="21"/>
                <w:szCs w:val="21"/>
              </w:rPr>
            </w:pPr>
            <w:r>
              <w:rPr>
                <w:rFonts w:hint="eastAsia"/>
                <w:bCs/>
                <w:color w:val="auto"/>
                <w:sz w:val="21"/>
                <w:szCs w:val="21"/>
              </w:rPr>
              <w:t>42</w:t>
            </w:r>
          </w:p>
        </w:tc>
        <w:tc>
          <w:tcPr>
            <w:tcW w:w="1984" w:type="dxa"/>
            <w:vAlign w:val="center"/>
          </w:tcPr>
          <w:p>
            <w:pPr>
              <w:jc w:val="center"/>
              <w:rPr>
                <w:bCs/>
                <w:color w:val="auto"/>
                <w:sz w:val="21"/>
                <w:szCs w:val="21"/>
              </w:rPr>
            </w:pPr>
            <w:r>
              <w:rPr>
                <w:bCs/>
                <w:color w:val="auto"/>
                <w:sz w:val="21"/>
                <w:szCs w:val="21"/>
              </w:rPr>
              <w:t>≤70</w:t>
            </w:r>
          </w:p>
        </w:tc>
        <w:tc>
          <w:tcPr>
            <w:tcW w:w="929" w:type="dxa"/>
            <w:vAlign w:val="center"/>
          </w:tcPr>
          <w:p>
            <w:pPr>
              <w:jc w:val="center"/>
              <w:rPr>
                <w:bCs/>
                <w:color w:val="auto"/>
                <w:sz w:val="21"/>
                <w:szCs w:val="21"/>
              </w:rPr>
            </w:pPr>
            <w:r>
              <w:rPr>
                <w:bCs/>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bCs/>
                <w:color w:val="auto"/>
                <w:sz w:val="21"/>
                <w:szCs w:val="21"/>
              </w:rPr>
            </w:pPr>
            <w:r>
              <w:rPr>
                <w:bCs/>
                <w:color w:val="auto"/>
                <w:sz w:val="21"/>
                <w:szCs w:val="21"/>
              </w:rPr>
              <w:t>4</w:t>
            </w:r>
          </w:p>
        </w:tc>
        <w:tc>
          <w:tcPr>
            <w:tcW w:w="3780" w:type="dxa"/>
            <w:vAlign w:val="center"/>
          </w:tcPr>
          <w:p>
            <w:pPr>
              <w:jc w:val="center"/>
              <w:rPr>
                <w:bCs/>
                <w:color w:val="auto"/>
                <w:sz w:val="21"/>
                <w:szCs w:val="21"/>
              </w:rPr>
            </w:pPr>
            <w:r>
              <w:rPr>
                <w:bCs/>
                <w:color w:val="auto"/>
                <w:sz w:val="21"/>
                <w:szCs w:val="21"/>
              </w:rPr>
              <w:t>PM</w:t>
            </w:r>
            <w:r>
              <w:rPr>
                <w:bCs/>
                <w:color w:val="auto"/>
                <w:sz w:val="21"/>
                <w:szCs w:val="21"/>
                <w:vertAlign w:val="subscript"/>
              </w:rPr>
              <w:t>2.5</w:t>
            </w:r>
            <w:r>
              <w:rPr>
                <w:bCs/>
                <w:color w:val="auto"/>
                <w:sz w:val="21"/>
                <w:szCs w:val="21"/>
              </w:rPr>
              <w:t>年均浓度</w:t>
            </w:r>
          </w:p>
        </w:tc>
        <w:tc>
          <w:tcPr>
            <w:tcW w:w="1560" w:type="dxa"/>
            <w:vAlign w:val="center"/>
          </w:tcPr>
          <w:p>
            <w:pPr>
              <w:jc w:val="center"/>
              <w:rPr>
                <w:bCs/>
                <w:color w:val="auto"/>
                <w:sz w:val="21"/>
                <w:szCs w:val="21"/>
              </w:rPr>
            </w:pPr>
            <w:r>
              <w:rPr>
                <w:rFonts w:hint="eastAsia"/>
                <w:bCs/>
                <w:color w:val="auto"/>
                <w:sz w:val="21"/>
                <w:szCs w:val="21"/>
              </w:rPr>
              <w:t>26</w:t>
            </w:r>
          </w:p>
        </w:tc>
        <w:tc>
          <w:tcPr>
            <w:tcW w:w="1984" w:type="dxa"/>
            <w:vAlign w:val="center"/>
          </w:tcPr>
          <w:p>
            <w:pPr>
              <w:jc w:val="center"/>
              <w:rPr>
                <w:bCs/>
                <w:color w:val="auto"/>
                <w:sz w:val="21"/>
                <w:szCs w:val="21"/>
              </w:rPr>
            </w:pPr>
            <w:r>
              <w:rPr>
                <w:bCs/>
                <w:color w:val="auto"/>
                <w:sz w:val="21"/>
                <w:szCs w:val="21"/>
              </w:rPr>
              <w:t>≤35</w:t>
            </w:r>
          </w:p>
        </w:tc>
        <w:tc>
          <w:tcPr>
            <w:tcW w:w="929" w:type="dxa"/>
            <w:vAlign w:val="center"/>
          </w:tcPr>
          <w:p>
            <w:pPr>
              <w:jc w:val="center"/>
              <w:rPr>
                <w:bCs/>
                <w:color w:val="auto"/>
                <w:sz w:val="21"/>
                <w:szCs w:val="21"/>
              </w:rPr>
            </w:pPr>
            <w:r>
              <w:rPr>
                <w:bCs/>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bCs/>
                <w:color w:val="auto"/>
                <w:sz w:val="21"/>
                <w:szCs w:val="21"/>
              </w:rPr>
            </w:pPr>
            <w:r>
              <w:rPr>
                <w:bCs/>
                <w:color w:val="auto"/>
                <w:sz w:val="21"/>
                <w:szCs w:val="21"/>
              </w:rPr>
              <w:t>5</w:t>
            </w:r>
          </w:p>
        </w:tc>
        <w:tc>
          <w:tcPr>
            <w:tcW w:w="3780" w:type="dxa"/>
            <w:vAlign w:val="center"/>
          </w:tcPr>
          <w:p>
            <w:pPr>
              <w:jc w:val="center"/>
              <w:rPr>
                <w:bCs/>
                <w:color w:val="auto"/>
                <w:sz w:val="21"/>
                <w:szCs w:val="21"/>
              </w:rPr>
            </w:pPr>
            <w:r>
              <w:rPr>
                <w:bCs/>
                <w:color w:val="auto"/>
                <w:sz w:val="21"/>
                <w:szCs w:val="21"/>
              </w:rPr>
              <w:t>一氧化碳日平均值的第95百分位数</w:t>
            </w:r>
          </w:p>
        </w:tc>
        <w:tc>
          <w:tcPr>
            <w:tcW w:w="1560" w:type="dxa"/>
            <w:vAlign w:val="center"/>
          </w:tcPr>
          <w:p>
            <w:pPr>
              <w:jc w:val="center"/>
              <w:rPr>
                <w:bCs/>
                <w:color w:val="auto"/>
                <w:sz w:val="21"/>
                <w:szCs w:val="21"/>
              </w:rPr>
            </w:pPr>
            <w:r>
              <w:rPr>
                <w:rFonts w:hint="eastAsia"/>
                <w:bCs/>
                <w:color w:val="auto"/>
                <w:sz w:val="21"/>
                <w:szCs w:val="21"/>
              </w:rPr>
              <w:t>1.1</w:t>
            </w:r>
          </w:p>
        </w:tc>
        <w:tc>
          <w:tcPr>
            <w:tcW w:w="1984" w:type="dxa"/>
            <w:vAlign w:val="center"/>
          </w:tcPr>
          <w:p>
            <w:pPr>
              <w:jc w:val="center"/>
              <w:rPr>
                <w:bCs/>
                <w:color w:val="auto"/>
                <w:sz w:val="21"/>
                <w:szCs w:val="21"/>
              </w:rPr>
            </w:pPr>
            <w:r>
              <w:rPr>
                <w:bCs/>
                <w:color w:val="auto"/>
                <w:sz w:val="21"/>
                <w:szCs w:val="21"/>
              </w:rPr>
              <w:t>≤4</w:t>
            </w:r>
          </w:p>
        </w:tc>
        <w:tc>
          <w:tcPr>
            <w:tcW w:w="929" w:type="dxa"/>
            <w:vAlign w:val="center"/>
          </w:tcPr>
          <w:p>
            <w:pPr>
              <w:jc w:val="center"/>
              <w:rPr>
                <w:bCs/>
                <w:color w:val="auto"/>
                <w:sz w:val="21"/>
                <w:szCs w:val="21"/>
              </w:rPr>
            </w:pPr>
            <w:r>
              <w:rPr>
                <w:bCs/>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bCs/>
                <w:color w:val="auto"/>
                <w:sz w:val="21"/>
                <w:szCs w:val="21"/>
              </w:rPr>
            </w:pPr>
            <w:r>
              <w:rPr>
                <w:bCs/>
                <w:color w:val="auto"/>
                <w:sz w:val="21"/>
                <w:szCs w:val="21"/>
              </w:rPr>
              <w:t>6</w:t>
            </w:r>
          </w:p>
        </w:tc>
        <w:tc>
          <w:tcPr>
            <w:tcW w:w="3780" w:type="dxa"/>
            <w:vAlign w:val="center"/>
          </w:tcPr>
          <w:p>
            <w:pPr>
              <w:jc w:val="center"/>
              <w:rPr>
                <w:bCs/>
                <w:color w:val="auto"/>
                <w:sz w:val="21"/>
                <w:szCs w:val="21"/>
              </w:rPr>
            </w:pPr>
            <w:r>
              <w:rPr>
                <w:bCs/>
                <w:color w:val="auto"/>
                <w:sz w:val="21"/>
                <w:szCs w:val="21"/>
              </w:rPr>
              <w:t>臭氧日最大8小时平均值的第90百分位数</w:t>
            </w:r>
          </w:p>
        </w:tc>
        <w:tc>
          <w:tcPr>
            <w:tcW w:w="1560" w:type="dxa"/>
            <w:vAlign w:val="center"/>
          </w:tcPr>
          <w:p>
            <w:pPr>
              <w:jc w:val="center"/>
              <w:rPr>
                <w:bCs/>
                <w:color w:val="auto"/>
                <w:sz w:val="21"/>
                <w:szCs w:val="21"/>
              </w:rPr>
            </w:pPr>
            <w:r>
              <w:rPr>
                <w:rFonts w:hint="eastAsia"/>
                <w:bCs/>
                <w:color w:val="auto"/>
                <w:sz w:val="21"/>
                <w:szCs w:val="21"/>
              </w:rPr>
              <w:t>131</w:t>
            </w:r>
          </w:p>
        </w:tc>
        <w:tc>
          <w:tcPr>
            <w:tcW w:w="1984" w:type="dxa"/>
            <w:vAlign w:val="center"/>
          </w:tcPr>
          <w:p>
            <w:pPr>
              <w:jc w:val="center"/>
              <w:rPr>
                <w:bCs/>
                <w:color w:val="auto"/>
                <w:sz w:val="21"/>
                <w:szCs w:val="21"/>
              </w:rPr>
            </w:pPr>
            <w:r>
              <w:rPr>
                <w:bCs/>
                <w:color w:val="auto"/>
                <w:sz w:val="21"/>
                <w:szCs w:val="21"/>
              </w:rPr>
              <w:t>≤160</w:t>
            </w:r>
          </w:p>
        </w:tc>
        <w:tc>
          <w:tcPr>
            <w:tcW w:w="929" w:type="dxa"/>
            <w:vAlign w:val="center"/>
          </w:tcPr>
          <w:p>
            <w:pPr>
              <w:jc w:val="center"/>
              <w:rPr>
                <w:bCs/>
                <w:color w:val="auto"/>
                <w:sz w:val="21"/>
                <w:szCs w:val="21"/>
              </w:rPr>
            </w:pPr>
            <w:r>
              <w:rPr>
                <w:bCs/>
                <w:color w:val="auto"/>
                <w:sz w:val="21"/>
                <w:szCs w:val="21"/>
              </w:rPr>
              <w:t>达标</w:t>
            </w:r>
          </w:p>
        </w:tc>
      </w:tr>
    </w:tbl>
    <w:p>
      <w:pPr>
        <w:spacing w:line="360" w:lineRule="auto"/>
        <w:ind w:firstLine="480" w:firstLineChars="200"/>
        <w:rPr>
          <w:color w:val="auto"/>
          <w:sz w:val="24"/>
          <w:szCs w:val="24"/>
        </w:rPr>
      </w:pPr>
      <w:r>
        <w:rPr>
          <w:bCs/>
          <w:color w:val="auto"/>
          <w:sz w:val="24"/>
          <w:szCs w:val="24"/>
        </w:rPr>
        <w:t>根据《环境影响评价技术导则 大气环境》（HJ2.2-2018），城市环境空气质量达标情况评价指标为SO</w:t>
      </w:r>
      <w:r>
        <w:rPr>
          <w:bCs/>
          <w:color w:val="auto"/>
          <w:sz w:val="24"/>
          <w:szCs w:val="24"/>
          <w:vertAlign w:val="subscript"/>
        </w:rPr>
        <w:t>2</w:t>
      </w:r>
      <w:r>
        <w:rPr>
          <w:bCs/>
          <w:color w:val="auto"/>
          <w:sz w:val="24"/>
          <w:szCs w:val="24"/>
        </w:rPr>
        <w:t>、NO</w:t>
      </w:r>
      <w:r>
        <w:rPr>
          <w:bCs/>
          <w:color w:val="auto"/>
          <w:sz w:val="24"/>
          <w:szCs w:val="24"/>
          <w:vertAlign w:val="subscript"/>
        </w:rPr>
        <w:t>2</w:t>
      </w:r>
      <w:r>
        <w:rPr>
          <w:bCs/>
          <w:color w:val="auto"/>
          <w:sz w:val="24"/>
          <w:szCs w:val="24"/>
        </w:rPr>
        <w:t>、PM</w:t>
      </w:r>
      <w:r>
        <w:rPr>
          <w:bCs/>
          <w:color w:val="auto"/>
          <w:sz w:val="24"/>
          <w:szCs w:val="24"/>
          <w:vertAlign w:val="subscript"/>
        </w:rPr>
        <w:t>10</w:t>
      </w:r>
      <w:r>
        <w:rPr>
          <w:bCs/>
          <w:color w:val="auto"/>
          <w:sz w:val="24"/>
          <w:szCs w:val="24"/>
        </w:rPr>
        <w:t>、PM</w:t>
      </w:r>
      <w:r>
        <w:rPr>
          <w:bCs/>
          <w:color w:val="auto"/>
          <w:sz w:val="24"/>
          <w:szCs w:val="24"/>
          <w:vertAlign w:val="subscript"/>
        </w:rPr>
        <w:t>2.5</w:t>
      </w:r>
      <w:r>
        <w:rPr>
          <w:bCs/>
          <w:color w:val="auto"/>
          <w:sz w:val="24"/>
          <w:szCs w:val="24"/>
        </w:rPr>
        <w:t>、CO 和O</w:t>
      </w:r>
      <w:r>
        <w:rPr>
          <w:bCs/>
          <w:color w:val="auto"/>
          <w:sz w:val="24"/>
          <w:szCs w:val="24"/>
          <w:vertAlign w:val="subscript"/>
        </w:rPr>
        <w:t>3</w:t>
      </w:r>
      <w:r>
        <w:rPr>
          <w:bCs/>
          <w:color w:val="auto"/>
          <w:sz w:val="24"/>
          <w:szCs w:val="24"/>
        </w:rPr>
        <w:t>，六项污染物全部达标即为城市环境空气质量达标。由</w:t>
      </w:r>
      <w:r>
        <w:rPr>
          <w:rFonts w:hint="eastAsia"/>
          <w:color w:val="auto"/>
          <w:sz w:val="24"/>
          <w:szCs w:val="24"/>
        </w:rPr>
        <w:t>《2019年梅州市生态环境状况公报》（梅州市生态环境局，2020年6月1日）</w:t>
      </w:r>
      <w:r>
        <w:rPr>
          <w:bCs/>
          <w:color w:val="auto"/>
          <w:sz w:val="24"/>
          <w:szCs w:val="24"/>
        </w:rPr>
        <w:t>可知，</w:t>
      </w:r>
      <w:r>
        <w:rPr>
          <w:rFonts w:hint="eastAsia"/>
          <w:bCs/>
          <w:color w:val="auto"/>
          <w:sz w:val="24"/>
          <w:szCs w:val="24"/>
        </w:rPr>
        <w:t>梅州市</w:t>
      </w:r>
      <w:r>
        <w:rPr>
          <w:bCs/>
          <w:color w:val="auto"/>
          <w:sz w:val="24"/>
          <w:szCs w:val="24"/>
        </w:rPr>
        <w:t>201</w:t>
      </w:r>
      <w:r>
        <w:rPr>
          <w:rFonts w:hint="eastAsia"/>
          <w:bCs/>
          <w:color w:val="auto"/>
          <w:sz w:val="24"/>
          <w:szCs w:val="24"/>
        </w:rPr>
        <w:t>9</w:t>
      </w:r>
      <w:r>
        <w:rPr>
          <w:bCs/>
          <w:color w:val="auto"/>
          <w:sz w:val="24"/>
          <w:szCs w:val="24"/>
        </w:rPr>
        <w:t>年度环境空气质量可达到《环境空气质量标准》（GB3095-2012）及2018年修改单中的二级标准，属于达标区。</w:t>
      </w:r>
    </w:p>
    <w:p>
      <w:pPr>
        <w:pStyle w:val="5"/>
        <w:rPr>
          <w:color w:val="auto"/>
        </w:rPr>
      </w:pPr>
      <w:r>
        <w:rPr>
          <w:rFonts w:hint="eastAsia"/>
          <w:color w:val="auto"/>
        </w:rPr>
        <w:t>4.2.1.2其他污染物环境质量现状评价</w:t>
      </w:r>
    </w:p>
    <w:p>
      <w:pPr>
        <w:spacing w:line="360" w:lineRule="auto"/>
        <w:ind w:firstLine="480" w:firstLineChars="200"/>
        <w:rPr>
          <w:color w:val="auto"/>
          <w:sz w:val="24"/>
          <w:szCs w:val="24"/>
        </w:rPr>
      </w:pPr>
      <w:r>
        <w:rPr>
          <w:rFonts w:hint="eastAsia"/>
          <w:color w:val="auto"/>
          <w:sz w:val="24"/>
          <w:szCs w:val="24"/>
        </w:rPr>
        <w:t>本项目建成运行过程中会产生H</w:t>
      </w:r>
      <w:r>
        <w:rPr>
          <w:rFonts w:hint="eastAsia"/>
          <w:color w:val="auto"/>
          <w:sz w:val="24"/>
          <w:szCs w:val="24"/>
          <w:vertAlign w:val="subscript"/>
        </w:rPr>
        <w:t>2</w:t>
      </w:r>
      <w:r>
        <w:rPr>
          <w:rFonts w:hint="eastAsia"/>
          <w:color w:val="auto"/>
          <w:sz w:val="24"/>
          <w:szCs w:val="24"/>
        </w:rPr>
        <w:t>S和NH</w:t>
      </w:r>
      <w:r>
        <w:rPr>
          <w:rFonts w:hint="eastAsia"/>
          <w:color w:val="auto"/>
          <w:sz w:val="24"/>
          <w:szCs w:val="24"/>
          <w:vertAlign w:val="subscript"/>
        </w:rPr>
        <w:t>3</w:t>
      </w:r>
      <w:r>
        <w:rPr>
          <w:rFonts w:hint="eastAsia"/>
          <w:color w:val="auto"/>
          <w:sz w:val="24"/>
          <w:szCs w:val="24"/>
        </w:rPr>
        <w:t>等污染物，属于《环境影响评价技术导则 大气环境（HJ2.2－2018）》中定义的其他污染物，根据导则，对现状没有环境空气质量监测网数据或公开发布的环境空气质量现状数据的其他污染物，应进行补充监测。为了解项目区域H</w:t>
      </w:r>
      <w:r>
        <w:rPr>
          <w:rFonts w:hint="eastAsia"/>
          <w:color w:val="auto"/>
          <w:sz w:val="24"/>
          <w:szCs w:val="24"/>
          <w:vertAlign w:val="subscript"/>
        </w:rPr>
        <w:t>2</w:t>
      </w:r>
      <w:r>
        <w:rPr>
          <w:rFonts w:hint="eastAsia"/>
          <w:color w:val="auto"/>
          <w:sz w:val="24"/>
          <w:szCs w:val="24"/>
        </w:rPr>
        <w:t>S和NH</w:t>
      </w:r>
      <w:r>
        <w:rPr>
          <w:rFonts w:hint="eastAsia"/>
          <w:color w:val="auto"/>
          <w:sz w:val="24"/>
          <w:szCs w:val="24"/>
          <w:vertAlign w:val="subscript"/>
        </w:rPr>
        <w:t>3</w:t>
      </w:r>
      <w:r>
        <w:rPr>
          <w:rFonts w:hint="eastAsia"/>
          <w:color w:val="auto"/>
          <w:sz w:val="24"/>
          <w:szCs w:val="24"/>
        </w:rPr>
        <w:t>质量现状，建设单位委托梅州森海洋环保工程有限公司负责本项目的大气环境质量现状调查工作。</w:t>
      </w:r>
    </w:p>
    <w:p>
      <w:pPr>
        <w:spacing w:line="360" w:lineRule="auto"/>
        <w:ind w:firstLine="482" w:firstLineChars="200"/>
        <w:rPr>
          <w:b/>
          <w:color w:val="auto"/>
          <w:sz w:val="24"/>
          <w:szCs w:val="24"/>
        </w:rPr>
      </w:pPr>
      <w:r>
        <w:rPr>
          <w:rFonts w:hint="eastAsia"/>
          <w:b/>
          <w:color w:val="auto"/>
          <w:sz w:val="24"/>
          <w:szCs w:val="24"/>
        </w:rPr>
        <w:t>1、监测布点</w:t>
      </w:r>
    </w:p>
    <w:p>
      <w:pPr>
        <w:spacing w:line="360" w:lineRule="auto"/>
        <w:ind w:firstLine="480" w:firstLineChars="200"/>
        <w:rPr>
          <w:color w:val="auto"/>
          <w:sz w:val="24"/>
          <w:szCs w:val="24"/>
        </w:rPr>
      </w:pPr>
      <w:r>
        <w:rPr>
          <w:rFonts w:hint="eastAsia"/>
          <w:color w:val="auto"/>
          <w:sz w:val="24"/>
          <w:szCs w:val="24"/>
        </w:rPr>
        <w:t>根据本项目所在地常年主导风向及评价区内的敏感点等因素，梅州森海洋环保工程有限公司委托深圳市中创检测有限公司于2020年9月19日~ 25日在项目选址地块内布设一个现状监测点，具体位置见图4-2-1，由《环境影响评价技术导则 大气环境》（HJ2.2-2018）中“以近20年统计的当地主导风向为轴向，在厂址及主导风向下风向5km 范围内设置1～2 个监测点。”可知，项目大气环境现状监测布点合理。</w:t>
      </w:r>
    </w:p>
    <w:p>
      <w:pPr>
        <w:spacing w:line="360" w:lineRule="auto"/>
        <w:ind w:firstLine="482" w:firstLineChars="200"/>
        <w:jc w:val="left"/>
        <w:rPr>
          <w:b/>
          <w:color w:val="auto"/>
          <w:sz w:val="24"/>
          <w:szCs w:val="24"/>
        </w:rPr>
      </w:pPr>
      <w:r>
        <w:rPr>
          <w:rFonts w:hint="eastAsia"/>
          <w:b/>
          <w:color w:val="auto"/>
          <w:sz w:val="24"/>
          <w:szCs w:val="24"/>
        </w:rPr>
        <w:t>2、监测因子及监测频率</w:t>
      </w:r>
    </w:p>
    <w:p>
      <w:pPr>
        <w:spacing w:line="360" w:lineRule="auto"/>
        <w:ind w:firstLine="480" w:firstLineChars="200"/>
        <w:jc w:val="left"/>
        <w:rPr>
          <w:color w:val="auto"/>
          <w:sz w:val="24"/>
          <w:szCs w:val="24"/>
        </w:rPr>
      </w:pPr>
      <w:r>
        <w:rPr>
          <w:rFonts w:hint="eastAsia"/>
          <w:color w:val="auto"/>
          <w:sz w:val="24"/>
          <w:szCs w:val="24"/>
        </w:rPr>
        <w:t>本次监测因子为NH</w:t>
      </w:r>
      <w:r>
        <w:rPr>
          <w:rFonts w:hint="eastAsia"/>
          <w:color w:val="auto"/>
          <w:sz w:val="24"/>
          <w:szCs w:val="24"/>
          <w:vertAlign w:val="subscript"/>
        </w:rPr>
        <w:t>3</w:t>
      </w:r>
      <w:r>
        <w:rPr>
          <w:rFonts w:hint="eastAsia"/>
          <w:color w:val="auto"/>
          <w:sz w:val="24"/>
          <w:szCs w:val="24"/>
        </w:rPr>
        <w:t>、H</w:t>
      </w:r>
      <w:r>
        <w:rPr>
          <w:rFonts w:hint="eastAsia"/>
          <w:color w:val="auto"/>
          <w:sz w:val="24"/>
          <w:szCs w:val="24"/>
          <w:vertAlign w:val="subscript"/>
        </w:rPr>
        <w:t>2</w:t>
      </w:r>
      <w:r>
        <w:rPr>
          <w:rFonts w:hint="eastAsia"/>
          <w:color w:val="auto"/>
          <w:sz w:val="24"/>
          <w:szCs w:val="24"/>
        </w:rPr>
        <w:t>S。</w:t>
      </w:r>
    </w:p>
    <w:p>
      <w:pPr>
        <w:spacing w:line="360" w:lineRule="auto"/>
        <w:ind w:firstLine="480" w:firstLineChars="200"/>
        <w:jc w:val="left"/>
        <w:rPr>
          <w:color w:val="auto"/>
          <w:sz w:val="24"/>
          <w:szCs w:val="24"/>
        </w:rPr>
      </w:pPr>
      <w:r>
        <w:rPr>
          <w:rFonts w:hint="eastAsia"/>
          <w:color w:val="auto"/>
          <w:sz w:val="24"/>
          <w:szCs w:val="24"/>
        </w:rPr>
        <w:t>本次监测时间为2020年9月19日~ 25日。NH</w:t>
      </w:r>
      <w:r>
        <w:rPr>
          <w:rFonts w:hint="eastAsia"/>
          <w:color w:val="auto"/>
          <w:sz w:val="24"/>
          <w:szCs w:val="24"/>
          <w:vertAlign w:val="subscript"/>
        </w:rPr>
        <w:t>3</w:t>
      </w:r>
      <w:r>
        <w:rPr>
          <w:rFonts w:hint="eastAsia"/>
          <w:color w:val="auto"/>
          <w:sz w:val="24"/>
          <w:szCs w:val="24"/>
        </w:rPr>
        <w:t>、H</w:t>
      </w:r>
      <w:r>
        <w:rPr>
          <w:rFonts w:hint="eastAsia"/>
          <w:color w:val="auto"/>
          <w:sz w:val="24"/>
          <w:szCs w:val="24"/>
          <w:vertAlign w:val="subscript"/>
        </w:rPr>
        <w:t>2</w:t>
      </w:r>
      <w:r>
        <w:rPr>
          <w:rFonts w:hint="eastAsia"/>
          <w:color w:val="auto"/>
          <w:sz w:val="24"/>
          <w:szCs w:val="24"/>
        </w:rPr>
        <w:t>S连续测7天，H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int="eastAsia"/>
          <w:color w:val="auto"/>
          <w:sz w:val="24"/>
          <w:szCs w:val="24"/>
        </w:rPr>
        <w:t>监测小时值，每天采样监测4次，监测时段分别为002:00~03:00、08:00~09:00、14:00~15:00、20:00~21:00，每次连续采样时间不少于45min。</w:t>
      </w:r>
    </w:p>
    <w:p>
      <w:pPr>
        <w:spacing w:line="360" w:lineRule="auto"/>
        <w:ind w:firstLine="482" w:firstLineChars="200"/>
        <w:jc w:val="left"/>
        <w:rPr>
          <w:b/>
          <w:color w:val="auto"/>
          <w:sz w:val="24"/>
          <w:szCs w:val="24"/>
        </w:rPr>
      </w:pPr>
      <w:r>
        <w:rPr>
          <w:rFonts w:hint="eastAsia"/>
          <w:b/>
          <w:color w:val="auto"/>
          <w:sz w:val="24"/>
          <w:szCs w:val="24"/>
        </w:rPr>
        <w:t>3、评价标准及评价方法</w:t>
      </w:r>
    </w:p>
    <w:p>
      <w:pPr>
        <w:spacing w:line="360" w:lineRule="auto"/>
        <w:ind w:firstLine="480" w:firstLineChars="200"/>
        <w:jc w:val="left"/>
        <w:rPr>
          <w:color w:val="auto"/>
          <w:sz w:val="24"/>
          <w:szCs w:val="24"/>
        </w:rPr>
      </w:pPr>
      <w:r>
        <w:rPr>
          <w:rFonts w:hint="eastAsia"/>
          <w:color w:val="auto"/>
          <w:sz w:val="24"/>
          <w:szCs w:val="24"/>
        </w:rPr>
        <w:t>评价标准：H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int="eastAsia"/>
          <w:color w:val="auto"/>
          <w:sz w:val="24"/>
          <w:szCs w:val="24"/>
        </w:rPr>
        <w:t>参照《环境影响评价技术导则 大气环境（HJ2.2－2018）》的附录D执行。</w:t>
      </w:r>
    </w:p>
    <w:p>
      <w:pPr>
        <w:spacing w:line="360" w:lineRule="auto"/>
        <w:ind w:firstLine="480" w:firstLineChars="200"/>
        <w:jc w:val="left"/>
        <w:rPr>
          <w:color w:val="auto"/>
          <w:sz w:val="24"/>
          <w:szCs w:val="24"/>
        </w:rPr>
      </w:pPr>
      <w:r>
        <w:rPr>
          <w:rFonts w:hint="eastAsia"/>
          <w:color w:val="auto"/>
          <w:sz w:val="24"/>
          <w:szCs w:val="24"/>
        </w:rPr>
        <w:t>评价方法：采用单项指数法进行评价，分析评价因子监测浓度范围、超标率及变化规律。其表达式为：</w:t>
      </w:r>
    </w:p>
    <w:p>
      <w:pPr>
        <w:spacing w:line="360" w:lineRule="auto"/>
        <w:jc w:val="center"/>
        <w:rPr>
          <w:color w:val="auto"/>
          <w:sz w:val="24"/>
          <w:szCs w:val="24"/>
        </w:rPr>
      </w:pPr>
      <w:r>
        <w:rPr>
          <w:rFonts w:hint="eastAsia"/>
          <w:color w:val="auto"/>
          <w:sz w:val="24"/>
          <w:szCs w:val="24"/>
        </w:rPr>
        <w:t>P</w:t>
      </w:r>
      <w:r>
        <w:rPr>
          <w:rFonts w:hint="eastAsia"/>
          <w:color w:val="auto"/>
          <w:sz w:val="24"/>
          <w:szCs w:val="24"/>
          <w:vertAlign w:val="subscript"/>
        </w:rPr>
        <w:t>i</w:t>
      </w:r>
      <w:r>
        <w:rPr>
          <w:rFonts w:hint="eastAsia"/>
          <w:color w:val="auto"/>
          <w:sz w:val="24"/>
          <w:szCs w:val="24"/>
        </w:rPr>
        <w:t>＝C</w:t>
      </w:r>
      <w:r>
        <w:rPr>
          <w:rFonts w:hint="eastAsia"/>
          <w:color w:val="auto"/>
          <w:sz w:val="24"/>
          <w:szCs w:val="24"/>
          <w:vertAlign w:val="subscript"/>
        </w:rPr>
        <w:t>i</w:t>
      </w:r>
      <w:r>
        <w:rPr>
          <w:rFonts w:hint="eastAsia"/>
          <w:color w:val="auto"/>
          <w:sz w:val="24"/>
          <w:szCs w:val="24"/>
        </w:rPr>
        <w:t>/C</w:t>
      </w:r>
      <w:r>
        <w:rPr>
          <w:rFonts w:hint="eastAsia"/>
          <w:color w:val="auto"/>
          <w:sz w:val="24"/>
          <w:szCs w:val="24"/>
          <w:vertAlign w:val="subscript"/>
        </w:rPr>
        <w:t>0i</w:t>
      </w:r>
    </w:p>
    <w:p>
      <w:pPr>
        <w:spacing w:line="360" w:lineRule="auto"/>
        <w:ind w:firstLine="480" w:firstLineChars="200"/>
        <w:jc w:val="left"/>
        <w:rPr>
          <w:color w:val="auto"/>
          <w:sz w:val="24"/>
          <w:szCs w:val="24"/>
        </w:rPr>
      </w:pPr>
      <w:r>
        <w:rPr>
          <w:rFonts w:hint="eastAsia"/>
          <w:color w:val="auto"/>
          <w:sz w:val="24"/>
          <w:szCs w:val="24"/>
        </w:rPr>
        <w:t>式中：P</w:t>
      </w:r>
      <w:r>
        <w:rPr>
          <w:rFonts w:hint="eastAsia"/>
          <w:color w:val="auto"/>
          <w:sz w:val="24"/>
          <w:szCs w:val="24"/>
          <w:vertAlign w:val="subscript"/>
        </w:rPr>
        <w:t>i</w:t>
      </w:r>
      <w:r>
        <w:rPr>
          <w:rFonts w:hint="eastAsia"/>
          <w:color w:val="auto"/>
          <w:sz w:val="24"/>
          <w:szCs w:val="24"/>
        </w:rPr>
        <w:t>—i 评价因子标准指数；</w:t>
      </w:r>
    </w:p>
    <w:p>
      <w:pPr>
        <w:spacing w:line="360" w:lineRule="auto"/>
        <w:ind w:firstLine="480" w:firstLineChars="200"/>
        <w:jc w:val="left"/>
        <w:rPr>
          <w:color w:val="auto"/>
          <w:sz w:val="24"/>
          <w:szCs w:val="24"/>
        </w:rPr>
      </w:pPr>
      <w:r>
        <w:rPr>
          <w:rFonts w:hint="eastAsia"/>
          <w:color w:val="auto"/>
          <w:sz w:val="24"/>
          <w:szCs w:val="24"/>
        </w:rPr>
        <w:t>C</w:t>
      </w:r>
      <w:r>
        <w:rPr>
          <w:rFonts w:hint="eastAsia"/>
          <w:color w:val="auto"/>
          <w:sz w:val="24"/>
          <w:szCs w:val="24"/>
          <w:vertAlign w:val="subscript"/>
        </w:rPr>
        <w:t>i</w:t>
      </w:r>
      <w:r>
        <w:rPr>
          <w:rFonts w:hint="eastAsia"/>
          <w:color w:val="auto"/>
          <w:sz w:val="24"/>
          <w:szCs w:val="24"/>
        </w:rPr>
        <w:t>—i 评价因子实测浓度，mg/m</w:t>
      </w:r>
      <w:r>
        <w:rPr>
          <w:rFonts w:hint="eastAsia"/>
          <w:color w:val="auto"/>
          <w:sz w:val="24"/>
          <w:szCs w:val="24"/>
          <w:vertAlign w:val="superscript"/>
        </w:rPr>
        <w:t>3</w:t>
      </w:r>
      <w:r>
        <w:rPr>
          <w:rFonts w:hint="eastAsia"/>
          <w:color w:val="auto"/>
          <w:sz w:val="24"/>
          <w:szCs w:val="24"/>
        </w:rPr>
        <w:t>；</w:t>
      </w:r>
    </w:p>
    <w:p>
      <w:pPr>
        <w:spacing w:line="360" w:lineRule="auto"/>
        <w:ind w:firstLine="480" w:firstLineChars="200"/>
        <w:jc w:val="left"/>
        <w:rPr>
          <w:color w:val="auto"/>
          <w:sz w:val="24"/>
          <w:szCs w:val="24"/>
        </w:rPr>
      </w:pPr>
      <w:r>
        <w:rPr>
          <w:rFonts w:hint="eastAsia"/>
          <w:color w:val="auto"/>
          <w:sz w:val="24"/>
          <w:szCs w:val="24"/>
        </w:rPr>
        <w:t>C</w:t>
      </w:r>
      <w:r>
        <w:rPr>
          <w:rFonts w:hint="eastAsia"/>
          <w:color w:val="auto"/>
          <w:sz w:val="24"/>
          <w:szCs w:val="24"/>
          <w:vertAlign w:val="subscript"/>
        </w:rPr>
        <w:t>0i</w:t>
      </w:r>
      <w:r>
        <w:rPr>
          <w:rFonts w:hint="eastAsia"/>
          <w:color w:val="auto"/>
          <w:sz w:val="24"/>
          <w:szCs w:val="24"/>
        </w:rPr>
        <w:t>—i 评价因子标准值，mg/m</w:t>
      </w:r>
      <w:r>
        <w:rPr>
          <w:rFonts w:hint="eastAsia"/>
          <w:color w:val="auto"/>
          <w:sz w:val="24"/>
          <w:szCs w:val="24"/>
          <w:vertAlign w:val="superscript"/>
        </w:rPr>
        <w:t>3</w:t>
      </w:r>
      <w:r>
        <w:rPr>
          <w:rFonts w:hint="eastAsia"/>
          <w:color w:val="auto"/>
          <w:sz w:val="24"/>
          <w:szCs w:val="24"/>
        </w:rPr>
        <w:t>。</w:t>
      </w:r>
    </w:p>
    <w:p>
      <w:pPr>
        <w:spacing w:line="360" w:lineRule="auto"/>
        <w:ind w:firstLine="482" w:firstLineChars="200"/>
        <w:jc w:val="left"/>
        <w:rPr>
          <w:b/>
          <w:color w:val="auto"/>
          <w:sz w:val="24"/>
          <w:szCs w:val="24"/>
        </w:rPr>
      </w:pPr>
      <w:r>
        <w:rPr>
          <w:rFonts w:hint="eastAsia"/>
          <w:b/>
          <w:color w:val="auto"/>
          <w:sz w:val="24"/>
          <w:szCs w:val="24"/>
        </w:rPr>
        <w:t>4、监测结果与评价</w:t>
      </w:r>
    </w:p>
    <w:p>
      <w:pPr>
        <w:spacing w:line="360" w:lineRule="auto"/>
        <w:ind w:firstLine="480" w:firstLineChars="200"/>
        <w:jc w:val="left"/>
        <w:rPr>
          <w:color w:val="auto"/>
          <w:sz w:val="24"/>
          <w:szCs w:val="24"/>
        </w:rPr>
      </w:pPr>
      <w:r>
        <w:rPr>
          <w:rFonts w:hint="eastAsia"/>
          <w:color w:val="auto"/>
          <w:sz w:val="24"/>
          <w:szCs w:val="24"/>
        </w:rPr>
        <w:t>氨和硫化氢的监测结果如下表所示。</w:t>
      </w:r>
    </w:p>
    <w:p>
      <w:pPr>
        <w:spacing w:line="360" w:lineRule="auto"/>
        <w:jc w:val="center"/>
        <w:rPr>
          <w:b/>
          <w:color w:val="auto"/>
          <w:sz w:val="24"/>
          <w:szCs w:val="24"/>
        </w:rPr>
      </w:pPr>
      <w:r>
        <w:rPr>
          <w:rFonts w:hint="eastAsia"/>
          <w:b/>
          <w:color w:val="auto"/>
          <w:sz w:val="24"/>
          <w:szCs w:val="24"/>
        </w:rPr>
        <w:t>表4-2-2   其他污染物环境质量现状监测结果表</w:t>
      </w:r>
    </w:p>
    <w:tbl>
      <w:tblPr>
        <w:tblStyle w:val="28"/>
        <w:tblW w:w="88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2"/>
        <w:gridCol w:w="851"/>
        <w:gridCol w:w="1130"/>
        <w:gridCol w:w="1296"/>
        <w:gridCol w:w="1554"/>
        <w:gridCol w:w="1246"/>
        <w:gridCol w:w="899"/>
        <w:gridCol w:w="6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监测点位</w:t>
            </w:r>
          </w:p>
        </w:tc>
        <w:tc>
          <w:tcPr>
            <w:tcW w:w="851"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污染物</w:t>
            </w:r>
          </w:p>
        </w:tc>
        <w:tc>
          <w:tcPr>
            <w:tcW w:w="1130"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平均时间</w:t>
            </w:r>
          </w:p>
        </w:tc>
        <w:tc>
          <w:tcPr>
            <w:tcW w:w="1296"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评价标准</w:t>
            </w:r>
            <w:r>
              <w:rPr>
                <w:rFonts w:ascii="Times New Roman" w:eastAsia="宋体"/>
                <w:b/>
                <w:bCs/>
                <w:color w:val="auto"/>
                <w:kern w:val="2"/>
                <w:sz w:val="21"/>
                <w:szCs w:val="21"/>
              </w:rPr>
              <w:t>/</w:t>
            </w:r>
            <w:r>
              <w:rPr>
                <w:rFonts w:ascii="Times New Roman" w:hAnsi="宋体" w:eastAsia="宋体"/>
                <w:b/>
                <w:bCs/>
                <w:color w:val="auto"/>
                <w:kern w:val="2"/>
                <w:sz w:val="21"/>
                <w:szCs w:val="21"/>
              </w:rPr>
              <w:t>（</w:t>
            </w:r>
            <w:r>
              <w:rPr>
                <w:rFonts w:ascii="Times New Roman" w:eastAsia="宋体"/>
                <w:b/>
                <w:bCs/>
                <w:color w:val="auto"/>
                <w:kern w:val="2"/>
                <w:sz w:val="21"/>
                <w:szCs w:val="21"/>
              </w:rPr>
              <w:t>μg/m</w:t>
            </w:r>
            <w:r>
              <w:rPr>
                <w:rFonts w:ascii="Times New Roman" w:eastAsia="宋体"/>
                <w:b/>
                <w:bCs/>
                <w:color w:val="auto"/>
                <w:kern w:val="2"/>
                <w:sz w:val="21"/>
                <w:szCs w:val="21"/>
                <w:vertAlign w:val="superscript"/>
              </w:rPr>
              <w:t>3</w:t>
            </w:r>
            <w:r>
              <w:rPr>
                <w:rFonts w:ascii="Times New Roman" w:hAnsi="宋体" w:eastAsia="宋体"/>
                <w:b/>
                <w:bCs/>
                <w:color w:val="auto"/>
                <w:kern w:val="2"/>
                <w:sz w:val="21"/>
                <w:szCs w:val="21"/>
              </w:rPr>
              <w:t>）</w:t>
            </w:r>
          </w:p>
        </w:tc>
        <w:tc>
          <w:tcPr>
            <w:tcW w:w="1554"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监测浓度范围</w:t>
            </w:r>
            <w:r>
              <w:rPr>
                <w:rFonts w:ascii="Times New Roman" w:eastAsia="宋体"/>
                <w:b/>
                <w:bCs/>
                <w:color w:val="auto"/>
                <w:kern w:val="2"/>
                <w:sz w:val="21"/>
                <w:szCs w:val="21"/>
              </w:rPr>
              <w:t>/</w:t>
            </w:r>
            <w:r>
              <w:rPr>
                <w:rFonts w:ascii="Times New Roman" w:hAnsi="宋体" w:eastAsia="宋体"/>
                <w:b/>
                <w:bCs/>
                <w:color w:val="auto"/>
                <w:kern w:val="2"/>
                <w:sz w:val="21"/>
                <w:szCs w:val="21"/>
              </w:rPr>
              <w:t>（</w:t>
            </w:r>
            <w:r>
              <w:rPr>
                <w:rFonts w:ascii="Times New Roman" w:eastAsia="宋体"/>
                <w:b/>
                <w:bCs/>
                <w:color w:val="auto"/>
                <w:kern w:val="2"/>
                <w:sz w:val="21"/>
                <w:szCs w:val="21"/>
              </w:rPr>
              <w:t>μg/m</w:t>
            </w:r>
            <w:r>
              <w:rPr>
                <w:rFonts w:ascii="Times New Roman" w:eastAsia="宋体"/>
                <w:b/>
                <w:bCs/>
                <w:color w:val="auto"/>
                <w:kern w:val="2"/>
                <w:sz w:val="21"/>
                <w:szCs w:val="21"/>
                <w:vertAlign w:val="superscript"/>
              </w:rPr>
              <w:t>3</w:t>
            </w:r>
            <w:r>
              <w:rPr>
                <w:rFonts w:ascii="Times New Roman" w:hAnsi="宋体" w:eastAsia="宋体"/>
                <w:b/>
                <w:bCs/>
                <w:color w:val="auto"/>
                <w:kern w:val="2"/>
                <w:sz w:val="21"/>
                <w:szCs w:val="21"/>
              </w:rPr>
              <w:t>）</w:t>
            </w:r>
          </w:p>
        </w:tc>
        <w:tc>
          <w:tcPr>
            <w:tcW w:w="1246"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最大浓度占标率</w:t>
            </w:r>
            <w:r>
              <w:rPr>
                <w:rFonts w:ascii="Times New Roman" w:eastAsia="宋体"/>
                <w:b/>
                <w:bCs/>
                <w:color w:val="auto"/>
                <w:kern w:val="2"/>
                <w:sz w:val="21"/>
                <w:szCs w:val="21"/>
              </w:rPr>
              <w:t>/%</w:t>
            </w:r>
          </w:p>
        </w:tc>
        <w:tc>
          <w:tcPr>
            <w:tcW w:w="899"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超标率</w:t>
            </w:r>
            <w:r>
              <w:rPr>
                <w:rFonts w:ascii="Times New Roman" w:eastAsia="宋体"/>
                <w:b/>
                <w:bCs/>
                <w:color w:val="auto"/>
                <w:kern w:val="2"/>
                <w:sz w:val="21"/>
                <w:szCs w:val="21"/>
              </w:rPr>
              <w:t>/%</w:t>
            </w:r>
          </w:p>
        </w:tc>
        <w:tc>
          <w:tcPr>
            <w:tcW w:w="680"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b/>
                <w:bCs/>
                <w:color w:val="auto"/>
                <w:kern w:val="2"/>
                <w:sz w:val="21"/>
                <w:szCs w:val="21"/>
              </w:rPr>
            </w:pPr>
            <w:r>
              <w:rPr>
                <w:rFonts w:ascii="Times New Roman" w:hAnsi="宋体" w:eastAsia="宋体"/>
                <w:b/>
                <w:bCs/>
                <w:color w:val="auto"/>
                <w:kern w:val="2"/>
                <w:sz w:val="21"/>
                <w:szCs w:val="21"/>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42" w:type="dxa"/>
            <w:vMerge w:val="restart"/>
            <w:tcBorders>
              <w:top w:val="nil"/>
              <w:left w:val="single" w:color="auto" w:sz="4" w:space="0"/>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hint="eastAsia" w:ascii="Times New Roman" w:hAnsi="宋体" w:eastAsia="宋体"/>
                <w:color w:val="auto"/>
                <w:kern w:val="2"/>
                <w:sz w:val="21"/>
                <w:szCs w:val="21"/>
              </w:rPr>
              <w:t>G</w:t>
            </w:r>
            <w:r>
              <w:rPr>
                <w:rFonts w:hint="eastAsia" w:ascii="Times New Roman" w:hAnsi="宋体" w:eastAsia="宋体"/>
                <w:color w:val="auto"/>
                <w:kern w:val="2"/>
                <w:sz w:val="21"/>
                <w:szCs w:val="21"/>
                <w:vertAlign w:val="subscript"/>
              </w:rPr>
              <w:t>1</w:t>
            </w:r>
          </w:p>
        </w:tc>
        <w:tc>
          <w:tcPr>
            <w:tcW w:w="851" w:type="dxa"/>
            <w:tcBorders>
              <w:top w:val="single" w:color="auto" w:sz="4" w:space="0"/>
              <w:left w:val="nil"/>
              <w:bottom w:val="single" w:color="auto" w:sz="4" w:space="0"/>
              <w:right w:val="single" w:color="auto" w:sz="4" w:space="0"/>
            </w:tcBorders>
            <w:vAlign w:val="center"/>
          </w:tcPr>
          <w:p>
            <w:pPr>
              <w:jc w:val="center"/>
              <w:rPr>
                <w:color w:val="auto"/>
                <w:sz w:val="21"/>
                <w:szCs w:val="21"/>
              </w:rPr>
            </w:pPr>
            <w:r>
              <w:rPr>
                <w:color w:val="auto"/>
                <w:sz w:val="21"/>
                <w:szCs w:val="21"/>
              </w:rPr>
              <w:t>NH</w:t>
            </w:r>
            <w:r>
              <w:rPr>
                <w:color w:val="auto"/>
                <w:sz w:val="21"/>
                <w:szCs w:val="21"/>
                <w:vertAlign w:val="subscript"/>
              </w:rPr>
              <w:t>3</w:t>
            </w:r>
          </w:p>
        </w:tc>
        <w:tc>
          <w:tcPr>
            <w:tcW w:w="1130"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ascii="Times New Roman" w:eastAsia="宋体"/>
                <w:color w:val="auto"/>
                <w:kern w:val="2"/>
                <w:sz w:val="21"/>
                <w:szCs w:val="21"/>
              </w:rPr>
              <w:t>45min</w:t>
            </w:r>
          </w:p>
        </w:tc>
        <w:tc>
          <w:tcPr>
            <w:tcW w:w="1296" w:type="dxa"/>
            <w:tcBorders>
              <w:top w:val="single" w:color="auto" w:sz="4" w:space="0"/>
              <w:left w:val="nil"/>
              <w:bottom w:val="single" w:color="auto" w:sz="4" w:space="0"/>
              <w:right w:val="single" w:color="auto" w:sz="4" w:space="0"/>
            </w:tcBorders>
            <w:vAlign w:val="center"/>
          </w:tcPr>
          <w:p>
            <w:pPr>
              <w:jc w:val="center"/>
              <w:rPr>
                <w:color w:val="auto"/>
                <w:sz w:val="21"/>
                <w:szCs w:val="21"/>
              </w:rPr>
            </w:pPr>
            <w:r>
              <w:rPr>
                <w:color w:val="auto"/>
                <w:sz w:val="21"/>
                <w:szCs w:val="21"/>
              </w:rPr>
              <w:t>200</w:t>
            </w:r>
          </w:p>
        </w:tc>
        <w:tc>
          <w:tcPr>
            <w:tcW w:w="1554"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hint="eastAsia" w:ascii="Times New Roman" w:eastAsia="宋体"/>
                <w:color w:val="auto"/>
                <w:kern w:val="2"/>
                <w:sz w:val="21"/>
                <w:szCs w:val="21"/>
              </w:rPr>
              <w:t>41~82</w:t>
            </w:r>
          </w:p>
        </w:tc>
        <w:tc>
          <w:tcPr>
            <w:tcW w:w="1246"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hint="eastAsia" w:ascii="Times New Roman" w:eastAsia="宋体"/>
                <w:color w:val="auto"/>
                <w:kern w:val="2"/>
                <w:sz w:val="21"/>
                <w:szCs w:val="21"/>
              </w:rPr>
              <w:t>41</w:t>
            </w:r>
          </w:p>
        </w:tc>
        <w:tc>
          <w:tcPr>
            <w:tcW w:w="899"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ascii="Times New Roman" w:eastAsia="宋体"/>
                <w:color w:val="auto"/>
                <w:kern w:val="2"/>
                <w:sz w:val="21"/>
                <w:szCs w:val="21"/>
              </w:rPr>
              <w:t>0</w:t>
            </w:r>
          </w:p>
        </w:tc>
        <w:tc>
          <w:tcPr>
            <w:tcW w:w="680"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ascii="Times New Roman" w:hAnsi="宋体" w:eastAsia="宋体"/>
                <w:color w:val="auto"/>
                <w:kern w:val="2"/>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242" w:type="dxa"/>
            <w:vMerge w:val="continue"/>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p>
        </w:tc>
        <w:tc>
          <w:tcPr>
            <w:tcW w:w="851" w:type="dxa"/>
            <w:tcBorders>
              <w:top w:val="single" w:color="auto" w:sz="4" w:space="0"/>
              <w:left w:val="nil"/>
              <w:bottom w:val="single" w:color="auto" w:sz="4" w:space="0"/>
              <w:right w:val="single" w:color="auto" w:sz="4" w:space="0"/>
            </w:tcBorders>
            <w:vAlign w:val="center"/>
          </w:tcPr>
          <w:p>
            <w:pPr>
              <w:jc w:val="center"/>
              <w:rPr>
                <w:color w:val="auto"/>
                <w:sz w:val="21"/>
                <w:szCs w:val="21"/>
              </w:rPr>
            </w:pPr>
            <w:r>
              <w:rPr>
                <w:color w:val="auto"/>
                <w:sz w:val="21"/>
                <w:szCs w:val="21"/>
              </w:rPr>
              <w:t>H</w:t>
            </w:r>
            <w:r>
              <w:rPr>
                <w:color w:val="auto"/>
                <w:sz w:val="21"/>
                <w:szCs w:val="21"/>
                <w:vertAlign w:val="subscript"/>
              </w:rPr>
              <w:t>2</w:t>
            </w:r>
            <w:r>
              <w:rPr>
                <w:color w:val="auto"/>
                <w:sz w:val="21"/>
                <w:szCs w:val="21"/>
              </w:rPr>
              <w:t>S</w:t>
            </w:r>
          </w:p>
        </w:tc>
        <w:tc>
          <w:tcPr>
            <w:tcW w:w="1130"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ascii="Times New Roman" w:eastAsia="宋体"/>
                <w:color w:val="auto"/>
                <w:kern w:val="2"/>
                <w:sz w:val="21"/>
                <w:szCs w:val="21"/>
              </w:rPr>
              <w:t>45min</w:t>
            </w:r>
          </w:p>
        </w:tc>
        <w:tc>
          <w:tcPr>
            <w:tcW w:w="1296" w:type="dxa"/>
            <w:tcBorders>
              <w:top w:val="single" w:color="auto" w:sz="4" w:space="0"/>
              <w:left w:val="nil"/>
              <w:bottom w:val="single" w:color="auto" w:sz="4" w:space="0"/>
              <w:right w:val="single" w:color="auto" w:sz="4" w:space="0"/>
            </w:tcBorders>
            <w:vAlign w:val="center"/>
          </w:tcPr>
          <w:p>
            <w:pPr>
              <w:jc w:val="center"/>
              <w:rPr>
                <w:color w:val="auto"/>
                <w:sz w:val="21"/>
                <w:szCs w:val="21"/>
              </w:rPr>
            </w:pPr>
            <w:r>
              <w:rPr>
                <w:color w:val="auto"/>
                <w:sz w:val="21"/>
                <w:szCs w:val="21"/>
              </w:rPr>
              <w:t>10</w:t>
            </w:r>
          </w:p>
        </w:tc>
        <w:tc>
          <w:tcPr>
            <w:tcW w:w="1554"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hint="eastAsia" w:ascii="Times New Roman" w:eastAsia="宋体"/>
                <w:color w:val="auto"/>
                <w:kern w:val="2"/>
                <w:sz w:val="21"/>
                <w:szCs w:val="21"/>
              </w:rPr>
              <w:t>1L</w:t>
            </w:r>
          </w:p>
        </w:tc>
        <w:tc>
          <w:tcPr>
            <w:tcW w:w="1246"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hint="eastAsia" w:ascii="Times New Roman" w:eastAsia="宋体"/>
                <w:color w:val="auto"/>
                <w:kern w:val="2"/>
                <w:sz w:val="21"/>
                <w:szCs w:val="21"/>
              </w:rPr>
              <w:t>/</w:t>
            </w:r>
          </w:p>
        </w:tc>
        <w:tc>
          <w:tcPr>
            <w:tcW w:w="899"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ascii="Times New Roman" w:eastAsia="宋体"/>
                <w:color w:val="auto"/>
                <w:kern w:val="2"/>
                <w:sz w:val="21"/>
                <w:szCs w:val="21"/>
              </w:rPr>
              <w:t>0</w:t>
            </w:r>
          </w:p>
        </w:tc>
        <w:tc>
          <w:tcPr>
            <w:tcW w:w="680" w:type="dxa"/>
            <w:tcBorders>
              <w:top w:val="single" w:color="auto" w:sz="4" w:space="0"/>
              <w:left w:val="nil"/>
              <w:bottom w:val="single" w:color="auto" w:sz="4" w:space="0"/>
              <w:right w:val="single" w:color="auto" w:sz="4" w:space="0"/>
            </w:tcBorders>
            <w:vAlign w:val="center"/>
          </w:tcPr>
          <w:p>
            <w:pPr>
              <w:pStyle w:val="65"/>
              <w:jc w:val="center"/>
              <w:rPr>
                <w:rFonts w:ascii="Times New Roman" w:eastAsia="宋体"/>
                <w:color w:val="auto"/>
                <w:kern w:val="2"/>
                <w:sz w:val="21"/>
                <w:szCs w:val="21"/>
              </w:rPr>
            </w:pPr>
            <w:r>
              <w:rPr>
                <w:rFonts w:ascii="Times New Roman" w:hAnsi="宋体" w:eastAsia="宋体"/>
                <w:color w:val="auto"/>
                <w:kern w:val="2"/>
                <w:sz w:val="21"/>
                <w:szCs w:val="21"/>
              </w:rPr>
              <w:t>达标</w:t>
            </w:r>
          </w:p>
        </w:tc>
      </w:tr>
    </w:tbl>
    <w:p>
      <w:pPr>
        <w:spacing w:line="360" w:lineRule="auto"/>
        <w:ind w:firstLine="480" w:firstLineChars="200"/>
        <w:jc w:val="left"/>
        <w:rPr>
          <w:color w:val="auto"/>
          <w:sz w:val="24"/>
          <w:szCs w:val="24"/>
        </w:rPr>
      </w:pPr>
      <w:r>
        <w:rPr>
          <w:rFonts w:hint="eastAsia"/>
          <w:color w:val="auto"/>
          <w:sz w:val="24"/>
          <w:szCs w:val="24"/>
        </w:rPr>
        <w:t>注：“L”表示检测结果低于方法检出限。</w:t>
      </w:r>
    </w:p>
    <w:p>
      <w:pPr>
        <w:spacing w:line="360" w:lineRule="auto"/>
        <w:ind w:firstLine="480" w:firstLineChars="200"/>
        <w:jc w:val="left"/>
        <w:rPr>
          <w:color w:val="auto"/>
          <w:sz w:val="24"/>
          <w:szCs w:val="24"/>
        </w:rPr>
      </w:pPr>
      <w:r>
        <w:rPr>
          <w:rFonts w:hint="eastAsia"/>
          <w:color w:val="auto"/>
          <w:sz w:val="24"/>
          <w:szCs w:val="24"/>
        </w:rPr>
        <w:t>由监测结果可知，项目所在地现状特征因子氨和硫化氢均满足相应质量标准参考值的要求。</w:t>
      </w:r>
    </w:p>
    <w:p>
      <w:pPr>
        <w:pStyle w:val="4"/>
        <w:rPr>
          <w:color w:val="auto"/>
        </w:rPr>
      </w:pPr>
      <w:bookmarkStart w:id="121" w:name="_Toc26276847"/>
      <w:r>
        <w:rPr>
          <w:rFonts w:hint="eastAsia"/>
          <w:color w:val="auto"/>
        </w:rPr>
        <w:t>4.2.2地表水环境质量现状监测及评价</w:t>
      </w:r>
      <w:bookmarkEnd w:id="121"/>
    </w:p>
    <w:p>
      <w:pPr>
        <w:pStyle w:val="5"/>
        <w:spacing w:line="377" w:lineRule="auto"/>
        <w:rPr>
          <w:color w:val="auto"/>
        </w:rPr>
      </w:pPr>
      <w:r>
        <w:rPr>
          <w:rFonts w:hint="eastAsia"/>
          <w:color w:val="auto"/>
        </w:rPr>
        <w:t>4.2.2.1受纳水体近3年水环境质量</w:t>
      </w:r>
    </w:p>
    <w:p>
      <w:pPr>
        <w:spacing w:line="360" w:lineRule="auto"/>
        <w:ind w:firstLine="480" w:firstLineChars="200"/>
        <w:rPr>
          <w:rFonts w:hint="eastAsia" w:eastAsia="宋体"/>
          <w:color w:val="auto"/>
          <w:sz w:val="24"/>
          <w:szCs w:val="24"/>
          <w:lang w:eastAsia="zh-CN"/>
        </w:rPr>
      </w:pPr>
      <w:r>
        <w:rPr>
          <w:rFonts w:hint="eastAsia"/>
          <w:color w:val="auto"/>
          <w:sz w:val="24"/>
          <w:szCs w:val="24"/>
        </w:rPr>
        <w:t>根据梅州市生态环境局发布的《2017年梅州市环境状况公报》，2017年，全市14个主要河段（不包含入境断面）的29个监测断面中有27个断面年均水质达到水环境功能区类别，达标率为93.1%；达到或优于Ⅲ类水质断面28个，占96.6%；无属Ⅰ类、Ⅴ类及劣Ⅴ类水质的断面。梅江、韩江、石窟河、柚树河、梅潭河、五华河、隆文水、丰良河及琴江水质均为优；程江、鹤市河、松源河、汀江及宁江水质均为良好；榕江北河水质为轻度污染。</w:t>
      </w:r>
    </w:p>
    <w:p>
      <w:pPr>
        <w:spacing w:line="360" w:lineRule="auto"/>
        <w:ind w:firstLine="480" w:firstLineChars="200"/>
        <w:rPr>
          <w:color w:val="auto"/>
          <w:sz w:val="24"/>
          <w:szCs w:val="24"/>
        </w:rPr>
      </w:pPr>
      <w:r>
        <w:rPr>
          <w:rFonts w:hint="eastAsia"/>
          <w:color w:val="auto"/>
          <w:sz w:val="24"/>
          <w:szCs w:val="24"/>
        </w:rPr>
        <w:t>根据梅州市生态环境局发布的《2018年梅州市环境状况公报》，2018年，全市15个主要河段（不包含入境断面）的30个监测断面中有25个断面年均水质达到水环境功能区类别，达标率为83.3%；达到或优于Ⅲ类水质断面28个，占93.3%；Ⅳ类水质断面1个，占3.3%；Ⅴ类水质断面1个，占3.3%；无属Ⅰ类、劣Ⅴ类水质的断面。梅江、韩江（梅州段）、石窟河、柚树河、梅潭河、汀江、五华河、隆文水、丰良河及琴江水质为优；程江、鹤市河、榕江北河以及石正河水质为良好；松源河水质轻度污染。</w:t>
      </w:r>
    </w:p>
    <w:p>
      <w:pPr>
        <w:spacing w:line="360" w:lineRule="auto"/>
        <w:ind w:firstLine="480" w:firstLineChars="200"/>
        <w:rPr>
          <w:color w:val="auto"/>
          <w:sz w:val="24"/>
          <w:szCs w:val="24"/>
        </w:rPr>
      </w:pPr>
      <w:r>
        <w:rPr>
          <w:rFonts w:hint="eastAsia"/>
          <w:color w:val="auto"/>
          <w:sz w:val="24"/>
          <w:szCs w:val="24"/>
        </w:rPr>
        <w:t>根据梅州市生态环境局发布的《2019年梅州市环境状况公报》，2019年梅江市江河水质总体优良。全市16个主要河段的30个监测断面（不包含入境断面）中有28个断面水质达到水质目标，达标率为93.3%；达到或优于Ⅲ类水质断面30个，水质优良率为100%；无属Ⅰ类、Ⅳ类、Ⅴ类、劣Ⅴ类水质的断面。10个省考核（包括3个国家考核）断面水质达标率为100%，水质优良率为100%。梅江、韩江（梅州段）、石窟河、柚树河、梅潭河、汀江、五华河、隆文水、丰良河、石正河以及琴江水质为优；程江、鹤市河、宁江、榕江北河以及松源河水质为良好。</w:t>
      </w:r>
    </w:p>
    <w:p>
      <w:pPr>
        <w:spacing w:line="360" w:lineRule="auto"/>
        <w:ind w:firstLine="480" w:firstLineChars="200"/>
        <w:rPr>
          <w:color w:val="auto"/>
          <w:sz w:val="24"/>
          <w:szCs w:val="24"/>
        </w:rPr>
      </w:pPr>
      <w:r>
        <w:rPr>
          <w:rFonts w:hint="eastAsia"/>
          <w:color w:val="auto"/>
          <w:sz w:val="24"/>
          <w:szCs w:val="24"/>
        </w:rPr>
        <w:t>根据梅州市生态环境局发布近3年梅州市环境状况公报，项目区域地表水环境质量较好。</w:t>
      </w:r>
    </w:p>
    <w:p>
      <w:pPr>
        <w:pStyle w:val="5"/>
        <w:rPr>
          <w:color w:val="auto"/>
        </w:rPr>
      </w:pPr>
      <w:r>
        <w:rPr>
          <w:rFonts w:hint="eastAsia"/>
          <w:color w:val="auto"/>
        </w:rPr>
        <w:t>4.2.2.2地表水环境质量现状监测及评价</w:t>
      </w:r>
    </w:p>
    <w:p>
      <w:pPr>
        <w:spacing w:line="360" w:lineRule="auto"/>
        <w:ind w:firstLine="480" w:firstLineChars="200"/>
        <w:rPr>
          <w:color w:val="auto"/>
          <w:sz w:val="24"/>
          <w:szCs w:val="24"/>
        </w:rPr>
      </w:pPr>
      <w:r>
        <w:rPr>
          <w:rFonts w:hint="eastAsia"/>
          <w:color w:val="auto"/>
          <w:sz w:val="24"/>
          <w:szCs w:val="24"/>
        </w:rPr>
        <w:t>为了解本项目建设前所在地及周围地区的地表水质量现状，建设单位委托梅州森海洋环保工程有限公司负责本项目的地表水环境质量现状调查工作。</w:t>
      </w:r>
    </w:p>
    <w:p>
      <w:pPr>
        <w:spacing w:line="360" w:lineRule="auto"/>
        <w:ind w:firstLine="482" w:firstLineChars="200"/>
        <w:rPr>
          <w:b/>
          <w:color w:val="auto"/>
          <w:sz w:val="24"/>
          <w:szCs w:val="24"/>
        </w:rPr>
      </w:pPr>
      <w:r>
        <w:rPr>
          <w:rFonts w:hint="eastAsia"/>
          <w:b/>
          <w:color w:val="auto"/>
          <w:sz w:val="24"/>
          <w:szCs w:val="24"/>
        </w:rPr>
        <w:t>1、监测断面的设置</w:t>
      </w:r>
    </w:p>
    <w:p>
      <w:pPr>
        <w:spacing w:line="360" w:lineRule="auto"/>
        <w:ind w:firstLine="480" w:firstLineChars="200"/>
        <w:rPr>
          <w:color w:val="auto"/>
          <w:sz w:val="24"/>
          <w:szCs w:val="24"/>
        </w:rPr>
      </w:pPr>
      <w:r>
        <w:rPr>
          <w:rFonts w:hint="eastAsia"/>
          <w:color w:val="auto"/>
          <w:sz w:val="24"/>
          <w:szCs w:val="24"/>
        </w:rPr>
        <w:t>本项目设置对照断面1个，控制断面2个，其中，对照断面设于排污口上游400m，符合《环境影响评价技术导则 地表水环境》（HJ2.3-2018）要求：“水污染影响型建设项目在拟建排放口上游应布置对照断面（宜在500m 以内）”，监测断面布置合理。本项目地表水监测断面设置情况见表4-2-4及图4-2-2。</w:t>
      </w:r>
    </w:p>
    <w:p>
      <w:pPr>
        <w:spacing w:line="360" w:lineRule="auto"/>
        <w:jc w:val="center"/>
        <w:rPr>
          <w:b/>
          <w:color w:val="auto"/>
          <w:sz w:val="24"/>
          <w:szCs w:val="24"/>
        </w:rPr>
      </w:pPr>
      <w:r>
        <w:rPr>
          <w:rFonts w:hint="eastAsia"/>
          <w:b/>
          <w:color w:val="auto"/>
          <w:sz w:val="24"/>
          <w:szCs w:val="24"/>
        </w:rPr>
        <w:t>表4-2-3  地表水监测断面设置情况表</w:t>
      </w:r>
    </w:p>
    <w:tbl>
      <w:tblPr>
        <w:tblStyle w:val="28"/>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340"/>
        <w:gridCol w:w="2344"/>
        <w:gridCol w:w="2392"/>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jc w:val="center"/>
              <w:rPr>
                <w:b/>
                <w:color w:val="auto"/>
                <w:sz w:val="21"/>
                <w:szCs w:val="21"/>
              </w:rPr>
            </w:pPr>
            <w:r>
              <w:rPr>
                <w:rFonts w:hAnsi="宋体"/>
                <w:b/>
                <w:color w:val="auto"/>
                <w:sz w:val="21"/>
                <w:szCs w:val="21"/>
              </w:rPr>
              <w:t>编号</w:t>
            </w:r>
          </w:p>
        </w:tc>
        <w:tc>
          <w:tcPr>
            <w:tcW w:w="1340" w:type="dxa"/>
            <w:vAlign w:val="center"/>
          </w:tcPr>
          <w:p>
            <w:pPr>
              <w:jc w:val="center"/>
              <w:rPr>
                <w:b/>
                <w:color w:val="auto"/>
                <w:sz w:val="21"/>
                <w:szCs w:val="21"/>
              </w:rPr>
            </w:pPr>
            <w:r>
              <w:rPr>
                <w:rFonts w:hAnsi="宋体"/>
                <w:b/>
                <w:color w:val="auto"/>
                <w:sz w:val="21"/>
                <w:szCs w:val="21"/>
              </w:rPr>
              <w:t>类型</w:t>
            </w:r>
          </w:p>
        </w:tc>
        <w:tc>
          <w:tcPr>
            <w:tcW w:w="2344" w:type="dxa"/>
            <w:vAlign w:val="center"/>
          </w:tcPr>
          <w:p>
            <w:pPr>
              <w:jc w:val="center"/>
              <w:rPr>
                <w:b/>
                <w:color w:val="auto"/>
                <w:sz w:val="21"/>
                <w:szCs w:val="21"/>
              </w:rPr>
            </w:pPr>
            <w:r>
              <w:rPr>
                <w:rFonts w:hAnsi="宋体"/>
                <w:b/>
                <w:color w:val="auto"/>
                <w:sz w:val="21"/>
                <w:szCs w:val="21"/>
              </w:rPr>
              <w:t>位置</w:t>
            </w:r>
          </w:p>
        </w:tc>
        <w:tc>
          <w:tcPr>
            <w:tcW w:w="2392" w:type="dxa"/>
            <w:vAlign w:val="center"/>
          </w:tcPr>
          <w:p>
            <w:pPr>
              <w:jc w:val="center"/>
              <w:rPr>
                <w:b/>
                <w:color w:val="auto"/>
                <w:sz w:val="21"/>
                <w:szCs w:val="21"/>
              </w:rPr>
            </w:pPr>
            <w:r>
              <w:rPr>
                <w:rFonts w:hAnsi="宋体"/>
                <w:b/>
                <w:color w:val="auto"/>
                <w:sz w:val="21"/>
                <w:szCs w:val="21"/>
              </w:rPr>
              <w:t>所属水体</w:t>
            </w:r>
          </w:p>
        </w:tc>
        <w:tc>
          <w:tcPr>
            <w:tcW w:w="1578" w:type="dxa"/>
            <w:vAlign w:val="center"/>
          </w:tcPr>
          <w:p>
            <w:pPr>
              <w:jc w:val="center"/>
              <w:rPr>
                <w:b/>
                <w:color w:val="auto"/>
                <w:sz w:val="21"/>
                <w:szCs w:val="21"/>
              </w:rPr>
            </w:pPr>
            <w:r>
              <w:rPr>
                <w:rFonts w:hAnsi="宋体"/>
                <w:b/>
                <w:color w:val="auto"/>
                <w:sz w:val="21"/>
                <w:szCs w:val="21"/>
              </w:rPr>
              <w:t>功能区划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pStyle w:val="67"/>
              <w:rPr>
                <w:color w:val="auto"/>
                <w:szCs w:val="21"/>
              </w:rPr>
            </w:pPr>
            <w:r>
              <w:rPr>
                <w:color w:val="auto"/>
                <w:szCs w:val="21"/>
              </w:rPr>
              <w:t>W1</w:t>
            </w:r>
          </w:p>
        </w:tc>
        <w:tc>
          <w:tcPr>
            <w:tcW w:w="1340" w:type="dxa"/>
            <w:vAlign w:val="center"/>
          </w:tcPr>
          <w:p>
            <w:pPr>
              <w:jc w:val="center"/>
              <w:rPr>
                <w:color w:val="auto"/>
                <w:sz w:val="21"/>
                <w:szCs w:val="21"/>
              </w:rPr>
            </w:pPr>
            <w:r>
              <w:rPr>
                <w:rFonts w:hAnsi="宋体"/>
                <w:color w:val="auto"/>
                <w:sz w:val="21"/>
                <w:szCs w:val="21"/>
              </w:rPr>
              <w:t>对照断面</w:t>
            </w:r>
          </w:p>
        </w:tc>
        <w:tc>
          <w:tcPr>
            <w:tcW w:w="2344" w:type="dxa"/>
            <w:vAlign w:val="center"/>
          </w:tcPr>
          <w:p>
            <w:pPr>
              <w:jc w:val="center"/>
              <w:rPr>
                <w:color w:val="auto"/>
                <w:sz w:val="21"/>
                <w:szCs w:val="21"/>
              </w:rPr>
            </w:pPr>
            <w:r>
              <w:rPr>
                <w:rFonts w:hAnsi="宋体"/>
                <w:color w:val="auto"/>
                <w:sz w:val="21"/>
                <w:szCs w:val="21"/>
              </w:rPr>
              <w:t>（</w:t>
            </w:r>
            <w:r>
              <w:rPr>
                <w:rFonts w:hint="eastAsia" w:hAnsi="宋体"/>
                <w:color w:val="auto"/>
                <w:sz w:val="21"/>
                <w:szCs w:val="21"/>
              </w:rPr>
              <w:t>大嵩河</w:t>
            </w:r>
            <w:r>
              <w:rPr>
                <w:rFonts w:hAnsi="宋体"/>
                <w:color w:val="auto"/>
                <w:sz w:val="21"/>
                <w:szCs w:val="21"/>
              </w:rPr>
              <w:t>）排污口上游</w:t>
            </w:r>
            <w:r>
              <w:rPr>
                <w:color w:val="auto"/>
                <w:sz w:val="21"/>
                <w:szCs w:val="21"/>
              </w:rPr>
              <w:t>400m</w:t>
            </w:r>
          </w:p>
        </w:tc>
        <w:tc>
          <w:tcPr>
            <w:tcW w:w="2392" w:type="dxa"/>
            <w:vAlign w:val="center"/>
          </w:tcPr>
          <w:p>
            <w:pPr>
              <w:jc w:val="center"/>
              <w:rPr>
                <w:color w:val="auto"/>
                <w:sz w:val="21"/>
                <w:szCs w:val="21"/>
              </w:rPr>
            </w:pPr>
            <w:r>
              <w:rPr>
                <w:rFonts w:hAnsi="宋体"/>
                <w:color w:val="auto"/>
                <w:sz w:val="21"/>
                <w:szCs w:val="21"/>
              </w:rPr>
              <w:t>大嵩河</w:t>
            </w:r>
          </w:p>
        </w:tc>
        <w:tc>
          <w:tcPr>
            <w:tcW w:w="1578" w:type="dxa"/>
            <w:vAlign w:val="center"/>
          </w:tcPr>
          <w:p>
            <w:pPr>
              <w:jc w:val="center"/>
              <w:rPr>
                <w:color w:val="auto"/>
                <w:sz w:val="21"/>
                <w:szCs w:val="21"/>
              </w:rPr>
            </w:pPr>
            <w:r>
              <w:rPr>
                <w:rFonts w:hAnsi="宋体"/>
                <w:color w:val="auto"/>
                <w:sz w:val="21"/>
                <w:szCs w:val="21"/>
              </w:rPr>
              <w:t>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pStyle w:val="67"/>
              <w:rPr>
                <w:color w:val="auto"/>
                <w:szCs w:val="21"/>
              </w:rPr>
            </w:pPr>
            <w:r>
              <w:rPr>
                <w:color w:val="auto"/>
                <w:szCs w:val="21"/>
              </w:rPr>
              <w:t>W2</w:t>
            </w:r>
          </w:p>
        </w:tc>
        <w:tc>
          <w:tcPr>
            <w:tcW w:w="1340" w:type="dxa"/>
            <w:vAlign w:val="center"/>
          </w:tcPr>
          <w:p>
            <w:pPr>
              <w:jc w:val="center"/>
              <w:rPr>
                <w:color w:val="auto"/>
                <w:sz w:val="21"/>
                <w:szCs w:val="21"/>
              </w:rPr>
            </w:pPr>
            <w:r>
              <w:rPr>
                <w:rFonts w:hAnsi="宋体"/>
                <w:color w:val="auto"/>
                <w:sz w:val="21"/>
                <w:szCs w:val="21"/>
              </w:rPr>
              <w:t>控制断面</w:t>
            </w:r>
          </w:p>
        </w:tc>
        <w:tc>
          <w:tcPr>
            <w:tcW w:w="2344" w:type="dxa"/>
            <w:vAlign w:val="center"/>
          </w:tcPr>
          <w:p>
            <w:pPr>
              <w:jc w:val="center"/>
              <w:rPr>
                <w:color w:val="auto"/>
                <w:sz w:val="21"/>
                <w:szCs w:val="21"/>
              </w:rPr>
            </w:pPr>
            <w:r>
              <w:rPr>
                <w:rFonts w:hAnsi="宋体"/>
                <w:color w:val="auto"/>
                <w:sz w:val="21"/>
                <w:szCs w:val="21"/>
              </w:rPr>
              <w:t>（大嵩河）</w:t>
            </w:r>
            <w:r>
              <w:rPr>
                <w:rFonts w:hint="eastAsia" w:hAnsi="宋体"/>
                <w:color w:val="auto"/>
                <w:sz w:val="21"/>
                <w:szCs w:val="21"/>
              </w:rPr>
              <w:t>排污</w:t>
            </w:r>
            <w:r>
              <w:rPr>
                <w:rFonts w:hAnsi="宋体"/>
                <w:color w:val="auto"/>
                <w:sz w:val="21"/>
                <w:szCs w:val="21"/>
              </w:rPr>
              <w:t>口下游</w:t>
            </w:r>
            <w:r>
              <w:rPr>
                <w:color w:val="auto"/>
                <w:sz w:val="21"/>
                <w:szCs w:val="21"/>
              </w:rPr>
              <w:t>500m</w:t>
            </w:r>
          </w:p>
        </w:tc>
        <w:tc>
          <w:tcPr>
            <w:tcW w:w="2392" w:type="dxa"/>
            <w:vAlign w:val="center"/>
          </w:tcPr>
          <w:p>
            <w:pPr>
              <w:jc w:val="center"/>
              <w:rPr>
                <w:color w:val="auto"/>
                <w:sz w:val="21"/>
                <w:szCs w:val="21"/>
              </w:rPr>
            </w:pPr>
            <w:r>
              <w:rPr>
                <w:rFonts w:hAnsi="宋体"/>
                <w:color w:val="auto"/>
                <w:sz w:val="21"/>
                <w:szCs w:val="21"/>
              </w:rPr>
              <w:t>大嵩河</w:t>
            </w:r>
          </w:p>
        </w:tc>
        <w:tc>
          <w:tcPr>
            <w:tcW w:w="1578" w:type="dxa"/>
            <w:vAlign w:val="center"/>
          </w:tcPr>
          <w:p>
            <w:pPr>
              <w:jc w:val="center"/>
              <w:rPr>
                <w:color w:val="auto"/>
                <w:sz w:val="21"/>
                <w:szCs w:val="21"/>
              </w:rPr>
            </w:pPr>
            <w:r>
              <w:rPr>
                <w:rFonts w:hAnsi="宋体"/>
                <w:color w:val="auto"/>
                <w:sz w:val="21"/>
                <w:szCs w:val="21"/>
              </w:rPr>
              <w:t>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pStyle w:val="67"/>
              <w:rPr>
                <w:color w:val="auto"/>
                <w:szCs w:val="21"/>
              </w:rPr>
            </w:pPr>
            <w:r>
              <w:rPr>
                <w:color w:val="auto"/>
                <w:szCs w:val="21"/>
              </w:rPr>
              <w:t>W3</w:t>
            </w:r>
          </w:p>
        </w:tc>
        <w:tc>
          <w:tcPr>
            <w:tcW w:w="1340" w:type="dxa"/>
            <w:vAlign w:val="center"/>
          </w:tcPr>
          <w:p>
            <w:pPr>
              <w:jc w:val="center"/>
              <w:rPr>
                <w:color w:val="auto"/>
                <w:sz w:val="21"/>
                <w:szCs w:val="21"/>
              </w:rPr>
            </w:pPr>
            <w:r>
              <w:rPr>
                <w:rFonts w:hAnsi="宋体"/>
                <w:color w:val="auto"/>
                <w:sz w:val="21"/>
                <w:szCs w:val="21"/>
              </w:rPr>
              <w:t>控制断面</w:t>
            </w:r>
          </w:p>
        </w:tc>
        <w:tc>
          <w:tcPr>
            <w:tcW w:w="2344" w:type="dxa"/>
            <w:vAlign w:val="center"/>
          </w:tcPr>
          <w:p>
            <w:pPr>
              <w:jc w:val="center"/>
              <w:rPr>
                <w:color w:val="auto"/>
                <w:sz w:val="21"/>
                <w:szCs w:val="21"/>
              </w:rPr>
            </w:pPr>
            <w:r>
              <w:rPr>
                <w:rFonts w:hAnsi="宋体"/>
                <w:color w:val="auto"/>
                <w:sz w:val="21"/>
                <w:szCs w:val="21"/>
              </w:rPr>
              <w:t>（大嵩河）</w:t>
            </w:r>
            <w:r>
              <w:rPr>
                <w:rFonts w:hint="eastAsia" w:hAnsi="宋体"/>
                <w:color w:val="auto"/>
                <w:sz w:val="21"/>
                <w:szCs w:val="21"/>
              </w:rPr>
              <w:t>排污</w:t>
            </w:r>
            <w:r>
              <w:rPr>
                <w:rFonts w:hAnsi="宋体"/>
                <w:color w:val="auto"/>
                <w:sz w:val="21"/>
                <w:szCs w:val="21"/>
              </w:rPr>
              <w:t>口下游</w:t>
            </w:r>
            <w:r>
              <w:rPr>
                <w:color w:val="auto"/>
                <w:sz w:val="21"/>
                <w:szCs w:val="21"/>
              </w:rPr>
              <w:t>4800m</w:t>
            </w:r>
          </w:p>
        </w:tc>
        <w:tc>
          <w:tcPr>
            <w:tcW w:w="2392" w:type="dxa"/>
            <w:vAlign w:val="center"/>
          </w:tcPr>
          <w:p>
            <w:pPr>
              <w:jc w:val="center"/>
              <w:rPr>
                <w:color w:val="auto"/>
                <w:sz w:val="21"/>
                <w:szCs w:val="21"/>
              </w:rPr>
            </w:pPr>
            <w:r>
              <w:rPr>
                <w:rFonts w:hAnsi="宋体"/>
                <w:color w:val="auto"/>
                <w:sz w:val="21"/>
                <w:szCs w:val="21"/>
              </w:rPr>
              <w:t>大嵩河</w:t>
            </w:r>
          </w:p>
        </w:tc>
        <w:tc>
          <w:tcPr>
            <w:tcW w:w="1578" w:type="dxa"/>
            <w:vAlign w:val="center"/>
          </w:tcPr>
          <w:p>
            <w:pPr>
              <w:jc w:val="center"/>
              <w:rPr>
                <w:color w:val="auto"/>
                <w:sz w:val="21"/>
                <w:szCs w:val="21"/>
              </w:rPr>
            </w:pPr>
            <w:r>
              <w:rPr>
                <w:rFonts w:hAnsi="宋体"/>
                <w:color w:val="auto"/>
                <w:sz w:val="21"/>
                <w:szCs w:val="21"/>
              </w:rPr>
              <w:t>Ⅲ类</w:t>
            </w:r>
          </w:p>
        </w:tc>
      </w:tr>
    </w:tbl>
    <w:p>
      <w:pPr>
        <w:spacing w:line="360" w:lineRule="auto"/>
        <w:ind w:firstLine="482" w:firstLineChars="200"/>
        <w:jc w:val="left"/>
        <w:rPr>
          <w:b/>
          <w:color w:val="auto"/>
          <w:sz w:val="24"/>
          <w:szCs w:val="24"/>
        </w:rPr>
      </w:pPr>
      <w:r>
        <w:rPr>
          <w:rFonts w:hint="eastAsia"/>
          <w:b/>
          <w:color w:val="auto"/>
          <w:sz w:val="24"/>
          <w:szCs w:val="24"/>
        </w:rPr>
        <w:t>2、监测因子及监测频率</w:t>
      </w:r>
    </w:p>
    <w:p>
      <w:pPr>
        <w:spacing w:line="360" w:lineRule="auto"/>
        <w:ind w:firstLine="480" w:firstLineChars="200"/>
        <w:jc w:val="left"/>
        <w:rPr>
          <w:color w:val="auto"/>
          <w:sz w:val="24"/>
          <w:szCs w:val="24"/>
        </w:rPr>
      </w:pPr>
      <w:r>
        <w:rPr>
          <w:rFonts w:hint="eastAsia"/>
          <w:color w:val="auto"/>
          <w:sz w:val="24"/>
          <w:szCs w:val="24"/>
        </w:rPr>
        <w:t>地表水现状评价因子：水温、pH、COD</w:t>
      </w:r>
      <w:r>
        <w:rPr>
          <w:rFonts w:hint="eastAsia"/>
          <w:color w:val="auto"/>
          <w:sz w:val="24"/>
          <w:szCs w:val="24"/>
          <w:vertAlign w:val="subscript"/>
        </w:rPr>
        <w:t>Cr</w:t>
      </w:r>
      <w:r>
        <w:rPr>
          <w:rFonts w:hint="eastAsia"/>
          <w:color w:val="auto"/>
          <w:sz w:val="24"/>
          <w:szCs w:val="24"/>
        </w:rPr>
        <w:t>、DO、BOD</w:t>
      </w:r>
      <w:r>
        <w:rPr>
          <w:rFonts w:hint="eastAsia"/>
          <w:color w:val="auto"/>
          <w:sz w:val="24"/>
          <w:szCs w:val="24"/>
          <w:vertAlign w:val="subscript"/>
        </w:rPr>
        <w:t>5</w:t>
      </w:r>
      <w:r>
        <w:rPr>
          <w:rFonts w:hint="eastAsia"/>
          <w:color w:val="auto"/>
          <w:sz w:val="24"/>
          <w:szCs w:val="24"/>
        </w:rPr>
        <w:t>、氨氮、总磷、SS、氰化物、挥发酚、阴离子表面活性剂、石油类、六价铬、铅、粪大肠菌群、砷、汞、镉、镍、铁、锰、硫化物。同时记录水面宽、水深、流速、流量等水文参数。</w:t>
      </w:r>
    </w:p>
    <w:p>
      <w:pPr>
        <w:spacing w:line="360" w:lineRule="auto"/>
        <w:ind w:firstLine="480" w:firstLineChars="200"/>
        <w:jc w:val="left"/>
        <w:rPr>
          <w:color w:val="auto"/>
          <w:sz w:val="24"/>
          <w:szCs w:val="24"/>
        </w:rPr>
      </w:pPr>
      <w:r>
        <w:rPr>
          <w:rFonts w:hint="eastAsia"/>
          <w:color w:val="auto"/>
          <w:sz w:val="24"/>
          <w:szCs w:val="24"/>
        </w:rPr>
        <w:t>监测时间：2020年10月21日~2020年10月23日（枯水期），连续监测三天，每天采样1次。</w:t>
      </w:r>
    </w:p>
    <w:p>
      <w:pPr>
        <w:spacing w:line="360" w:lineRule="auto"/>
        <w:ind w:firstLine="482" w:firstLineChars="200"/>
        <w:jc w:val="left"/>
        <w:rPr>
          <w:b/>
          <w:color w:val="auto"/>
          <w:sz w:val="24"/>
          <w:szCs w:val="24"/>
        </w:rPr>
      </w:pPr>
      <w:r>
        <w:rPr>
          <w:rFonts w:hint="eastAsia"/>
          <w:b/>
          <w:color w:val="auto"/>
          <w:sz w:val="24"/>
          <w:szCs w:val="24"/>
        </w:rPr>
        <w:t>3、评价方法</w:t>
      </w:r>
    </w:p>
    <w:p>
      <w:pPr>
        <w:spacing w:line="360" w:lineRule="auto"/>
        <w:ind w:firstLine="480" w:firstLineChars="200"/>
        <w:jc w:val="left"/>
        <w:rPr>
          <w:color w:val="auto"/>
          <w:sz w:val="24"/>
          <w:szCs w:val="24"/>
        </w:rPr>
      </w:pPr>
      <w:r>
        <w:rPr>
          <w:rFonts w:hint="eastAsia"/>
          <w:color w:val="auto"/>
          <w:sz w:val="24"/>
          <w:szCs w:val="24"/>
        </w:rPr>
        <w:t>根据实测结果，利用《环境影响评价技术导则 地表水环境》(HJ 2.3-2018)所要求的水质指数法进行评价，具体如下：</w:t>
      </w:r>
    </w:p>
    <w:p>
      <w:pPr>
        <w:spacing w:line="360" w:lineRule="auto"/>
        <w:ind w:firstLine="480" w:firstLineChars="200"/>
        <w:jc w:val="left"/>
        <w:rPr>
          <w:color w:val="auto"/>
          <w:sz w:val="24"/>
          <w:szCs w:val="24"/>
        </w:rPr>
      </w:pPr>
      <w:r>
        <w:rPr>
          <w:rFonts w:hint="eastAsia"/>
          <w:color w:val="auto"/>
          <w:sz w:val="24"/>
          <w:szCs w:val="24"/>
        </w:rPr>
        <w:t>（1）一般性水质因子的指数计算公式：</w:t>
      </w:r>
    </w:p>
    <w:p>
      <w:pPr>
        <w:spacing w:line="360" w:lineRule="auto"/>
        <w:jc w:val="center"/>
        <w:rPr>
          <w:color w:val="auto"/>
          <w:position w:val="-30"/>
        </w:rPr>
      </w:pPr>
      <w:r>
        <w:rPr>
          <w:color w:val="auto"/>
          <w:position w:val="-30"/>
        </w:rPr>
        <w:object>
          <v:shape id="_x0000_i1026" o:spt="75" type="#_x0000_t75" style="height:36pt;width:46.9pt;" o:ole="t" filled="f" o:preferrelative="t" stroked="f" coordsize="21600,21600">
            <v:path/>
            <v:fill on="f" focussize="0,0"/>
            <v:stroke on="f" joinstyle="miter"/>
            <v:imagedata r:id="rId39" o:title=""/>
            <o:lock v:ext="edit" aspectratio="t"/>
            <w10:wrap type="none"/>
            <w10:anchorlock/>
          </v:shape>
          <o:OLEObject Type="Embed" ProgID="Equation.DSMT4" ShapeID="_x0000_i1026" DrawAspect="Content" ObjectID="_1468075726" r:id="rId38">
            <o:LockedField>false</o:LockedField>
          </o:OLEObject>
        </w:object>
      </w:r>
    </w:p>
    <w:p>
      <w:pPr>
        <w:spacing w:line="360" w:lineRule="auto"/>
        <w:ind w:firstLine="480" w:firstLineChars="200"/>
        <w:jc w:val="left"/>
        <w:rPr>
          <w:color w:val="auto"/>
          <w:sz w:val="24"/>
          <w:szCs w:val="24"/>
        </w:rPr>
      </w:pPr>
      <w:r>
        <w:rPr>
          <w:rFonts w:hint="eastAsia"/>
          <w:color w:val="auto"/>
          <w:sz w:val="24"/>
          <w:szCs w:val="24"/>
        </w:rPr>
        <w:t>式中：S</w:t>
      </w:r>
      <w:r>
        <w:rPr>
          <w:rFonts w:hint="eastAsia"/>
          <w:color w:val="auto"/>
          <w:sz w:val="24"/>
          <w:szCs w:val="24"/>
          <w:vertAlign w:val="subscript"/>
        </w:rPr>
        <w:t>i，j</w:t>
      </w:r>
      <w:r>
        <w:rPr>
          <w:rFonts w:hint="eastAsia"/>
          <w:color w:val="auto"/>
          <w:sz w:val="24"/>
          <w:szCs w:val="24"/>
        </w:rPr>
        <w:t>—评价因子i的水质指数，大于1表明该水质因子超标；</w:t>
      </w:r>
    </w:p>
    <w:p>
      <w:pPr>
        <w:spacing w:line="360" w:lineRule="auto"/>
        <w:ind w:firstLine="480" w:firstLineChars="200"/>
        <w:jc w:val="left"/>
        <w:rPr>
          <w:color w:val="auto"/>
          <w:sz w:val="24"/>
          <w:szCs w:val="24"/>
        </w:rPr>
      </w:pPr>
      <w:r>
        <w:rPr>
          <w:rFonts w:hint="eastAsia"/>
          <w:color w:val="auto"/>
          <w:sz w:val="24"/>
          <w:szCs w:val="24"/>
        </w:rPr>
        <w:t>C</w:t>
      </w:r>
      <w:r>
        <w:rPr>
          <w:rFonts w:hint="eastAsia"/>
          <w:color w:val="auto"/>
          <w:sz w:val="24"/>
          <w:szCs w:val="24"/>
          <w:vertAlign w:val="subscript"/>
        </w:rPr>
        <w:t>i，j</w:t>
      </w:r>
      <w:r>
        <w:rPr>
          <w:rFonts w:hint="eastAsia"/>
          <w:color w:val="auto"/>
          <w:sz w:val="24"/>
          <w:szCs w:val="24"/>
        </w:rPr>
        <w:t>—评价因子i在j点的实测统计代表值，mg/L；</w:t>
      </w:r>
    </w:p>
    <w:p>
      <w:pPr>
        <w:spacing w:line="360" w:lineRule="auto"/>
        <w:ind w:firstLine="480" w:firstLineChars="200"/>
        <w:jc w:val="left"/>
        <w:rPr>
          <w:color w:val="auto"/>
          <w:sz w:val="24"/>
          <w:szCs w:val="24"/>
        </w:rPr>
      </w:pPr>
      <w:r>
        <w:rPr>
          <w:rFonts w:hint="eastAsia"/>
          <w:color w:val="auto"/>
          <w:sz w:val="24"/>
          <w:szCs w:val="24"/>
        </w:rPr>
        <w:t>C</w:t>
      </w:r>
      <w:r>
        <w:rPr>
          <w:rFonts w:hint="eastAsia"/>
          <w:color w:val="auto"/>
          <w:sz w:val="24"/>
          <w:szCs w:val="24"/>
          <w:vertAlign w:val="subscript"/>
        </w:rPr>
        <w:t>si</w:t>
      </w:r>
      <w:r>
        <w:rPr>
          <w:rFonts w:hint="eastAsia"/>
          <w:color w:val="auto"/>
          <w:sz w:val="24"/>
          <w:szCs w:val="24"/>
        </w:rPr>
        <w:t>—评价因子i的水质评价标准限值，mg/L。</w:t>
      </w:r>
    </w:p>
    <w:p>
      <w:pPr>
        <w:spacing w:line="360" w:lineRule="auto"/>
        <w:ind w:firstLine="480" w:firstLineChars="200"/>
        <w:jc w:val="left"/>
        <w:rPr>
          <w:color w:val="auto"/>
          <w:sz w:val="24"/>
          <w:szCs w:val="24"/>
        </w:rPr>
      </w:pPr>
      <w:r>
        <w:rPr>
          <w:rFonts w:hint="eastAsia"/>
          <w:color w:val="auto"/>
          <w:sz w:val="24"/>
          <w:szCs w:val="24"/>
        </w:rPr>
        <w:t>（2）DO的标准指数计算公式为：</w:t>
      </w:r>
    </w:p>
    <w:p>
      <w:pPr>
        <w:spacing w:line="360" w:lineRule="auto"/>
        <w:jc w:val="center"/>
        <w:rPr>
          <w:color w:val="auto"/>
          <w:sz w:val="24"/>
          <w:szCs w:val="24"/>
        </w:rPr>
      </w:pPr>
      <w:r>
        <w:rPr>
          <w:rFonts w:hint="eastAsia"/>
          <w:color w:val="auto"/>
          <w:sz w:val="24"/>
          <w:szCs w:val="24"/>
        </w:rPr>
        <w:drawing>
          <wp:inline distT="0" distB="0" distL="0" distR="0">
            <wp:extent cx="1480820" cy="755650"/>
            <wp:effectExtent l="19050" t="0" r="450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40" cstate="print"/>
                    <a:srcRect/>
                    <a:stretch>
                      <a:fillRect/>
                    </a:stretch>
                  </pic:blipFill>
                  <pic:spPr>
                    <a:xfrm>
                      <a:off x="0" y="0"/>
                      <a:ext cx="1481400" cy="756000"/>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式中：S</w:t>
      </w:r>
      <w:r>
        <w:rPr>
          <w:rFonts w:hint="eastAsia"/>
          <w:color w:val="auto"/>
          <w:sz w:val="24"/>
          <w:szCs w:val="24"/>
          <w:vertAlign w:val="subscript"/>
        </w:rPr>
        <w:t>DO,j</w:t>
      </w:r>
      <w:r>
        <w:rPr>
          <w:rFonts w:hint="eastAsia"/>
          <w:color w:val="auto"/>
          <w:sz w:val="24"/>
          <w:szCs w:val="24"/>
        </w:rPr>
        <w:t>—溶解氧的标准指数，大于1表明该水质因子超标；</w:t>
      </w:r>
    </w:p>
    <w:p>
      <w:pPr>
        <w:spacing w:line="360" w:lineRule="auto"/>
        <w:ind w:firstLine="480" w:firstLineChars="200"/>
        <w:jc w:val="left"/>
        <w:rPr>
          <w:color w:val="auto"/>
          <w:sz w:val="24"/>
          <w:szCs w:val="24"/>
        </w:rPr>
      </w:pPr>
      <w:r>
        <w:rPr>
          <w:rFonts w:hint="eastAsia"/>
          <w:color w:val="auto"/>
          <w:sz w:val="24"/>
          <w:szCs w:val="24"/>
        </w:rPr>
        <w:t>DO</w:t>
      </w:r>
      <w:r>
        <w:rPr>
          <w:rFonts w:hint="eastAsia"/>
          <w:color w:val="auto"/>
          <w:sz w:val="24"/>
          <w:szCs w:val="24"/>
          <w:vertAlign w:val="subscript"/>
        </w:rPr>
        <w:t>j</w:t>
      </w:r>
      <w:r>
        <w:rPr>
          <w:rFonts w:hint="eastAsia"/>
          <w:color w:val="auto"/>
          <w:sz w:val="24"/>
          <w:szCs w:val="24"/>
        </w:rPr>
        <w:t>—溶解氧在j点的实测统计代表值，mg/L；</w:t>
      </w:r>
    </w:p>
    <w:p>
      <w:pPr>
        <w:spacing w:line="360" w:lineRule="auto"/>
        <w:ind w:firstLine="480" w:firstLineChars="200"/>
        <w:jc w:val="left"/>
        <w:rPr>
          <w:color w:val="auto"/>
          <w:sz w:val="24"/>
          <w:szCs w:val="24"/>
        </w:rPr>
      </w:pPr>
      <w:r>
        <w:rPr>
          <w:rFonts w:hint="eastAsia"/>
          <w:color w:val="auto"/>
          <w:sz w:val="24"/>
          <w:szCs w:val="24"/>
        </w:rPr>
        <w:t>DO</w:t>
      </w:r>
      <w:r>
        <w:rPr>
          <w:rFonts w:hint="eastAsia"/>
          <w:color w:val="auto"/>
          <w:sz w:val="24"/>
          <w:szCs w:val="24"/>
          <w:vertAlign w:val="subscript"/>
        </w:rPr>
        <w:t>s</w:t>
      </w:r>
      <w:r>
        <w:rPr>
          <w:rFonts w:hint="eastAsia"/>
          <w:color w:val="auto"/>
          <w:sz w:val="24"/>
          <w:szCs w:val="24"/>
        </w:rPr>
        <w:t>—溶解氧的水质评价标准限值，mg/L；</w:t>
      </w:r>
    </w:p>
    <w:p>
      <w:pPr>
        <w:spacing w:line="360" w:lineRule="auto"/>
        <w:ind w:firstLine="480" w:firstLineChars="200"/>
        <w:jc w:val="left"/>
        <w:rPr>
          <w:color w:val="auto"/>
          <w:sz w:val="24"/>
          <w:szCs w:val="24"/>
        </w:rPr>
      </w:pPr>
      <w:r>
        <w:rPr>
          <w:rFonts w:hint="eastAsia"/>
          <w:color w:val="auto"/>
          <w:sz w:val="24"/>
          <w:szCs w:val="24"/>
        </w:rPr>
        <w:t>DO</w:t>
      </w:r>
      <w:r>
        <w:rPr>
          <w:rFonts w:hint="eastAsia"/>
          <w:color w:val="auto"/>
          <w:sz w:val="24"/>
          <w:szCs w:val="24"/>
          <w:vertAlign w:val="subscript"/>
        </w:rPr>
        <w:t>f</w:t>
      </w:r>
      <w:r>
        <w:rPr>
          <w:rFonts w:hint="eastAsia"/>
          <w:color w:val="auto"/>
          <w:sz w:val="24"/>
          <w:szCs w:val="24"/>
        </w:rPr>
        <w:t>—饱和溶解氧浓度，mg/L，对于河流DO</w:t>
      </w:r>
      <w:r>
        <w:rPr>
          <w:rFonts w:hint="eastAsia"/>
          <w:color w:val="auto"/>
          <w:sz w:val="24"/>
          <w:szCs w:val="24"/>
          <w:vertAlign w:val="subscript"/>
        </w:rPr>
        <w:t>f</w:t>
      </w:r>
      <w:r>
        <w:rPr>
          <w:rFonts w:hint="eastAsia"/>
          <w:color w:val="auto"/>
          <w:sz w:val="24"/>
          <w:szCs w:val="24"/>
        </w:rPr>
        <w:t>=468/（31.6+T）；</w:t>
      </w:r>
    </w:p>
    <w:p>
      <w:pPr>
        <w:spacing w:line="360" w:lineRule="auto"/>
        <w:ind w:firstLine="480" w:firstLineChars="200"/>
        <w:jc w:val="left"/>
        <w:rPr>
          <w:color w:val="auto"/>
          <w:sz w:val="24"/>
          <w:szCs w:val="24"/>
        </w:rPr>
      </w:pPr>
      <w:r>
        <w:rPr>
          <w:rFonts w:hint="eastAsia"/>
          <w:color w:val="auto"/>
          <w:sz w:val="24"/>
          <w:szCs w:val="24"/>
        </w:rPr>
        <w:t>T—水温，℃。</w:t>
      </w:r>
    </w:p>
    <w:p>
      <w:pPr>
        <w:spacing w:line="360" w:lineRule="auto"/>
        <w:ind w:firstLine="480" w:firstLineChars="200"/>
        <w:jc w:val="left"/>
        <w:rPr>
          <w:color w:val="auto"/>
          <w:sz w:val="24"/>
          <w:szCs w:val="24"/>
        </w:rPr>
      </w:pPr>
      <w:r>
        <w:rPr>
          <w:rFonts w:hint="eastAsia"/>
          <w:color w:val="auto"/>
          <w:sz w:val="24"/>
          <w:szCs w:val="24"/>
        </w:rPr>
        <w:t>（3）pH值的指数计算公式：</w:t>
      </w:r>
    </w:p>
    <w:p>
      <w:pPr>
        <w:spacing w:line="360" w:lineRule="auto"/>
        <w:jc w:val="center"/>
        <w:rPr>
          <w:color w:val="auto"/>
          <w:sz w:val="24"/>
          <w:szCs w:val="24"/>
        </w:rPr>
      </w:pPr>
      <w:r>
        <w:rPr>
          <w:rFonts w:hint="eastAsia"/>
          <w:color w:val="auto"/>
          <w:sz w:val="24"/>
          <w:szCs w:val="24"/>
        </w:rPr>
        <w:drawing>
          <wp:inline distT="0" distB="0" distL="0" distR="0">
            <wp:extent cx="1763395" cy="793750"/>
            <wp:effectExtent l="19050" t="0" r="7650" b="0"/>
            <wp:docPr id="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5"/>
                    <pic:cNvPicPr>
                      <a:picLocks noChangeAspect="1" noChangeArrowheads="1"/>
                    </pic:cNvPicPr>
                  </pic:nvPicPr>
                  <pic:blipFill>
                    <a:blip r:embed="rId41" cstate="print"/>
                    <a:srcRect/>
                    <a:stretch>
                      <a:fillRect/>
                    </a:stretch>
                  </pic:blipFill>
                  <pic:spPr>
                    <a:xfrm>
                      <a:off x="0" y="0"/>
                      <a:ext cx="1764000" cy="794169"/>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式中：S</w:t>
      </w:r>
      <w:r>
        <w:rPr>
          <w:rFonts w:hint="eastAsia"/>
          <w:color w:val="auto"/>
          <w:sz w:val="24"/>
          <w:szCs w:val="24"/>
          <w:vertAlign w:val="subscript"/>
        </w:rPr>
        <w:t>pH,j</w:t>
      </w:r>
      <w:r>
        <w:rPr>
          <w:rFonts w:hint="eastAsia"/>
          <w:color w:val="auto"/>
          <w:sz w:val="24"/>
          <w:szCs w:val="24"/>
        </w:rPr>
        <w:t>—pH值的指数，大于1表明该水质因子超标；</w:t>
      </w:r>
    </w:p>
    <w:p>
      <w:pPr>
        <w:spacing w:line="360" w:lineRule="auto"/>
        <w:ind w:firstLine="480" w:firstLineChars="200"/>
        <w:jc w:val="left"/>
        <w:rPr>
          <w:color w:val="auto"/>
          <w:sz w:val="24"/>
          <w:szCs w:val="24"/>
        </w:rPr>
      </w:pPr>
      <w:r>
        <w:rPr>
          <w:rFonts w:hint="eastAsia"/>
          <w:color w:val="auto"/>
          <w:sz w:val="24"/>
          <w:szCs w:val="24"/>
        </w:rPr>
        <w:t>pH</w:t>
      </w:r>
      <w:r>
        <w:rPr>
          <w:rFonts w:hint="eastAsia"/>
          <w:color w:val="auto"/>
          <w:sz w:val="24"/>
          <w:szCs w:val="24"/>
          <w:vertAlign w:val="subscript"/>
        </w:rPr>
        <w:t>j</w:t>
      </w:r>
      <w:r>
        <w:rPr>
          <w:rFonts w:hint="eastAsia"/>
          <w:color w:val="auto"/>
          <w:sz w:val="24"/>
          <w:szCs w:val="24"/>
        </w:rPr>
        <w:t>—pH值实测统计代表值；</w:t>
      </w:r>
    </w:p>
    <w:p>
      <w:pPr>
        <w:spacing w:line="360" w:lineRule="auto"/>
        <w:ind w:firstLine="480" w:firstLineChars="200"/>
        <w:jc w:val="left"/>
        <w:rPr>
          <w:color w:val="auto"/>
          <w:sz w:val="24"/>
          <w:szCs w:val="24"/>
        </w:rPr>
      </w:pPr>
      <w:r>
        <w:rPr>
          <w:rFonts w:hint="eastAsia"/>
          <w:color w:val="auto"/>
          <w:sz w:val="24"/>
          <w:szCs w:val="24"/>
        </w:rPr>
        <w:t>pH</w:t>
      </w:r>
      <w:r>
        <w:rPr>
          <w:rFonts w:hint="eastAsia"/>
          <w:color w:val="auto"/>
          <w:sz w:val="24"/>
          <w:szCs w:val="24"/>
          <w:vertAlign w:val="subscript"/>
        </w:rPr>
        <w:t>sd</w:t>
      </w:r>
      <w:r>
        <w:rPr>
          <w:rFonts w:hint="eastAsia"/>
          <w:color w:val="auto"/>
          <w:sz w:val="24"/>
          <w:szCs w:val="24"/>
        </w:rPr>
        <w:t>—评价标准中pH值下限值；</w:t>
      </w:r>
    </w:p>
    <w:p>
      <w:pPr>
        <w:spacing w:line="360" w:lineRule="auto"/>
        <w:ind w:firstLine="480" w:firstLineChars="200"/>
        <w:jc w:val="left"/>
        <w:rPr>
          <w:color w:val="auto"/>
          <w:sz w:val="24"/>
          <w:szCs w:val="24"/>
        </w:rPr>
      </w:pPr>
      <w:r>
        <w:rPr>
          <w:rFonts w:hint="eastAsia"/>
          <w:color w:val="auto"/>
          <w:sz w:val="24"/>
          <w:szCs w:val="24"/>
        </w:rPr>
        <w:t>pH</w:t>
      </w:r>
      <w:r>
        <w:rPr>
          <w:rFonts w:hint="eastAsia"/>
          <w:color w:val="auto"/>
          <w:sz w:val="24"/>
          <w:szCs w:val="24"/>
          <w:vertAlign w:val="subscript"/>
        </w:rPr>
        <w:t>su</w:t>
      </w:r>
      <w:r>
        <w:rPr>
          <w:rFonts w:hint="eastAsia"/>
          <w:color w:val="auto"/>
          <w:sz w:val="24"/>
          <w:szCs w:val="24"/>
        </w:rPr>
        <w:t>—评价标准中规定的pH值上限值。</w:t>
      </w:r>
    </w:p>
    <w:p>
      <w:pPr>
        <w:spacing w:line="360" w:lineRule="auto"/>
        <w:ind w:firstLine="482" w:firstLineChars="200"/>
        <w:jc w:val="left"/>
        <w:rPr>
          <w:b/>
          <w:color w:val="auto"/>
          <w:sz w:val="24"/>
          <w:szCs w:val="24"/>
        </w:rPr>
        <w:sectPr>
          <w:pgSz w:w="11906" w:h="16838"/>
          <w:pgMar w:top="1440" w:right="1800" w:bottom="1440" w:left="1800" w:header="851" w:footer="992" w:gutter="0"/>
          <w:cols w:space="425" w:num="1"/>
          <w:docGrid w:type="lines" w:linePitch="312" w:charSpace="0"/>
        </w:sectPr>
      </w:pPr>
      <w:r>
        <w:rPr>
          <w:rFonts w:hint="eastAsia"/>
          <w:b/>
          <w:color w:val="auto"/>
          <w:sz w:val="24"/>
          <w:szCs w:val="24"/>
        </w:rPr>
        <w:t>4、监测结果与评价</w:t>
      </w:r>
    </w:p>
    <w:p>
      <w:pPr>
        <w:pStyle w:val="48"/>
        <w:ind w:firstLine="0" w:firstLineChars="0"/>
        <w:jc w:val="center"/>
        <w:rPr>
          <w:rFonts w:ascii="Times New Roman" w:hAnsi="宋体" w:eastAsia="宋体"/>
          <w:b/>
          <w:color w:val="auto"/>
          <w:sz w:val="24"/>
        </w:rPr>
      </w:pPr>
      <w:r>
        <w:rPr>
          <w:rFonts w:ascii="Times New Roman" w:hAnsi="宋体" w:eastAsia="宋体"/>
          <w:b/>
          <w:color w:val="auto"/>
          <w:sz w:val="24"/>
        </w:rPr>
        <w:t>表</w:t>
      </w:r>
      <w:r>
        <w:rPr>
          <w:rFonts w:ascii="Times New Roman" w:hAnsi="Times New Roman" w:eastAsia="宋体"/>
          <w:b/>
          <w:color w:val="auto"/>
          <w:sz w:val="24"/>
        </w:rPr>
        <w:t>4-</w:t>
      </w:r>
      <w:r>
        <w:rPr>
          <w:rFonts w:hint="eastAsia" w:ascii="Times New Roman" w:hAnsi="Times New Roman" w:eastAsia="宋体"/>
          <w:b/>
          <w:color w:val="auto"/>
          <w:sz w:val="24"/>
        </w:rPr>
        <w:t>2-4</w:t>
      </w:r>
      <w:r>
        <w:rPr>
          <w:rFonts w:ascii="Times New Roman" w:hAnsi="Times New Roman" w:eastAsia="宋体"/>
          <w:b/>
          <w:color w:val="auto"/>
          <w:sz w:val="24"/>
        </w:rPr>
        <w:t xml:space="preserve">   </w:t>
      </w:r>
      <w:r>
        <w:rPr>
          <w:rFonts w:ascii="Times New Roman" w:hAnsi="宋体" w:eastAsia="宋体"/>
          <w:b/>
          <w:color w:val="auto"/>
          <w:sz w:val="24"/>
        </w:rPr>
        <w:t>地表水水质监测结果统计结果一览表</w:t>
      </w:r>
    </w:p>
    <w:tbl>
      <w:tblPr>
        <w:tblStyle w:val="28"/>
        <w:tblW w:w="13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5"/>
        <w:gridCol w:w="1276"/>
        <w:gridCol w:w="1134"/>
        <w:gridCol w:w="992"/>
        <w:gridCol w:w="1134"/>
        <w:gridCol w:w="1134"/>
        <w:gridCol w:w="993"/>
        <w:gridCol w:w="1134"/>
        <w:gridCol w:w="1275"/>
        <w:gridCol w:w="851"/>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35" w:type="dxa"/>
            <w:vMerge w:val="restart"/>
            <w:vAlign w:val="center"/>
          </w:tcPr>
          <w:p>
            <w:pPr>
              <w:widowControl/>
              <w:adjustRightInd w:val="0"/>
              <w:snapToGrid w:val="0"/>
              <w:jc w:val="center"/>
              <w:rPr>
                <w:b/>
                <w:color w:val="auto"/>
                <w:kern w:val="0"/>
                <w:sz w:val="21"/>
                <w:szCs w:val="21"/>
              </w:rPr>
            </w:pPr>
            <w:r>
              <w:rPr>
                <w:rFonts w:hAnsi="宋体"/>
                <w:b/>
                <w:color w:val="auto"/>
                <w:kern w:val="0"/>
                <w:sz w:val="21"/>
                <w:szCs w:val="21"/>
              </w:rPr>
              <w:t>检测项目</w:t>
            </w:r>
          </w:p>
        </w:tc>
        <w:tc>
          <w:tcPr>
            <w:tcW w:w="9923" w:type="dxa"/>
            <w:gridSpan w:val="9"/>
            <w:noWrap/>
            <w:vAlign w:val="center"/>
          </w:tcPr>
          <w:p>
            <w:pPr>
              <w:widowControl/>
              <w:adjustRightInd w:val="0"/>
              <w:snapToGrid w:val="0"/>
              <w:jc w:val="center"/>
              <w:rPr>
                <w:b/>
                <w:color w:val="auto"/>
                <w:kern w:val="0"/>
                <w:sz w:val="21"/>
                <w:szCs w:val="21"/>
              </w:rPr>
            </w:pPr>
            <w:r>
              <w:rPr>
                <w:rFonts w:hAnsi="宋体"/>
                <w:b/>
                <w:color w:val="auto"/>
                <w:kern w:val="0"/>
                <w:sz w:val="21"/>
                <w:szCs w:val="21"/>
              </w:rPr>
              <w:t>监测断面</w:t>
            </w:r>
          </w:p>
        </w:tc>
        <w:tc>
          <w:tcPr>
            <w:tcW w:w="2067" w:type="dxa"/>
            <w:vMerge w:val="restart"/>
            <w:noWrap/>
            <w:vAlign w:val="center"/>
          </w:tcPr>
          <w:p>
            <w:pPr>
              <w:widowControl/>
              <w:adjustRightInd w:val="0"/>
              <w:snapToGrid w:val="0"/>
              <w:jc w:val="center"/>
              <w:rPr>
                <w:b/>
                <w:color w:val="auto"/>
                <w:kern w:val="0"/>
                <w:sz w:val="21"/>
                <w:szCs w:val="21"/>
              </w:rPr>
            </w:pPr>
            <w:r>
              <w:rPr>
                <w:rFonts w:hAnsi="宋体"/>
                <w:b/>
                <w:color w:val="auto"/>
                <w:kern w:val="0"/>
                <w:sz w:val="21"/>
                <w:szCs w:val="21"/>
              </w:rPr>
              <w:t>环境质量标准</w:t>
            </w:r>
          </w:p>
          <w:p>
            <w:pPr>
              <w:widowControl/>
              <w:adjustRightInd w:val="0"/>
              <w:snapToGrid w:val="0"/>
              <w:jc w:val="center"/>
              <w:rPr>
                <w:b/>
                <w:color w:val="auto"/>
                <w:kern w:val="0"/>
                <w:sz w:val="21"/>
                <w:szCs w:val="21"/>
              </w:rPr>
            </w:pPr>
            <w:r>
              <w:rPr>
                <w:b/>
                <w:color w:val="auto"/>
                <w:sz w:val="21"/>
                <w:szCs w:val="21"/>
              </w:rPr>
              <w:t>mg/L</w:t>
            </w:r>
            <w:r>
              <w:rPr>
                <w:rFonts w:hAnsi="宋体"/>
                <w:b/>
                <w:color w:val="auto"/>
                <w:sz w:val="21"/>
                <w:szCs w:val="21"/>
              </w:rPr>
              <w:t>（有注明除外）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35" w:type="dxa"/>
            <w:vMerge w:val="continue"/>
            <w:vAlign w:val="center"/>
          </w:tcPr>
          <w:p>
            <w:pPr>
              <w:widowControl/>
              <w:adjustRightInd w:val="0"/>
              <w:snapToGrid w:val="0"/>
              <w:jc w:val="center"/>
              <w:rPr>
                <w:b/>
                <w:color w:val="auto"/>
                <w:kern w:val="0"/>
                <w:sz w:val="21"/>
                <w:szCs w:val="21"/>
              </w:rPr>
            </w:pPr>
          </w:p>
        </w:tc>
        <w:tc>
          <w:tcPr>
            <w:tcW w:w="3402" w:type="dxa"/>
            <w:gridSpan w:val="3"/>
            <w:vAlign w:val="center"/>
          </w:tcPr>
          <w:p>
            <w:pPr>
              <w:widowControl/>
              <w:adjustRightInd w:val="0"/>
              <w:snapToGrid w:val="0"/>
              <w:jc w:val="center"/>
              <w:rPr>
                <w:b/>
                <w:color w:val="auto"/>
                <w:kern w:val="0"/>
                <w:sz w:val="21"/>
                <w:szCs w:val="21"/>
              </w:rPr>
            </w:pPr>
            <w:r>
              <w:rPr>
                <w:rFonts w:hAnsi="宋体"/>
                <w:b/>
                <w:color w:val="auto"/>
                <w:sz w:val="21"/>
                <w:szCs w:val="21"/>
              </w:rPr>
              <w:t>（大嵩河）排污口上游</w:t>
            </w:r>
            <w:r>
              <w:rPr>
                <w:b/>
                <w:color w:val="auto"/>
                <w:sz w:val="21"/>
                <w:szCs w:val="21"/>
              </w:rPr>
              <w:t>400m</w:t>
            </w:r>
          </w:p>
        </w:tc>
        <w:tc>
          <w:tcPr>
            <w:tcW w:w="3261" w:type="dxa"/>
            <w:gridSpan w:val="3"/>
            <w:vAlign w:val="center"/>
          </w:tcPr>
          <w:p>
            <w:pPr>
              <w:widowControl/>
              <w:adjustRightInd w:val="0"/>
              <w:snapToGrid w:val="0"/>
              <w:jc w:val="center"/>
              <w:rPr>
                <w:b/>
                <w:color w:val="auto"/>
                <w:kern w:val="0"/>
                <w:sz w:val="21"/>
                <w:szCs w:val="21"/>
              </w:rPr>
            </w:pPr>
            <w:r>
              <w:rPr>
                <w:rFonts w:hAnsi="宋体"/>
                <w:b/>
                <w:color w:val="auto"/>
                <w:sz w:val="21"/>
                <w:szCs w:val="21"/>
              </w:rPr>
              <w:t>（大嵩河）排污口下游</w:t>
            </w:r>
            <w:r>
              <w:rPr>
                <w:b/>
                <w:color w:val="auto"/>
                <w:sz w:val="21"/>
                <w:szCs w:val="21"/>
              </w:rPr>
              <w:t>500m</w:t>
            </w:r>
          </w:p>
        </w:tc>
        <w:tc>
          <w:tcPr>
            <w:tcW w:w="3260" w:type="dxa"/>
            <w:gridSpan w:val="3"/>
            <w:vAlign w:val="center"/>
          </w:tcPr>
          <w:p>
            <w:pPr>
              <w:widowControl/>
              <w:adjustRightInd w:val="0"/>
              <w:snapToGrid w:val="0"/>
              <w:jc w:val="center"/>
              <w:rPr>
                <w:b/>
                <w:color w:val="auto"/>
                <w:kern w:val="0"/>
                <w:sz w:val="21"/>
                <w:szCs w:val="21"/>
              </w:rPr>
            </w:pPr>
            <w:r>
              <w:rPr>
                <w:rFonts w:hAnsi="宋体"/>
                <w:b/>
                <w:color w:val="auto"/>
                <w:sz w:val="21"/>
                <w:szCs w:val="21"/>
              </w:rPr>
              <w:t>（大嵩河）排污口下游</w:t>
            </w:r>
            <w:r>
              <w:rPr>
                <w:b/>
                <w:color w:val="auto"/>
                <w:sz w:val="21"/>
                <w:szCs w:val="21"/>
              </w:rPr>
              <w:t>4800m</w:t>
            </w:r>
          </w:p>
        </w:tc>
        <w:tc>
          <w:tcPr>
            <w:tcW w:w="2067" w:type="dxa"/>
            <w:vMerge w:val="continue"/>
            <w:noWrap/>
            <w:vAlign w:val="center"/>
          </w:tcPr>
          <w:p>
            <w:pPr>
              <w:widowControl/>
              <w:adjustRightInd w:val="0"/>
              <w:snapToGrid w:val="0"/>
              <w:jc w:val="center"/>
              <w:rPr>
                <w:b/>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35" w:type="dxa"/>
            <w:vMerge w:val="continue"/>
            <w:vAlign w:val="center"/>
          </w:tcPr>
          <w:p>
            <w:pPr>
              <w:widowControl/>
              <w:adjustRightInd w:val="0"/>
              <w:snapToGrid w:val="0"/>
              <w:jc w:val="center"/>
              <w:rPr>
                <w:b/>
                <w:color w:val="auto"/>
                <w:kern w:val="0"/>
                <w:sz w:val="21"/>
                <w:szCs w:val="21"/>
              </w:rPr>
            </w:pPr>
          </w:p>
        </w:tc>
        <w:tc>
          <w:tcPr>
            <w:tcW w:w="1276" w:type="dxa"/>
            <w:noWrap/>
            <w:vAlign w:val="center"/>
          </w:tcPr>
          <w:p>
            <w:pPr>
              <w:widowControl/>
              <w:adjustRightInd w:val="0"/>
              <w:snapToGrid w:val="0"/>
              <w:jc w:val="center"/>
              <w:rPr>
                <w:b/>
                <w:color w:val="auto"/>
                <w:kern w:val="0"/>
                <w:sz w:val="21"/>
                <w:szCs w:val="21"/>
              </w:rPr>
            </w:pPr>
            <w:r>
              <w:rPr>
                <w:rFonts w:hint="eastAsia" w:hAnsi="宋体"/>
                <w:b/>
                <w:color w:val="auto"/>
                <w:kern w:val="0"/>
                <w:sz w:val="21"/>
                <w:szCs w:val="21"/>
              </w:rPr>
              <w:t>监测</w:t>
            </w:r>
            <w:r>
              <w:rPr>
                <w:rFonts w:hAnsi="宋体"/>
                <w:b/>
                <w:color w:val="auto"/>
                <w:kern w:val="0"/>
                <w:sz w:val="21"/>
                <w:szCs w:val="21"/>
              </w:rPr>
              <w:t>值</w:t>
            </w:r>
          </w:p>
        </w:tc>
        <w:tc>
          <w:tcPr>
            <w:tcW w:w="1134"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标准指数</w:t>
            </w:r>
            <w:r>
              <w:rPr>
                <w:rFonts w:hint="eastAsia" w:hAnsi="宋体"/>
                <w:b/>
                <w:color w:val="auto"/>
                <w:kern w:val="0"/>
                <w:sz w:val="21"/>
                <w:szCs w:val="21"/>
              </w:rPr>
              <w:t>最大值</w:t>
            </w:r>
          </w:p>
        </w:tc>
        <w:tc>
          <w:tcPr>
            <w:tcW w:w="992"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达标情况</w:t>
            </w:r>
          </w:p>
        </w:tc>
        <w:tc>
          <w:tcPr>
            <w:tcW w:w="1134" w:type="dxa"/>
            <w:noWrap/>
            <w:vAlign w:val="center"/>
          </w:tcPr>
          <w:p>
            <w:pPr>
              <w:widowControl/>
              <w:adjustRightInd w:val="0"/>
              <w:snapToGrid w:val="0"/>
              <w:jc w:val="center"/>
              <w:rPr>
                <w:b/>
                <w:color w:val="auto"/>
                <w:kern w:val="0"/>
                <w:sz w:val="21"/>
                <w:szCs w:val="21"/>
              </w:rPr>
            </w:pPr>
            <w:r>
              <w:rPr>
                <w:rFonts w:hint="eastAsia" w:hAnsi="宋体"/>
                <w:b/>
                <w:color w:val="auto"/>
                <w:kern w:val="0"/>
                <w:sz w:val="21"/>
                <w:szCs w:val="21"/>
              </w:rPr>
              <w:t>监测</w:t>
            </w:r>
            <w:r>
              <w:rPr>
                <w:rFonts w:hAnsi="宋体"/>
                <w:b/>
                <w:color w:val="auto"/>
                <w:kern w:val="0"/>
                <w:sz w:val="21"/>
                <w:szCs w:val="21"/>
              </w:rPr>
              <w:t>值</w:t>
            </w:r>
          </w:p>
        </w:tc>
        <w:tc>
          <w:tcPr>
            <w:tcW w:w="1134"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标准指数</w:t>
            </w:r>
            <w:r>
              <w:rPr>
                <w:rFonts w:hint="eastAsia" w:hAnsi="宋体"/>
                <w:b/>
                <w:color w:val="auto"/>
                <w:kern w:val="0"/>
                <w:sz w:val="21"/>
                <w:szCs w:val="21"/>
              </w:rPr>
              <w:t>最大值</w:t>
            </w:r>
          </w:p>
        </w:tc>
        <w:tc>
          <w:tcPr>
            <w:tcW w:w="993"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达标情况</w:t>
            </w:r>
          </w:p>
        </w:tc>
        <w:tc>
          <w:tcPr>
            <w:tcW w:w="1134" w:type="dxa"/>
            <w:noWrap/>
            <w:vAlign w:val="center"/>
          </w:tcPr>
          <w:p>
            <w:pPr>
              <w:widowControl/>
              <w:adjustRightInd w:val="0"/>
              <w:snapToGrid w:val="0"/>
              <w:jc w:val="center"/>
              <w:rPr>
                <w:b/>
                <w:color w:val="auto"/>
                <w:kern w:val="0"/>
                <w:sz w:val="21"/>
                <w:szCs w:val="21"/>
              </w:rPr>
            </w:pPr>
            <w:r>
              <w:rPr>
                <w:rFonts w:hint="eastAsia" w:hAnsi="宋体"/>
                <w:b/>
                <w:color w:val="auto"/>
                <w:kern w:val="0"/>
                <w:sz w:val="21"/>
                <w:szCs w:val="21"/>
              </w:rPr>
              <w:t>监测</w:t>
            </w:r>
            <w:r>
              <w:rPr>
                <w:rFonts w:hAnsi="宋体"/>
                <w:b/>
                <w:color w:val="auto"/>
                <w:kern w:val="0"/>
                <w:sz w:val="21"/>
                <w:szCs w:val="21"/>
              </w:rPr>
              <w:t>值</w:t>
            </w:r>
          </w:p>
        </w:tc>
        <w:tc>
          <w:tcPr>
            <w:tcW w:w="1275"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标准指数</w:t>
            </w:r>
            <w:r>
              <w:rPr>
                <w:rFonts w:hint="eastAsia" w:hAnsi="宋体"/>
                <w:b/>
                <w:color w:val="auto"/>
                <w:kern w:val="0"/>
                <w:sz w:val="21"/>
                <w:szCs w:val="21"/>
              </w:rPr>
              <w:t>最大值</w:t>
            </w:r>
          </w:p>
        </w:tc>
        <w:tc>
          <w:tcPr>
            <w:tcW w:w="851"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达标情况</w:t>
            </w:r>
          </w:p>
        </w:tc>
        <w:tc>
          <w:tcPr>
            <w:tcW w:w="2067" w:type="dxa"/>
            <w:noWrap/>
            <w:vAlign w:val="center"/>
          </w:tcPr>
          <w:p>
            <w:pPr>
              <w:widowControl/>
              <w:adjustRightInd w:val="0"/>
              <w:snapToGrid w:val="0"/>
              <w:jc w:val="center"/>
              <w:rPr>
                <w:b/>
                <w:color w:val="auto"/>
                <w:kern w:val="0"/>
                <w:sz w:val="21"/>
                <w:szCs w:val="21"/>
              </w:rPr>
            </w:pPr>
            <w:r>
              <w:rPr>
                <w:rFonts w:ascii="宋体" w:hAnsi="宋体"/>
                <w:b/>
                <w:color w:val="auto"/>
                <w:kern w:val="0"/>
                <w:sz w:val="21"/>
                <w:szCs w:val="21"/>
              </w:rPr>
              <w:t>Ⅲ</w:t>
            </w:r>
            <w:r>
              <w:rPr>
                <w:rFonts w:hAnsi="宋体"/>
                <w:b/>
                <w:color w:val="auto"/>
                <w:kern w:val="0"/>
                <w:sz w:val="21"/>
                <w:szCs w:val="21"/>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widowControl/>
              <w:adjustRightInd w:val="0"/>
              <w:snapToGrid w:val="0"/>
              <w:jc w:val="center"/>
              <w:rPr>
                <w:color w:val="auto"/>
                <w:kern w:val="0"/>
                <w:sz w:val="21"/>
                <w:szCs w:val="21"/>
              </w:rPr>
            </w:pPr>
            <w:r>
              <w:rPr>
                <w:rFonts w:hAnsi="宋体"/>
                <w:color w:val="auto"/>
                <w:kern w:val="0"/>
                <w:sz w:val="21"/>
                <w:szCs w:val="21"/>
              </w:rPr>
              <w:t>水温</w:t>
            </w:r>
          </w:p>
        </w:tc>
        <w:tc>
          <w:tcPr>
            <w:tcW w:w="1276" w:type="dxa"/>
            <w:noWrap/>
            <w:vAlign w:val="center"/>
          </w:tcPr>
          <w:p>
            <w:pPr>
              <w:widowControl/>
              <w:adjustRightInd w:val="0"/>
              <w:snapToGrid w:val="0"/>
              <w:jc w:val="center"/>
              <w:rPr>
                <w:color w:val="auto"/>
                <w:kern w:val="0"/>
                <w:sz w:val="21"/>
                <w:szCs w:val="21"/>
              </w:rPr>
            </w:pPr>
            <w:r>
              <w:rPr>
                <w:color w:val="auto"/>
                <w:sz w:val="21"/>
                <w:szCs w:val="22"/>
              </w:rPr>
              <w:t>28.5~30.2</w:t>
            </w:r>
          </w:p>
        </w:tc>
        <w:tc>
          <w:tcPr>
            <w:tcW w:w="1134" w:type="dxa"/>
            <w:noWrap/>
            <w:vAlign w:val="center"/>
          </w:tcPr>
          <w:p>
            <w:pPr>
              <w:adjustRightInd w:val="0"/>
              <w:snapToGrid w:val="0"/>
              <w:jc w:val="center"/>
              <w:rPr>
                <w:rFonts w:ascii="宋体" w:hAnsi="宋体" w:cs="宋体"/>
                <w:color w:val="auto"/>
                <w:sz w:val="22"/>
                <w:szCs w:val="22"/>
              </w:rPr>
            </w:pPr>
            <w:r>
              <w:rPr>
                <w:rFonts w:hint="eastAsia"/>
                <w:color w:val="auto"/>
                <w:sz w:val="22"/>
                <w:szCs w:val="22"/>
              </w:rPr>
              <w:t>——</w:t>
            </w:r>
          </w:p>
        </w:tc>
        <w:tc>
          <w:tcPr>
            <w:tcW w:w="992" w:type="dxa"/>
            <w:noWrap/>
            <w:vAlign w:val="center"/>
          </w:tcPr>
          <w:p>
            <w:pPr>
              <w:adjustRightInd w:val="0"/>
              <w:snapToGrid w:val="0"/>
              <w:jc w:val="center"/>
              <w:rPr>
                <w:rFonts w:ascii="宋体" w:hAnsi="宋体" w:cs="宋体"/>
                <w:color w:val="auto"/>
                <w:sz w:val="22"/>
                <w:szCs w:val="22"/>
              </w:rPr>
            </w:pPr>
            <w:r>
              <w:rPr>
                <w:rFonts w:hint="eastAsia"/>
                <w:color w:val="auto"/>
                <w:sz w:val="22"/>
                <w:szCs w:val="22"/>
              </w:rPr>
              <w:t>——</w:t>
            </w:r>
          </w:p>
        </w:tc>
        <w:tc>
          <w:tcPr>
            <w:tcW w:w="1134" w:type="dxa"/>
            <w:noWrap/>
            <w:vAlign w:val="center"/>
          </w:tcPr>
          <w:p>
            <w:pPr>
              <w:widowControl/>
              <w:adjustRightInd w:val="0"/>
              <w:snapToGrid w:val="0"/>
              <w:jc w:val="center"/>
              <w:rPr>
                <w:color w:val="auto"/>
                <w:kern w:val="0"/>
                <w:sz w:val="21"/>
                <w:szCs w:val="21"/>
              </w:rPr>
            </w:pPr>
            <w:r>
              <w:rPr>
                <w:color w:val="auto"/>
                <w:sz w:val="21"/>
                <w:szCs w:val="22"/>
              </w:rPr>
              <w:t>28.4~31.3</w:t>
            </w:r>
          </w:p>
        </w:tc>
        <w:tc>
          <w:tcPr>
            <w:tcW w:w="1134" w:type="dxa"/>
            <w:noWrap/>
            <w:vAlign w:val="center"/>
          </w:tcPr>
          <w:p>
            <w:pPr>
              <w:adjustRightInd w:val="0"/>
              <w:snapToGrid w:val="0"/>
              <w:jc w:val="center"/>
              <w:rPr>
                <w:rFonts w:ascii="宋体" w:hAnsi="宋体" w:cs="宋体"/>
                <w:color w:val="auto"/>
                <w:sz w:val="22"/>
                <w:szCs w:val="22"/>
              </w:rPr>
            </w:pPr>
            <w:r>
              <w:rPr>
                <w:rFonts w:hint="eastAsia"/>
                <w:color w:val="auto"/>
                <w:sz w:val="22"/>
                <w:szCs w:val="22"/>
              </w:rPr>
              <w:t>——</w:t>
            </w:r>
          </w:p>
        </w:tc>
        <w:tc>
          <w:tcPr>
            <w:tcW w:w="993" w:type="dxa"/>
            <w:noWrap/>
            <w:vAlign w:val="center"/>
          </w:tcPr>
          <w:p>
            <w:pPr>
              <w:adjustRightInd w:val="0"/>
              <w:snapToGrid w:val="0"/>
              <w:jc w:val="center"/>
              <w:rPr>
                <w:rFonts w:ascii="宋体" w:hAnsi="宋体" w:cs="宋体"/>
                <w:color w:val="auto"/>
                <w:sz w:val="22"/>
                <w:szCs w:val="22"/>
              </w:rPr>
            </w:pPr>
            <w:r>
              <w:rPr>
                <w:rFonts w:hint="eastAsia"/>
                <w:color w:val="auto"/>
                <w:sz w:val="22"/>
                <w:szCs w:val="22"/>
              </w:rPr>
              <w:t>——</w:t>
            </w:r>
          </w:p>
        </w:tc>
        <w:tc>
          <w:tcPr>
            <w:tcW w:w="1134" w:type="dxa"/>
            <w:noWrap/>
            <w:vAlign w:val="center"/>
          </w:tcPr>
          <w:p>
            <w:pPr>
              <w:widowControl/>
              <w:adjustRightInd w:val="0"/>
              <w:snapToGrid w:val="0"/>
              <w:jc w:val="center"/>
              <w:rPr>
                <w:color w:val="auto"/>
                <w:kern w:val="0"/>
                <w:sz w:val="21"/>
                <w:szCs w:val="21"/>
              </w:rPr>
            </w:pPr>
            <w:r>
              <w:rPr>
                <w:color w:val="auto"/>
                <w:sz w:val="21"/>
                <w:szCs w:val="22"/>
              </w:rPr>
              <w:t>27.4~32.3</w:t>
            </w:r>
          </w:p>
        </w:tc>
        <w:tc>
          <w:tcPr>
            <w:tcW w:w="1275" w:type="dxa"/>
            <w:noWrap/>
            <w:vAlign w:val="center"/>
          </w:tcPr>
          <w:p>
            <w:pPr>
              <w:adjustRightInd w:val="0"/>
              <w:snapToGrid w:val="0"/>
              <w:jc w:val="center"/>
              <w:rPr>
                <w:rFonts w:ascii="宋体" w:hAnsi="宋体" w:cs="宋体"/>
                <w:color w:val="auto"/>
                <w:sz w:val="22"/>
                <w:szCs w:val="22"/>
              </w:rPr>
            </w:pPr>
            <w:r>
              <w:rPr>
                <w:rFonts w:hint="eastAsia"/>
                <w:color w:val="auto"/>
                <w:sz w:val="22"/>
                <w:szCs w:val="22"/>
              </w:rPr>
              <w:t>——</w:t>
            </w:r>
          </w:p>
        </w:tc>
        <w:tc>
          <w:tcPr>
            <w:tcW w:w="851" w:type="dxa"/>
            <w:noWrap/>
            <w:vAlign w:val="center"/>
          </w:tcPr>
          <w:p>
            <w:pPr>
              <w:adjustRightInd w:val="0"/>
              <w:snapToGrid w:val="0"/>
              <w:jc w:val="center"/>
              <w:rPr>
                <w:rFonts w:ascii="宋体" w:hAnsi="宋体" w:cs="宋体"/>
                <w:color w:val="auto"/>
                <w:sz w:val="22"/>
                <w:szCs w:val="22"/>
              </w:rPr>
            </w:pPr>
            <w:r>
              <w:rPr>
                <w:rFonts w:hint="eastAsia"/>
                <w:color w:val="auto"/>
                <w:sz w:val="22"/>
                <w:szCs w:val="22"/>
              </w:rPr>
              <w:t>——</w:t>
            </w:r>
          </w:p>
        </w:tc>
        <w:tc>
          <w:tcPr>
            <w:tcW w:w="2067" w:type="dxa"/>
            <w:noWrap/>
            <w:vAlign w:val="center"/>
          </w:tcPr>
          <w:p>
            <w:pPr>
              <w:adjustRightInd w:val="0"/>
              <w:snapToGrid w:val="0"/>
              <w:jc w:val="center"/>
              <w:rPr>
                <w:rFonts w:ascii="宋体" w:hAnsi="宋体" w:cs="宋体"/>
                <w:color w:val="auto"/>
                <w:sz w:val="22"/>
                <w:szCs w:val="22"/>
              </w:rPr>
            </w:pPr>
            <w:r>
              <w:rPr>
                <w:rFonts w:hint="eastAsia"/>
                <w:color w:val="auto"/>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435" w:type="dxa"/>
            <w:vAlign w:val="center"/>
          </w:tcPr>
          <w:p>
            <w:pPr>
              <w:adjustRightInd w:val="0"/>
              <w:snapToGrid w:val="0"/>
              <w:jc w:val="center"/>
              <w:rPr>
                <w:color w:val="auto"/>
                <w:sz w:val="21"/>
                <w:szCs w:val="21"/>
              </w:rPr>
            </w:pPr>
            <w:r>
              <w:rPr>
                <w:color w:val="auto"/>
                <w:sz w:val="21"/>
                <w:szCs w:val="21"/>
              </w:rPr>
              <w:t>pH</w:t>
            </w:r>
          </w:p>
        </w:tc>
        <w:tc>
          <w:tcPr>
            <w:tcW w:w="1276" w:type="dxa"/>
            <w:noWrap/>
            <w:vAlign w:val="center"/>
          </w:tcPr>
          <w:p>
            <w:pPr>
              <w:adjustRightInd w:val="0"/>
              <w:snapToGrid w:val="0"/>
              <w:jc w:val="center"/>
              <w:rPr>
                <w:color w:val="auto"/>
                <w:sz w:val="21"/>
                <w:szCs w:val="21"/>
              </w:rPr>
            </w:pPr>
            <w:r>
              <w:rPr>
                <w:color w:val="auto"/>
                <w:sz w:val="21"/>
                <w:szCs w:val="22"/>
              </w:rPr>
              <w:t>7.12~7.18</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0.09</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7.09~7.16</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0.08</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7.09~7.14</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0.07</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noWrap/>
            <w:vAlign w:val="center"/>
          </w:tcPr>
          <w:p>
            <w:pPr>
              <w:adjustRightInd w:val="0"/>
              <w:snapToGrid w:val="0"/>
              <w:jc w:val="center"/>
              <w:rPr>
                <w:color w:val="auto"/>
                <w:sz w:val="21"/>
                <w:szCs w:val="22"/>
              </w:rPr>
            </w:pPr>
            <w:r>
              <w:rPr>
                <w:color w:val="auto"/>
                <w:sz w:val="21"/>
                <w:szCs w:val="22"/>
              </w:rPr>
              <w:t>6</w:t>
            </w:r>
            <w:r>
              <w:rPr>
                <w:bCs/>
                <w:color w:val="auto"/>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color w:val="auto"/>
                <w:sz w:val="21"/>
                <w:szCs w:val="21"/>
              </w:rPr>
            </w:pPr>
            <w:r>
              <w:rPr>
                <w:color w:val="auto"/>
                <w:sz w:val="21"/>
                <w:szCs w:val="21"/>
              </w:rPr>
              <w:t>COD</w:t>
            </w:r>
            <w:r>
              <w:rPr>
                <w:color w:val="auto"/>
                <w:sz w:val="21"/>
                <w:szCs w:val="21"/>
                <w:vertAlign w:val="subscript"/>
              </w:rPr>
              <w:t>Cr</w:t>
            </w:r>
          </w:p>
        </w:tc>
        <w:tc>
          <w:tcPr>
            <w:tcW w:w="1276" w:type="dxa"/>
            <w:noWrap/>
            <w:vAlign w:val="center"/>
          </w:tcPr>
          <w:p>
            <w:pPr>
              <w:adjustRightInd w:val="0"/>
              <w:snapToGrid w:val="0"/>
              <w:jc w:val="center"/>
              <w:rPr>
                <w:color w:val="auto"/>
                <w:sz w:val="21"/>
                <w:szCs w:val="21"/>
              </w:rPr>
            </w:pPr>
            <w:r>
              <w:rPr>
                <w:color w:val="auto"/>
                <w:sz w:val="21"/>
                <w:szCs w:val="22"/>
              </w:rPr>
              <w:t>11~13</w:t>
            </w:r>
          </w:p>
        </w:tc>
        <w:tc>
          <w:tcPr>
            <w:tcW w:w="1134" w:type="dxa"/>
            <w:vAlign w:val="center"/>
          </w:tcPr>
          <w:p>
            <w:pPr>
              <w:adjustRightInd w:val="0"/>
              <w:snapToGrid w:val="0"/>
              <w:jc w:val="center"/>
              <w:rPr>
                <w:rFonts w:ascii="宋体" w:hAnsi="宋体" w:cs="宋体"/>
                <w:color w:val="auto"/>
                <w:sz w:val="22"/>
                <w:szCs w:val="22"/>
              </w:rPr>
            </w:pPr>
            <w:r>
              <w:rPr>
                <w:color w:val="auto"/>
                <w:sz w:val="21"/>
                <w:szCs w:val="21"/>
              </w:rPr>
              <w:t>0.65</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14~17</w:t>
            </w:r>
          </w:p>
        </w:tc>
        <w:tc>
          <w:tcPr>
            <w:tcW w:w="1134" w:type="dxa"/>
            <w:vAlign w:val="center"/>
          </w:tcPr>
          <w:p>
            <w:pPr>
              <w:adjustRightInd w:val="0"/>
              <w:snapToGrid w:val="0"/>
              <w:jc w:val="center"/>
              <w:rPr>
                <w:rFonts w:ascii="宋体" w:hAnsi="宋体" w:cs="宋体"/>
                <w:color w:val="auto"/>
                <w:sz w:val="22"/>
                <w:szCs w:val="22"/>
              </w:rPr>
            </w:pPr>
            <w:r>
              <w:rPr>
                <w:color w:val="auto"/>
                <w:sz w:val="21"/>
                <w:szCs w:val="21"/>
              </w:rPr>
              <w:t>0.85</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12~16</w:t>
            </w:r>
          </w:p>
        </w:tc>
        <w:tc>
          <w:tcPr>
            <w:tcW w:w="1275" w:type="dxa"/>
            <w:vAlign w:val="center"/>
          </w:tcPr>
          <w:p>
            <w:pPr>
              <w:adjustRightInd w:val="0"/>
              <w:snapToGrid w:val="0"/>
              <w:jc w:val="center"/>
              <w:rPr>
                <w:rFonts w:ascii="宋体" w:hAnsi="宋体" w:cs="宋体"/>
                <w:color w:val="auto"/>
                <w:sz w:val="22"/>
                <w:szCs w:val="22"/>
              </w:rPr>
            </w:pPr>
            <w:r>
              <w:rPr>
                <w:color w:val="auto"/>
                <w:sz w:val="21"/>
                <w:szCs w:val="21"/>
              </w:rPr>
              <w:t>0.80</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435" w:type="dxa"/>
            <w:vAlign w:val="center"/>
          </w:tcPr>
          <w:p>
            <w:pPr>
              <w:adjustRightInd w:val="0"/>
              <w:snapToGrid w:val="0"/>
              <w:jc w:val="center"/>
              <w:rPr>
                <w:color w:val="auto"/>
                <w:sz w:val="21"/>
                <w:szCs w:val="21"/>
              </w:rPr>
            </w:pPr>
            <w:r>
              <w:rPr>
                <w:color w:val="auto"/>
                <w:sz w:val="21"/>
                <w:szCs w:val="21"/>
              </w:rPr>
              <w:t>DO</w:t>
            </w:r>
          </w:p>
        </w:tc>
        <w:tc>
          <w:tcPr>
            <w:tcW w:w="1276" w:type="dxa"/>
            <w:noWrap/>
            <w:vAlign w:val="center"/>
          </w:tcPr>
          <w:p>
            <w:pPr>
              <w:adjustRightInd w:val="0"/>
              <w:snapToGrid w:val="0"/>
              <w:jc w:val="center"/>
              <w:rPr>
                <w:color w:val="auto"/>
                <w:sz w:val="21"/>
                <w:szCs w:val="21"/>
              </w:rPr>
            </w:pPr>
            <w:r>
              <w:rPr>
                <w:color w:val="auto"/>
                <w:sz w:val="21"/>
                <w:szCs w:val="22"/>
              </w:rPr>
              <w:t>5.84~5.89</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0.21</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5.91~6.07</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0.18</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5.89~6.23</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2.91</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color w:val="auto"/>
                <w:sz w:val="21"/>
                <w:szCs w:val="21"/>
              </w:rPr>
            </w:pPr>
            <w:r>
              <w:rPr>
                <w:color w:val="auto"/>
                <w:sz w:val="21"/>
                <w:szCs w:val="21"/>
              </w:rPr>
              <w:t>BOD</w:t>
            </w:r>
            <w:r>
              <w:rPr>
                <w:color w:val="auto"/>
                <w:sz w:val="21"/>
                <w:szCs w:val="21"/>
                <w:vertAlign w:val="subscript"/>
              </w:rPr>
              <w:t>5</w:t>
            </w:r>
          </w:p>
        </w:tc>
        <w:tc>
          <w:tcPr>
            <w:tcW w:w="1276" w:type="dxa"/>
            <w:noWrap/>
            <w:vAlign w:val="center"/>
          </w:tcPr>
          <w:p>
            <w:pPr>
              <w:adjustRightInd w:val="0"/>
              <w:snapToGrid w:val="0"/>
              <w:jc w:val="center"/>
              <w:rPr>
                <w:color w:val="auto"/>
                <w:sz w:val="21"/>
                <w:szCs w:val="21"/>
              </w:rPr>
            </w:pPr>
            <w:r>
              <w:rPr>
                <w:color w:val="auto"/>
                <w:sz w:val="21"/>
                <w:szCs w:val="22"/>
              </w:rPr>
              <w:t>2.8~3.2</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0.80</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3.2~3.9</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0.98</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3~3.7</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0.93</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氨氮</w:t>
            </w:r>
          </w:p>
        </w:tc>
        <w:tc>
          <w:tcPr>
            <w:tcW w:w="1276" w:type="dxa"/>
            <w:noWrap/>
            <w:vAlign w:val="center"/>
          </w:tcPr>
          <w:p>
            <w:pPr>
              <w:adjustRightInd w:val="0"/>
              <w:snapToGrid w:val="0"/>
              <w:jc w:val="center"/>
              <w:rPr>
                <w:color w:val="auto"/>
                <w:sz w:val="21"/>
                <w:szCs w:val="21"/>
              </w:rPr>
            </w:pPr>
            <w:r>
              <w:rPr>
                <w:color w:val="auto"/>
                <w:sz w:val="21"/>
                <w:szCs w:val="22"/>
              </w:rPr>
              <w:t>0.702~0.795</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0.80</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0.794~0.876</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0.88</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0.707~0.897</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0.90</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总磷</w:t>
            </w:r>
          </w:p>
        </w:tc>
        <w:tc>
          <w:tcPr>
            <w:tcW w:w="1276" w:type="dxa"/>
            <w:noWrap/>
            <w:vAlign w:val="center"/>
          </w:tcPr>
          <w:p>
            <w:pPr>
              <w:adjustRightInd w:val="0"/>
              <w:snapToGrid w:val="0"/>
              <w:jc w:val="center"/>
              <w:rPr>
                <w:color w:val="auto"/>
                <w:sz w:val="21"/>
                <w:szCs w:val="21"/>
              </w:rPr>
            </w:pPr>
            <w:r>
              <w:rPr>
                <w:color w:val="auto"/>
                <w:sz w:val="21"/>
                <w:szCs w:val="22"/>
              </w:rPr>
              <w:t>0.03~0.06</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0.30</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0.05~0.08</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0.40</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0.03~0.06</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0.30</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435" w:type="dxa"/>
            <w:vAlign w:val="center"/>
          </w:tcPr>
          <w:p>
            <w:pPr>
              <w:adjustRightInd w:val="0"/>
              <w:snapToGrid w:val="0"/>
              <w:jc w:val="center"/>
              <w:rPr>
                <w:color w:val="auto"/>
                <w:sz w:val="21"/>
                <w:szCs w:val="21"/>
              </w:rPr>
            </w:pPr>
            <w:r>
              <w:rPr>
                <w:color w:val="auto"/>
                <w:sz w:val="21"/>
                <w:szCs w:val="21"/>
              </w:rPr>
              <w:t>SS</w:t>
            </w:r>
          </w:p>
        </w:tc>
        <w:tc>
          <w:tcPr>
            <w:tcW w:w="1276" w:type="dxa"/>
            <w:noWrap/>
            <w:vAlign w:val="center"/>
          </w:tcPr>
          <w:p>
            <w:pPr>
              <w:adjustRightInd w:val="0"/>
              <w:snapToGrid w:val="0"/>
              <w:jc w:val="center"/>
              <w:rPr>
                <w:color w:val="auto"/>
                <w:sz w:val="21"/>
                <w:szCs w:val="21"/>
              </w:rPr>
            </w:pPr>
            <w:r>
              <w:rPr>
                <w:color w:val="auto"/>
                <w:sz w:val="21"/>
                <w:szCs w:val="22"/>
              </w:rPr>
              <w:t>13~14</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0.47</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12~16</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0.53</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15~20</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0.67</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氰化物</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挥发酚</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阴离子表面活性剂</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石油类</w:t>
            </w:r>
          </w:p>
        </w:tc>
        <w:tc>
          <w:tcPr>
            <w:tcW w:w="1276" w:type="dxa"/>
            <w:noWrap/>
            <w:vAlign w:val="center"/>
          </w:tcPr>
          <w:p>
            <w:pPr>
              <w:adjustRightInd w:val="0"/>
              <w:snapToGrid w:val="0"/>
              <w:jc w:val="center"/>
              <w:rPr>
                <w:color w:val="auto"/>
                <w:sz w:val="21"/>
                <w:szCs w:val="21"/>
              </w:rPr>
            </w:pPr>
            <w:r>
              <w:rPr>
                <w:color w:val="auto"/>
                <w:sz w:val="21"/>
                <w:szCs w:val="22"/>
              </w:rPr>
              <w:t>0.02~0.03</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0.60</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0.03~0.03</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0.60</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0.02~0.03</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0.60</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六价铬</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铅</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粪大肠菌群</w:t>
            </w:r>
          </w:p>
        </w:tc>
        <w:tc>
          <w:tcPr>
            <w:tcW w:w="1276" w:type="dxa"/>
            <w:noWrap/>
            <w:vAlign w:val="center"/>
          </w:tcPr>
          <w:p>
            <w:pPr>
              <w:adjustRightInd w:val="0"/>
              <w:snapToGrid w:val="0"/>
              <w:jc w:val="center"/>
              <w:rPr>
                <w:color w:val="auto"/>
                <w:sz w:val="21"/>
                <w:szCs w:val="21"/>
              </w:rPr>
            </w:pPr>
            <w:r>
              <w:rPr>
                <w:color w:val="auto"/>
                <w:sz w:val="21"/>
                <w:szCs w:val="22"/>
              </w:rPr>
              <w:t>3000~3300</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0.33</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4300~4900</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0.49</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3300~6300</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0.63</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sz w:val="21"/>
                <w:szCs w:val="22"/>
              </w:rPr>
            </w:pPr>
            <w:r>
              <w:rPr>
                <w:color w:val="auto"/>
                <w:kern w:val="0"/>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砷</w:t>
            </w:r>
          </w:p>
        </w:tc>
        <w:tc>
          <w:tcPr>
            <w:tcW w:w="1276" w:type="dxa"/>
            <w:noWrap/>
            <w:vAlign w:val="center"/>
          </w:tcPr>
          <w:p>
            <w:pPr>
              <w:adjustRightInd w:val="0"/>
              <w:snapToGrid w:val="0"/>
              <w:jc w:val="center"/>
              <w:rPr>
                <w:color w:val="auto"/>
                <w:sz w:val="21"/>
                <w:szCs w:val="21"/>
              </w:rPr>
            </w:pPr>
            <w:r>
              <w:rPr>
                <w:color w:val="auto"/>
                <w:sz w:val="21"/>
                <w:szCs w:val="22"/>
              </w:rPr>
              <w:t>0.00016~0.00046</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0.01</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0.00022~0.0005</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0.01</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0.00023~0.00057</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0.01</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kern w:val="0"/>
                <w:sz w:val="21"/>
                <w:szCs w:val="21"/>
              </w:rPr>
            </w:pPr>
            <w:r>
              <w:rPr>
                <w:color w:val="auto"/>
                <w:kern w:val="0"/>
                <w:sz w:val="21"/>
                <w:szCs w:val="21"/>
              </w:rPr>
              <w:t>≤</w:t>
            </w:r>
            <w:r>
              <w:rPr>
                <w:rFonts w:hint="eastAsia"/>
                <w:color w:val="auto"/>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汞</w:t>
            </w:r>
          </w:p>
        </w:tc>
        <w:tc>
          <w:tcPr>
            <w:tcW w:w="1276" w:type="dxa"/>
            <w:noWrap/>
            <w:vAlign w:val="center"/>
          </w:tcPr>
          <w:p>
            <w:pPr>
              <w:adjustRightInd w:val="0"/>
              <w:snapToGrid w:val="0"/>
              <w:jc w:val="center"/>
              <w:rPr>
                <w:color w:val="auto"/>
                <w:sz w:val="21"/>
                <w:szCs w:val="21"/>
              </w:rPr>
            </w:pPr>
            <w:r>
              <w:rPr>
                <w:color w:val="auto"/>
                <w:sz w:val="21"/>
                <w:szCs w:val="22"/>
              </w:rPr>
              <w:t>0.00005~0.00007</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0.70</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0.00005~0.00008</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0.80</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0.00005~0.00006</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0.60</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kern w:val="0"/>
                <w:sz w:val="21"/>
                <w:szCs w:val="21"/>
              </w:rPr>
            </w:pPr>
            <w:r>
              <w:rPr>
                <w:color w:val="auto"/>
                <w:kern w:val="0"/>
                <w:sz w:val="21"/>
                <w:szCs w:val="21"/>
              </w:rPr>
              <w:t>≤</w:t>
            </w:r>
            <w:r>
              <w:rPr>
                <w:rFonts w:hint="eastAsia"/>
                <w:color w:val="auto"/>
                <w:kern w:val="0"/>
                <w:sz w:val="21"/>
                <w:szCs w:val="21"/>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镉</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kern w:val="0"/>
                <w:sz w:val="21"/>
                <w:szCs w:val="21"/>
              </w:rPr>
            </w:pPr>
            <w:r>
              <w:rPr>
                <w:color w:val="auto"/>
                <w:kern w:val="0"/>
                <w:sz w:val="21"/>
                <w:szCs w:val="21"/>
              </w:rPr>
              <w:t>≤</w:t>
            </w:r>
            <w:r>
              <w:rPr>
                <w:rFonts w:hint="eastAsia"/>
                <w:color w:val="auto"/>
                <w:kern w:val="0"/>
                <w:sz w:val="21"/>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镍</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kern w:val="0"/>
                <w:sz w:val="21"/>
                <w:szCs w:val="21"/>
              </w:rPr>
            </w:pPr>
            <w:r>
              <w:rPr>
                <w:color w:val="auto"/>
                <w:kern w:val="0"/>
                <w:sz w:val="21"/>
                <w:szCs w:val="21"/>
              </w:rPr>
              <w:t>≤</w:t>
            </w:r>
            <w:r>
              <w:rPr>
                <w:rFonts w:hint="eastAsia"/>
                <w:color w:val="auto"/>
                <w:kern w:val="0"/>
                <w:sz w:val="21"/>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铁</w:t>
            </w:r>
          </w:p>
        </w:tc>
        <w:tc>
          <w:tcPr>
            <w:tcW w:w="1276" w:type="dxa"/>
            <w:noWrap/>
            <w:vAlign w:val="center"/>
          </w:tcPr>
          <w:p>
            <w:pPr>
              <w:adjustRightInd w:val="0"/>
              <w:snapToGrid w:val="0"/>
              <w:jc w:val="center"/>
              <w:rPr>
                <w:color w:val="auto"/>
                <w:sz w:val="21"/>
                <w:szCs w:val="21"/>
              </w:rPr>
            </w:pPr>
            <w:r>
              <w:rPr>
                <w:color w:val="auto"/>
                <w:sz w:val="21"/>
                <w:szCs w:val="22"/>
              </w:rPr>
              <w:t>0.00376~0.00663</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0.02</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0.00405~0.00511</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0.02</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0.00299~0.0052</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0.02</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kern w:val="0"/>
                <w:sz w:val="21"/>
                <w:szCs w:val="21"/>
              </w:rPr>
            </w:pPr>
            <w:r>
              <w:rPr>
                <w:color w:val="auto"/>
                <w:kern w:val="0"/>
                <w:sz w:val="21"/>
                <w:szCs w:val="21"/>
              </w:rPr>
              <w:t>≤</w:t>
            </w:r>
            <w:r>
              <w:rPr>
                <w:rFonts w:hint="eastAsia"/>
                <w:color w:val="auto"/>
                <w:kern w:val="0"/>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锰</w:t>
            </w:r>
          </w:p>
        </w:tc>
        <w:tc>
          <w:tcPr>
            <w:tcW w:w="1276" w:type="dxa"/>
            <w:noWrap/>
            <w:vAlign w:val="center"/>
          </w:tcPr>
          <w:p>
            <w:pPr>
              <w:adjustRightInd w:val="0"/>
              <w:snapToGrid w:val="0"/>
              <w:jc w:val="center"/>
              <w:rPr>
                <w:color w:val="auto"/>
                <w:sz w:val="21"/>
                <w:szCs w:val="21"/>
              </w:rPr>
            </w:pPr>
            <w:r>
              <w:rPr>
                <w:color w:val="auto"/>
                <w:sz w:val="21"/>
                <w:szCs w:val="22"/>
              </w:rPr>
              <w:t>0.00486~0.00645</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0.06</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0.00498~0.00999</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0.10</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0.00579~0.00853</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0.09</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kern w:val="0"/>
                <w:sz w:val="21"/>
                <w:szCs w:val="21"/>
              </w:rPr>
            </w:pPr>
            <w:r>
              <w:rPr>
                <w:color w:val="auto"/>
                <w:kern w:val="0"/>
                <w:sz w:val="21"/>
                <w:szCs w:val="21"/>
              </w:rPr>
              <w:t>≤</w:t>
            </w:r>
            <w:r>
              <w:rPr>
                <w:rFonts w:hint="eastAsia"/>
                <w:color w:val="auto"/>
                <w:kern w:val="0"/>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435" w:type="dxa"/>
            <w:vAlign w:val="center"/>
          </w:tcPr>
          <w:p>
            <w:pPr>
              <w:adjustRightInd w:val="0"/>
              <w:snapToGrid w:val="0"/>
              <w:jc w:val="center"/>
              <w:rPr>
                <w:rFonts w:ascii="宋体" w:hAnsi="宋体" w:cs="宋体"/>
                <w:color w:val="auto"/>
                <w:sz w:val="21"/>
                <w:szCs w:val="21"/>
              </w:rPr>
            </w:pPr>
            <w:r>
              <w:rPr>
                <w:rFonts w:hint="eastAsia"/>
                <w:color w:val="auto"/>
                <w:sz w:val="21"/>
                <w:szCs w:val="21"/>
              </w:rPr>
              <w:t>硫化物</w:t>
            </w:r>
          </w:p>
        </w:tc>
        <w:tc>
          <w:tcPr>
            <w:tcW w:w="1276"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2"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134"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993"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1134" w:type="dxa"/>
            <w:noWrap/>
            <w:vAlign w:val="center"/>
          </w:tcPr>
          <w:p>
            <w:pPr>
              <w:adjustRightInd w:val="0"/>
              <w:snapToGrid w:val="0"/>
              <w:jc w:val="center"/>
              <w:rPr>
                <w:color w:val="auto"/>
                <w:sz w:val="21"/>
                <w:szCs w:val="21"/>
              </w:rPr>
            </w:pPr>
            <w:r>
              <w:rPr>
                <w:color w:val="auto"/>
                <w:sz w:val="21"/>
                <w:szCs w:val="22"/>
              </w:rPr>
              <w:t>未检出</w:t>
            </w:r>
          </w:p>
        </w:tc>
        <w:tc>
          <w:tcPr>
            <w:tcW w:w="1275" w:type="dxa"/>
            <w:noWrap/>
            <w:vAlign w:val="center"/>
          </w:tcPr>
          <w:p>
            <w:pPr>
              <w:adjustRightInd w:val="0"/>
              <w:snapToGrid w:val="0"/>
              <w:jc w:val="center"/>
              <w:rPr>
                <w:rFonts w:ascii="宋体" w:hAnsi="宋体" w:cs="宋体"/>
                <w:color w:val="auto"/>
                <w:sz w:val="22"/>
                <w:szCs w:val="22"/>
              </w:rPr>
            </w:pPr>
            <w:r>
              <w:rPr>
                <w:color w:val="auto"/>
                <w:sz w:val="21"/>
                <w:szCs w:val="21"/>
              </w:rPr>
              <w:t>——</w:t>
            </w:r>
          </w:p>
        </w:tc>
        <w:tc>
          <w:tcPr>
            <w:tcW w:w="851" w:type="dxa"/>
            <w:noWrap/>
            <w:vAlign w:val="center"/>
          </w:tcPr>
          <w:p>
            <w:pPr>
              <w:widowControl/>
              <w:adjustRightInd w:val="0"/>
              <w:snapToGrid w:val="0"/>
              <w:jc w:val="center"/>
              <w:rPr>
                <w:color w:val="auto"/>
                <w:kern w:val="0"/>
                <w:sz w:val="21"/>
                <w:szCs w:val="21"/>
              </w:rPr>
            </w:pPr>
            <w:r>
              <w:rPr>
                <w:rFonts w:hAnsi="宋体"/>
                <w:color w:val="auto"/>
                <w:kern w:val="0"/>
                <w:sz w:val="21"/>
                <w:szCs w:val="21"/>
              </w:rPr>
              <w:t>达标</w:t>
            </w:r>
          </w:p>
        </w:tc>
        <w:tc>
          <w:tcPr>
            <w:tcW w:w="2067" w:type="dxa"/>
            <w:vAlign w:val="center"/>
          </w:tcPr>
          <w:p>
            <w:pPr>
              <w:widowControl/>
              <w:adjustRightInd w:val="0"/>
              <w:snapToGrid w:val="0"/>
              <w:jc w:val="center"/>
              <w:rPr>
                <w:color w:val="auto"/>
                <w:kern w:val="0"/>
                <w:sz w:val="21"/>
                <w:szCs w:val="21"/>
              </w:rPr>
            </w:pPr>
            <w:r>
              <w:rPr>
                <w:color w:val="auto"/>
                <w:kern w:val="0"/>
                <w:sz w:val="21"/>
                <w:szCs w:val="21"/>
              </w:rPr>
              <w:t>≤</w:t>
            </w:r>
            <w:r>
              <w:rPr>
                <w:rFonts w:hint="eastAsia"/>
                <w:color w:val="auto"/>
                <w:kern w:val="0"/>
                <w:sz w:val="21"/>
                <w:szCs w:val="21"/>
              </w:rPr>
              <w:t>0.2</w:t>
            </w:r>
          </w:p>
        </w:tc>
      </w:tr>
    </w:tbl>
    <w:p>
      <w:pPr>
        <w:pStyle w:val="48"/>
        <w:ind w:firstLine="0" w:firstLineChars="0"/>
        <w:jc w:val="center"/>
        <w:rPr>
          <w:rFonts w:ascii="Times New Roman" w:hAnsi="Times New Roman" w:eastAsia="宋体"/>
          <w:b/>
          <w:color w:val="auto"/>
          <w:sz w:val="24"/>
        </w:rPr>
        <w:sectPr>
          <w:pgSz w:w="16838" w:h="11906" w:orient="landscape"/>
          <w:pgMar w:top="1797" w:right="1440" w:bottom="1797" w:left="1440" w:header="851" w:footer="992" w:gutter="0"/>
          <w:cols w:space="425" w:num="1"/>
          <w:docGrid w:type="lines" w:linePitch="312" w:charSpace="0"/>
        </w:sectPr>
      </w:pPr>
    </w:p>
    <w:p>
      <w:pPr>
        <w:spacing w:line="360" w:lineRule="auto"/>
        <w:ind w:firstLine="480" w:firstLineChars="200"/>
        <w:rPr>
          <w:color w:val="auto"/>
          <w:sz w:val="24"/>
          <w:szCs w:val="24"/>
        </w:rPr>
      </w:pPr>
      <w:r>
        <w:rPr>
          <w:rFonts w:hint="eastAsia"/>
          <w:color w:val="auto"/>
          <w:sz w:val="24"/>
          <w:szCs w:val="24"/>
        </w:rPr>
        <w:t>根据监测结果标准指数计算，大嵩河各监测断面各监测因子均能达到《地表水环境质量标准》(GB3838-2002)Ⅲ类标准要求。</w:t>
      </w:r>
    </w:p>
    <w:p>
      <w:pPr>
        <w:spacing w:line="360" w:lineRule="auto"/>
        <w:ind w:firstLine="480" w:firstLineChars="200"/>
        <w:rPr>
          <w:color w:val="auto"/>
          <w:sz w:val="24"/>
          <w:szCs w:val="24"/>
        </w:rPr>
      </w:pPr>
      <w:r>
        <w:rPr>
          <w:rFonts w:hint="eastAsia"/>
          <w:color w:val="auto"/>
          <w:sz w:val="24"/>
          <w:szCs w:val="24"/>
        </w:rPr>
        <w:t>项目尾水排放至大嵩河，最后汇入梅江干流。为了解梅江干流水质数据，本评价引用五华县环境监测站于2020年12月、2021年1月对水口英勤进行的现状监测数据，该监测断面位于大嵩河与梅江交汇口下游2.41km处，监测断面设置情况见图4-2-2。监测结果见下：</w:t>
      </w:r>
    </w:p>
    <w:p>
      <w:pPr>
        <w:adjustRightInd w:val="0"/>
        <w:snapToGrid w:val="0"/>
        <w:spacing w:beforeLines="50" w:afterLines="50"/>
        <w:jc w:val="center"/>
        <w:rPr>
          <w:rFonts w:hAnsi="宋体"/>
          <w:b/>
          <w:color w:val="auto"/>
          <w:sz w:val="24"/>
        </w:rPr>
        <w:sectPr>
          <w:pgSz w:w="11906" w:h="16838"/>
          <w:pgMar w:top="1440" w:right="1800" w:bottom="1440" w:left="1800" w:header="851" w:footer="992" w:gutter="0"/>
          <w:cols w:space="425" w:num="1"/>
          <w:docGrid w:type="lines" w:linePitch="312" w:charSpace="0"/>
        </w:sectPr>
      </w:pPr>
    </w:p>
    <w:p>
      <w:pPr>
        <w:adjustRightInd w:val="0"/>
        <w:snapToGrid w:val="0"/>
        <w:spacing w:beforeLines="50" w:afterLines="50"/>
        <w:jc w:val="center"/>
        <w:rPr>
          <w:rFonts w:hAnsi="宋体"/>
          <w:b/>
          <w:color w:val="auto"/>
          <w:sz w:val="24"/>
        </w:rPr>
      </w:pPr>
      <w:r>
        <w:rPr>
          <w:rFonts w:hAnsi="宋体"/>
          <w:b/>
          <w:color w:val="auto"/>
          <w:sz w:val="24"/>
        </w:rPr>
        <w:t>表</w:t>
      </w:r>
      <w:r>
        <w:rPr>
          <w:b/>
          <w:color w:val="auto"/>
          <w:sz w:val="24"/>
        </w:rPr>
        <w:t>4-</w:t>
      </w:r>
      <w:r>
        <w:rPr>
          <w:rFonts w:hint="eastAsia"/>
          <w:b/>
          <w:color w:val="auto"/>
          <w:sz w:val="24"/>
        </w:rPr>
        <w:t>2-5</w:t>
      </w:r>
      <w:r>
        <w:rPr>
          <w:b/>
          <w:color w:val="auto"/>
          <w:sz w:val="24"/>
        </w:rPr>
        <w:t xml:space="preserve">   </w:t>
      </w:r>
      <w:r>
        <w:rPr>
          <w:rFonts w:hint="eastAsia" w:hAnsi="宋体"/>
          <w:b/>
          <w:color w:val="auto"/>
          <w:sz w:val="24"/>
        </w:rPr>
        <w:t>梅江水口英勤断面</w:t>
      </w:r>
      <w:r>
        <w:rPr>
          <w:rFonts w:hAnsi="宋体"/>
          <w:b/>
          <w:color w:val="auto"/>
          <w:sz w:val="24"/>
        </w:rPr>
        <w:t>水质监测结果一览表</w:t>
      </w:r>
    </w:p>
    <w:tbl>
      <w:tblPr>
        <w:tblStyle w:val="28"/>
        <w:tblW w:w="138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1"/>
        <w:gridCol w:w="1196"/>
        <w:gridCol w:w="1196"/>
        <w:gridCol w:w="1196"/>
        <w:gridCol w:w="1196"/>
        <w:gridCol w:w="1257"/>
        <w:gridCol w:w="1276"/>
        <w:gridCol w:w="1433"/>
        <w:gridCol w:w="2072"/>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051" w:type="dxa"/>
            <w:vMerge w:val="restart"/>
            <w:tcBorders>
              <w:tl2br w:val="single" w:color="auto" w:sz="4" w:space="0"/>
            </w:tcBorders>
            <w:shd w:val="clear" w:color="auto" w:fill="auto"/>
            <w:noWrap/>
            <w:vAlign w:val="center"/>
          </w:tcPr>
          <w:p>
            <w:pPr>
              <w:adjustRightInd w:val="0"/>
              <w:snapToGrid w:val="0"/>
              <w:jc w:val="center"/>
              <w:rPr>
                <w:b/>
                <w:bCs/>
                <w:color w:val="auto"/>
                <w:szCs w:val="21"/>
              </w:rPr>
            </w:pPr>
            <w:r>
              <w:rPr>
                <w:b/>
                <w:bCs/>
                <w:color w:val="auto"/>
                <w:sz w:val="21"/>
                <w:szCs w:val="21"/>
              </w:rPr>
              <w:t>监测断面</w:t>
            </w:r>
          </w:p>
          <w:p>
            <w:pPr>
              <w:adjustRightInd w:val="0"/>
              <w:snapToGrid w:val="0"/>
              <w:jc w:val="center"/>
              <w:rPr>
                <w:b/>
                <w:bCs/>
                <w:color w:val="auto"/>
                <w:sz w:val="21"/>
                <w:szCs w:val="21"/>
              </w:rPr>
            </w:pPr>
            <w:r>
              <w:rPr>
                <w:rFonts w:hint="eastAsia"/>
                <w:b/>
                <w:bCs/>
                <w:color w:val="auto"/>
                <w:szCs w:val="21"/>
              </w:rPr>
              <w:t>监测因子</w:t>
            </w:r>
          </w:p>
        </w:tc>
        <w:tc>
          <w:tcPr>
            <w:tcW w:w="2213" w:type="dxa"/>
            <w:gridSpan w:val="2"/>
            <w:shd w:val="clear" w:color="auto" w:fill="auto"/>
            <w:noWrap/>
            <w:vAlign w:val="center"/>
          </w:tcPr>
          <w:p>
            <w:pPr>
              <w:adjustRightInd w:val="0"/>
              <w:snapToGrid w:val="0"/>
              <w:jc w:val="center"/>
              <w:rPr>
                <w:b/>
                <w:bCs/>
                <w:color w:val="auto"/>
                <w:sz w:val="21"/>
                <w:szCs w:val="21"/>
              </w:rPr>
            </w:pPr>
            <w:r>
              <w:rPr>
                <w:b/>
                <w:bCs/>
                <w:color w:val="auto"/>
                <w:sz w:val="21"/>
                <w:szCs w:val="21"/>
              </w:rPr>
              <w:t>水口英勤左</w:t>
            </w:r>
          </w:p>
        </w:tc>
        <w:tc>
          <w:tcPr>
            <w:tcW w:w="2392" w:type="dxa"/>
            <w:gridSpan w:val="2"/>
            <w:shd w:val="clear" w:color="auto" w:fill="auto"/>
            <w:noWrap/>
            <w:vAlign w:val="center"/>
          </w:tcPr>
          <w:p>
            <w:pPr>
              <w:adjustRightInd w:val="0"/>
              <w:snapToGrid w:val="0"/>
              <w:jc w:val="center"/>
              <w:rPr>
                <w:b/>
                <w:bCs/>
                <w:color w:val="auto"/>
                <w:sz w:val="21"/>
                <w:szCs w:val="21"/>
              </w:rPr>
            </w:pPr>
            <w:r>
              <w:rPr>
                <w:b/>
                <w:bCs/>
                <w:color w:val="auto"/>
                <w:sz w:val="21"/>
                <w:szCs w:val="21"/>
              </w:rPr>
              <w:t>水口英勤中</w:t>
            </w:r>
          </w:p>
        </w:tc>
        <w:tc>
          <w:tcPr>
            <w:tcW w:w="2533" w:type="dxa"/>
            <w:gridSpan w:val="2"/>
            <w:shd w:val="clear" w:color="auto" w:fill="auto"/>
            <w:noWrap/>
            <w:vAlign w:val="center"/>
          </w:tcPr>
          <w:p>
            <w:pPr>
              <w:adjustRightInd w:val="0"/>
              <w:snapToGrid w:val="0"/>
              <w:jc w:val="center"/>
              <w:rPr>
                <w:b/>
                <w:bCs/>
                <w:color w:val="auto"/>
                <w:sz w:val="21"/>
                <w:szCs w:val="21"/>
              </w:rPr>
            </w:pPr>
            <w:r>
              <w:rPr>
                <w:b/>
                <w:bCs/>
                <w:color w:val="auto"/>
                <w:sz w:val="21"/>
                <w:szCs w:val="21"/>
              </w:rPr>
              <w:t>水口英勤右</w:t>
            </w:r>
          </w:p>
        </w:tc>
        <w:tc>
          <w:tcPr>
            <w:tcW w:w="1433" w:type="dxa"/>
            <w:vMerge w:val="restart"/>
            <w:shd w:val="clear" w:color="auto" w:fill="auto"/>
            <w:vAlign w:val="center"/>
          </w:tcPr>
          <w:p>
            <w:pPr>
              <w:adjustRightInd w:val="0"/>
              <w:snapToGrid w:val="0"/>
              <w:jc w:val="center"/>
              <w:rPr>
                <w:b/>
                <w:bCs/>
                <w:color w:val="auto"/>
                <w:sz w:val="21"/>
                <w:szCs w:val="21"/>
              </w:rPr>
            </w:pPr>
            <w:r>
              <w:rPr>
                <w:b/>
                <w:bCs/>
                <w:color w:val="auto"/>
                <w:sz w:val="21"/>
                <w:szCs w:val="21"/>
              </w:rPr>
              <w:t>标准指数最大值</w:t>
            </w:r>
          </w:p>
        </w:tc>
        <w:tc>
          <w:tcPr>
            <w:tcW w:w="2072" w:type="dxa"/>
            <w:vMerge w:val="restart"/>
            <w:shd w:val="clear" w:color="auto" w:fill="auto"/>
            <w:noWrap/>
            <w:vAlign w:val="center"/>
          </w:tcPr>
          <w:p>
            <w:pPr>
              <w:adjustRightInd w:val="0"/>
              <w:snapToGrid w:val="0"/>
              <w:jc w:val="center"/>
              <w:rPr>
                <w:b/>
                <w:bCs/>
                <w:color w:val="auto"/>
                <w:sz w:val="21"/>
                <w:szCs w:val="21"/>
              </w:rPr>
            </w:pPr>
            <w:r>
              <w:rPr>
                <w:rFonts w:hint="eastAsia" w:ascii="宋体" w:hAnsi="宋体" w:cs="宋体"/>
                <w:b/>
                <w:bCs/>
                <w:color w:val="auto"/>
                <w:sz w:val="21"/>
                <w:szCs w:val="21"/>
              </w:rPr>
              <w:t>Ⅱ</w:t>
            </w:r>
            <w:r>
              <w:rPr>
                <w:b/>
                <w:bCs/>
                <w:color w:val="auto"/>
                <w:sz w:val="21"/>
                <w:szCs w:val="21"/>
              </w:rPr>
              <w:t>类环境质量标准mg/L（有注明除外）</w:t>
            </w:r>
          </w:p>
        </w:tc>
        <w:tc>
          <w:tcPr>
            <w:tcW w:w="1111" w:type="dxa"/>
            <w:vMerge w:val="restart"/>
            <w:shd w:val="clear" w:color="auto" w:fill="auto"/>
            <w:vAlign w:val="center"/>
          </w:tcPr>
          <w:p>
            <w:pPr>
              <w:adjustRightInd w:val="0"/>
              <w:snapToGrid w:val="0"/>
              <w:jc w:val="center"/>
              <w:rPr>
                <w:b/>
                <w:bCs/>
                <w:color w:val="auto"/>
                <w:szCs w:val="21"/>
              </w:rPr>
            </w:pPr>
            <w:r>
              <w:rPr>
                <w:rFonts w:hAnsi="宋体"/>
                <w:b/>
                <w:bCs/>
                <w:color w:val="auto"/>
                <w:kern w:val="0"/>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vMerge w:val="continue"/>
            <w:tcBorders>
              <w:tl2br w:val="single" w:color="auto" w:sz="4" w:space="0"/>
            </w:tcBorders>
            <w:shd w:val="clear" w:color="auto" w:fill="auto"/>
            <w:vAlign w:val="center"/>
          </w:tcPr>
          <w:p>
            <w:pPr>
              <w:adjustRightInd w:val="0"/>
              <w:snapToGrid w:val="0"/>
              <w:jc w:val="center"/>
              <w:rPr>
                <w:color w:val="auto"/>
                <w:sz w:val="21"/>
                <w:szCs w:val="21"/>
              </w:rPr>
            </w:pPr>
          </w:p>
        </w:tc>
        <w:tc>
          <w:tcPr>
            <w:tcW w:w="1017" w:type="dxa"/>
            <w:shd w:val="clear" w:color="auto" w:fill="auto"/>
            <w:noWrap/>
            <w:vAlign w:val="center"/>
          </w:tcPr>
          <w:p>
            <w:pPr>
              <w:adjustRightInd w:val="0"/>
              <w:snapToGrid w:val="0"/>
              <w:jc w:val="center"/>
              <w:rPr>
                <w:b/>
                <w:bCs/>
                <w:color w:val="auto"/>
                <w:sz w:val="21"/>
                <w:szCs w:val="21"/>
              </w:rPr>
            </w:pPr>
            <w:r>
              <w:rPr>
                <w:b/>
                <w:bCs/>
                <w:color w:val="auto"/>
                <w:sz w:val="21"/>
                <w:szCs w:val="21"/>
              </w:rPr>
              <w:t>2020-12-07</w:t>
            </w:r>
          </w:p>
        </w:tc>
        <w:tc>
          <w:tcPr>
            <w:tcW w:w="1196" w:type="dxa"/>
            <w:shd w:val="clear" w:color="auto" w:fill="auto"/>
            <w:noWrap/>
            <w:vAlign w:val="center"/>
          </w:tcPr>
          <w:p>
            <w:pPr>
              <w:adjustRightInd w:val="0"/>
              <w:snapToGrid w:val="0"/>
              <w:jc w:val="center"/>
              <w:rPr>
                <w:b/>
                <w:bCs/>
                <w:color w:val="auto"/>
                <w:sz w:val="21"/>
                <w:szCs w:val="21"/>
              </w:rPr>
            </w:pPr>
            <w:r>
              <w:rPr>
                <w:b/>
                <w:bCs/>
                <w:color w:val="auto"/>
                <w:sz w:val="21"/>
                <w:szCs w:val="21"/>
              </w:rPr>
              <w:t>2021-01-06</w:t>
            </w:r>
          </w:p>
        </w:tc>
        <w:tc>
          <w:tcPr>
            <w:tcW w:w="1196" w:type="dxa"/>
            <w:shd w:val="clear" w:color="auto" w:fill="auto"/>
            <w:noWrap/>
            <w:vAlign w:val="center"/>
          </w:tcPr>
          <w:p>
            <w:pPr>
              <w:adjustRightInd w:val="0"/>
              <w:snapToGrid w:val="0"/>
              <w:jc w:val="center"/>
              <w:rPr>
                <w:b/>
                <w:bCs/>
                <w:color w:val="auto"/>
                <w:sz w:val="21"/>
                <w:szCs w:val="21"/>
              </w:rPr>
            </w:pPr>
            <w:r>
              <w:rPr>
                <w:b/>
                <w:bCs/>
                <w:color w:val="auto"/>
                <w:sz w:val="21"/>
                <w:szCs w:val="21"/>
              </w:rPr>
              <w:t>2020-12-07</w:t>
            </w:r>
          </w:p>
        </w:tc>
        <w:tc>
          <w:tcPr>
            <w:tcW w:w="1196" w:type="dxa"/>
            <w:shd w:val="clear" w:color="auto" w:fill="auto"/>
            <w:noWrap/>
            <w:vAlign w:val="center"/>
          </w:tcPr>
          <w:p>
            <w:pPr>
              <w:adjustRightInd w:val="0"/>
              <w:snapToGrid w:val="0"/>
              <w:jc w:val="center"/>
              <w:rPr>
                <w:b/>
                <w:bCs/>
                <w:color w:val="auto"/>
                <w:sz w:val="21"/>
                <w:szCs w:val="21"/>
              </w:rPr>
            </w:pPr>
            <w:r>
              <w:rPr>
                <w:b/>
                <w:bCs/>
                <w:color w:val="auto"/>
                <w:sz w:val="21"/>
                <w:szCs w:val="21"/>
              </w:rPr>
              <w:t>2021-01-06</w:t>
            </w:r>
          </w:p>
        </w:tc>
        <w:tc>
          <w:tcPr>
            <w:tcW w:w="1257" w:type="dxa"/>
            <w:shd w:val="clear" w:color="auto" w:fill="auto"/>
            <w:noWrap/>
            <w:vAlign w:val="center"/>
          </w:tcPr>
          <w:p>
            <w:pPr>
              <w:adjustRightInd w:val="0"/>
              <w:snapToGrid w:val="0"/>
              <w:jc w:val="center"/>
              <w:rPr>
                <w:b/>
                <w:bCs/>
                <w:color w:val="auto"/>
                <w:sz w:val="21"/>
                <w:szCs w:val="21"/>
              </w:rPr>
            </w:pPr>
            <w:r>
              <w:rPr>
                <w:b/>
                <w:bCs/>
                <w:color w:val="auto"/>
                <w:sz w:val="21"/>
                <w:szCs w:val="21"/>
              </w:rPr>
              <w:t>2020-12-07</w:t>
            </w:r>
          </w:p>
        </w:tc>
        <w:tc>
          <w:tcPr>
            <w:tcW w:w="1276" w:type="dxa"/>
            <w:shd w:val="clear" w:color="auto" w:fill="auto"/>
            <w:noWrap/>
            <w:vAlign w:val="center"/>
          </w:tcPr>
          <w:p>
            <w:pPr>
              <w:adjustRightInd w:val="0"/>
              <w:snapToGrid w:val="0"/>
              <w:jc w:val="center"/>
              <w:rPr>
                <w:b/>
                <w:bCs/>
                <w:color w:val="auto"/>
                <w:sz w:val="21"/>
                <w:szCs w:val="21"/>
              </w:rPr>
            </w:pPr>
            <w:r>
              <w:rPr>
                <w:b/>
                <w:bCs/>
                <w:color w:val="auto"/>
                <w:sz w:val="21"/>
                <w:szCs w:val="21"/>
              </w:rPr>
              <w:t>2021-01-06</w:t>
            </w:r>
          </w:p>
        </w:tc>
        <w:tc>
          <w:tcPr>
            <w:tcW w:w="1433" w:type="dxa"/>
            <w:vMerge w:val="continue"/>
            <w:shd w:val="clear" w:color="auto" w:fill="auto"/>
            <w:noWrap/>
            <w:vAlign w:val="center"/>
          </w:tcPr>
          <w:p>
            <w:pPr>
              <w:adjustRightInd w:val="0"/>
              <w:snapToGrid w:val="0"/>
              <w:jc w:val="center"/>
              <w:rPr>
                <w:color w:val="auto"/>
                <w:sz w:val="21"/>
                <w:szCs w:val="21"/>
              </w:rPr>
            </w:pPr>
          </w:p>
        </w:tc>
        <w:tc>
          <w:tcPr>
            <w:tcW w:w="2072" w:type="dxa"/>
            <w:vMerge w:val="continue"/>
            <w:shd w:val="clear" w:color="auto" w:fill="auto"/>
            <w:noWrap/>
            <w:vAlign w:val="center"/>
          </w:tcPr>
          <w:p>
            <w:pPr>
              <w:adjustRightInd w:val="0"/>
              <w:snapToGrid w:val="0"/>
              <w:jc w:val="center"/>
              <w:rPr>
                <w:color w:val="auto"/>
                <w:sz w:val="21"/>
                <w:szCs w:val="21"/>
              </w:rPr>
            </w:pPr>
          </w:p>
        </w:tc>
        <w:tc>
          <w:tcPr>
            <w:tcW w:w="1111" w:type="dxa"/>
            <w:vMerge w:val="continue"/>
            <w:shd w:val="clear" w:color="auto" w:fill="auto"/>
            <w:noWrap/>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pH值</w:t>
            </w:r>
            <w:r>
              <w:rPr>
                <w:rFonts w:hint="eastAsia"/>
                <w:color w:val="auto"/>
                <w:szCs w:val="21"/>
              </w:rPr>
              <w:t>（无量纲）</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7.16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7.16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7.26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7.24</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7.27</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7.30</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0.150</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6~9</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溶解氧</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8.41</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9.21</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8.55</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9.27</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8.36</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9.33</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0.036</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6</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高锰酸盐指数</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3.3</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2.5</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3.4</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2.7</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3.6</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2.6</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0.900</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4</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化学需氧量</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13</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10</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13</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11</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14</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10</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0.933</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15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五日生化需氧量</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0.5</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0.8</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0.8</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0.8</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1.0</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0.333</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3</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氨氮</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0.431</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0.154</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0.475</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0.211</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0.452</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0.185</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0.950</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总磷</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0.03</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0.03</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0.04</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0.04</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0.03</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0.03</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0.400</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0.1</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总氮</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1.43</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1.20</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1.49</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1.42</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1.46</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1.18</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铜</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0.006L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0.006L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0.006L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0.006L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0.006L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0.006L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1</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锌</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1</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氟化物</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0.30</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0.32</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0.29</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0.32</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0.28</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0.32</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0.320</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1</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硒</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0.0005</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0.0004L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0.0004L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0.0004L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0.050</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0.01</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砷</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0.0016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0.0036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0.0016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0.0035</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0.0011</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0.0038</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0.076</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汞</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0.00005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镉</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0.00006</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0.00012</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0.00012</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0.00005L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0.024</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0.005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六价铬</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铅</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0.00009L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0.00082</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0.00009L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0.00091</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0.00034</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0.00045</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0.091</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0.01</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氰化物</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0.001L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0.001L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0.001L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0.001L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0.001L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0.001L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挥发酚</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0.002L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0.002L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0.002L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0.002L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0.002L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0.002L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0.002</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石油类</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0.01L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0.01L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0.01L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0.01L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0.01L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0.01L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0.05</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阴离子表面活性剂</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0.04L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0.04L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0.04L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0.2</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硫化物</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0.004L</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0.1</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2051" w:type="dxa"/>
            <w:shd w:val="clear" w:color="auto" w:fill="auto"/>
            <w:vAlign w:val="center"/>
          </w:tcPr>
          <w:p>
            <w:pPr>
              <w:adjustRightInd w:val="0"/>
              <w:snapToGrid w:val="0"/>
              <w:jc w:val="center"/>
              <w:rPr>
                <w:color w:val="auto"/>
                <w:sz w:val="21"/>
                <w:szCs w:val="21"/>
              </w:rPr>
            </w:pPr>
            <w:r>
              <w:rPr>
                <w:color w:val="auto"/>
                <w:sz w:val="21"/>
                <w:szCs w:val="21"/>
              </w:rPr>
              <w:t>粪大肠菌群</w:t>
            </w:r>
            <w:r>
              <w:rPr>
                <w:rFonts w:hint="eastAsia"/>
                <w:color w:val="auto"/>
                <w:szCs w:val="21"/>
              </w:rPr>
              <w:t>（个/L）</w:t>
            </w:r>
          </w:p>
        </w:tc>
        <w:tc>
          <w:tcPr>
            <w:tcW w:w="1017" w:type="dxa"/>
            <w:shd w:val="clear" w:color="auto" w:fill="auto"/>
            <w:noWrap/>
            <w:vAlign w:val="center"/>
          </w:tcPr>
          <w:p>
            <w:pPr>
              <w:adjustRightInd w:val="0"/>
              <w:snapToGrid w:val="0"/>
              <w:jc w:val="center"/>
              <w:rPr>
                <w:color w:val="auto"/>
                <w:sz w:val="21"/>
                <w:szCs w:val="21"/>
              </w:rPr>
            </w:pPr>
            <w:r>
              <w:rPr>
                <w:color w:val="auto"/>
                <w:sz w:val="21"/>
                <w:szCs w:val="21"/>
              </w:rPr>
              <w:t>140</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330</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460</w:t>
            </w:r>
          </w:p>
        </w:tc>
        <w:tc>
          <w:tcPr>
            <w:tcW w:w="1196" w:type="dxa"/>
            <w:shd w:val="clear" w:color="auto" w:fill="auto"/>
            <w:noWrap/>
            <w:vAlign w:val="center"/>
          </w:tcPr>
          <w:p>
            <w:pPr>
              <w:adjustRightInd w:val="0"/>
              <w:snapToGrid w:val="0"/>
              <w:jc w:val="center"/>
              <w:rPr>
                <w:color w:val="auto"/>
                <w:sz w:val="21"/>
                <w:szCs w:val="21"/>
              </w:rPr>
            </w:pPr>
            <w:r>
              <w:rPr>
                <w:color w:val="auto"/>
                <w:sz w:val="21"/>
                <w:szCs w:val="21"/>
              </w:rPr>
              <w:t>130</w:t>
            </w:r>
          </w:p>
        </w:tc>
        <w:tc>
          <w:tcPr>
            <w:tcW w:w="1257" w:type="dxa"/>
            <w:shd w:val="clear" w:color="auto" w:fill="auto"/>
            <w:noWrap/>
            <w:vAlign w:val="center"/>
          </w:tcPr>
          <w:p>
            <w:pPr>
              <w:adjustRightInd w:val="0"/>
              <w:snapToGrid w:val="0"/>
              <w:jc w:val="center"/>
              <w:rPr>
                <w:color w:val="auto"/>
                <w:sz w:val="21"/>
                <w:szCs w:val="21"/>
              </w:rPr>
            </w:pPr>
            <w:r>
              <w:rPr>
                <w:color w:val="auto"/>
                <w:sz w:val="21"/>
                <w:szCs w:val="21"/>
              </w:rPr>
              <w:t>460</w:t>
            </w:r>
          </w:p>
        </w:tc>
        <w:tc>
          <w:tcPr>
            <w:tcW w:w="1276" w:type="dxa"/>
            <w:shd w:val="clear" w:color="auto" w:fill="auto"/>
            <w:noWrap/>
            <w:vAlign w:val="center"/>
          </w:tcPr>
          <w:p>
            <w:pPr>
              <w:adjustRightInd w:val="0"/>
              <w:snapToGrid w:val="0"/>
              <w:jc w:val="center"/>
              <w:rPr>
                <w:color w:val="auto"/>
                <w:sz w:val="21"/>
                <w:szCs w:val="21"/>
              </w:rPr>
            </w:pPr>
            <w:r>
              <w:rPr>
                <w:color w:val="auto"/>
                <w:sz w:val="21"/>
                <w:szCs w:val="21"/>
              </w:rPr>
              <w:t>230</w:t>
            </w:r>
          </w:p>
        </w:tc>
        <w:tc>
          <w:tcPr>
            <w:tcW w:w="1433" w:type="dxa"/>
            <w:shd w:val="clear" w:color="auto" w:fill="auto"/>
            <w:noWrap/>
            <w:vAlign w:val="center"/>
          </w:tcPr>
          <w:p>
            <w:pPr>
              <w:adjustRightInd w:val="0"/>
              <w:snapToGrid w:val="0"/>
              <w:jc w:val="center"/>
              <w:rPr>
                <w:color w:val="auto"/>
                <w:sz w:val="21"/>
                <w:szCs w:val="21"/>
              </w:rPr>
            </w:pPr>
            <w:r>
              <w:rPr>
                <w:color w:val="auto"/>
                <w:sz w:val="21"/>
                <w:szCs w:val="21"/>
              </w:rPr>
              <w:t>2000</w:t>
            </w:r>
          </w:p>
        </w:tc>
        <w:tc>
          <w:tcPr>
            <w:tcW w:w="2072" w:type="dxa"/>
            <w:shd w:val="clear" w:color="auto" w:fill="auto"/>
            <w:noWrap/>
            <w:vAlign w:val="center"/>
          </w:tcPr>
          <w:p>
            <w:pPr>
              <w:adjustRightInd w:val="0"/>
              <w:snapToGrid w:val="0"/>
              <w:jc w:val="center"/>
              <w:rPr>
                <w:color w:val="auto"/>
                <w:sz w:val="21"/>
                <w:szCs w:val="21"/>
              </w:rPr>
            </w:pPr>
            <w:r>
              <w:rPr>
                <w:color w:val="auto"/>
                <w:sz w:val="21"/>
                <w:szCs w:val="21"/>
              </w:rPr>
              <w:t>0.230</w:t>
            </w:r>
          </w:p>
        </w:tc>
        <w:tc>
          <w:tcPr>
            <w:tcW w:w="1111" w:type="dxa"/>
            <w:shd w:val="clear" w:color="auto" w:fill="auto"/>
            <w:noWrap/>
            <w:vAlign w:val="center"/>
          </w:tcPr>
          <w:p>
            <w:pPr>
              <w:adjustRightInd w:val="0"/>
              <w:snapToGrid w:val="0"/>
              <w:jc w:val="center"/>
              <w:rPr>
                <w:color w:val="auto"/>
                <w:sz w:val="21"/>
                <w:szCs w:val="21"/>
              </w:rPr>
            </w:pPr>
            <w:r>
              <w:rPr>
                <w:rFonts w:hint="eastAsia"/>
                <w:color w:val="auto"/>
                <w:sz w:val="21"/>
                <w:szCs w:val="21"/>
              </w:rPr>
              <w:t>达标</w:t>
            </w:r>
          </w:p>
        </w:tc>
      </w:tr>
    </w:tbl>
    <w:p>
      <w:pPr>
        <w:adjustRightInd w:val="0"/>
        <w:snapToGrid w:val="0"/>
        <w:spacing w:beforeLines="50" w:afterLines="50"/>
        <w:rPr>
          <w:rFonts w:hAnsi="宋体"/>
          <w:b/>
          <w:color w:val="auto"/>
          <w:sz w:val="24"/>
        </w:rPr>
        <w:sectPr>
          <w:pgSz w:w="16838" w:h="11906" w:orient="landscape"/>
          <w:pgMar w:top="1797" w:right="1440" w:bottom="1797" w:left="1440" w:header="851" w:footer="992" w:gutter="0"/>
          <w:cols w:space="425" w:num="1"/>
          <w:docGrid w:type="lines" w:linePitch="312" w:charSpace="0"/>
        </w:sectPr>
      </w:pPr>
    </w:p>
    <w:p>
      <w:pPr>
        <w:adjustRightInd w:val="0"/>
        <w:snapToGrid w:val="0"/>
        <w:spacing w:line="360" w:lineRule="auto"/>
        <w:ind w:firstLine="480" w:firstLineChars="200"/>
        <w:jc w:val="left"/>
        <w:rPr>
          <w:rFonts w:hAnsi="宋体"/>
          <w:b/>
          <w:color w:val="auto"/>
          <w:sz w:val="24"/>
        </w:rPr>
      </w:pPr>
      <w:r>
        <w:rPr>
          <w:rFonts w:hint="eastAsia"/>
          <w:color w:val="auto"/>
          <w:sz w:val="24"/>
          <w:szCs w:val="24"/>
        </w:rPr>
        <w:t>根据监测结果标准指数计算，梅江水口英勤断面各监测因子均能达到《地表水环境质量标准》(GB3838-2002)</w:t>
      </w:r>
      <w:r>
        <w:rPr>
          <w:rFonts w:hint="eastAsia"/>
          <w:color w:val="auto"/>
        </w:rPr>
        <w:t xml:space="preserve"> </w:t>
      </w:r>
      <w:r>
        <w:rPr>
          <w:rFonts w:hint="eastAsia"/>
          <w:color w:val="auto"/>
          <w:sz w:val="24"/>
          <w:szCs w:val="24"/>
        </w:rPr>
        <w:t>Ⅱ类标准要求。</w:t>
      </w:r>
    </w:p>
    <w:p>
      <w:pPr>
        <w:pStyle w:val="4"/>
        <w:rPr>
          <w:color w:val="auto"/>
        </w:rPr>
      </w:pPr>
      <w:bookmarkStart w:id="122" w:name="_Toc26276848"/>
      <w:r>
        <w:rPr>
          <w:rFonts w:hint="eastAsia"/>
          <w:color w:val="auto"/>
        </w:rPr>
        <w:t>4.2.3地下水环境质量现状监测及评价</w:t>
      </w:r>
      <w:bookmarkEnd w:id="122"/>
    </w:p>
    <w:p>
      <w:pPr>
        <w:spacing w:line="360" w:lineRule="auto"/>
        <w:ind w:firstLine="480" w:firstLineChars="200"/>
        <w:rPr>
          <w:color w:val="auto"/>
          <w:sz w:val="24"/>
          <w:szCs w:val="24"/>
        </w:rPr>
      </w:pPr>
      <w:r>
        <w:rPr>
          <w:rFonts w:hint="eastAsia"/>
          <w:color w:val="auto"/>
          <w:sz w:val="24"/>
          <w:szCs w:val="24"/>
        </w:rPr>
        <w:t>为了解本项目建设前所在地及周围地区的地下水质量现状，建设单位委托梅州森海洋环保工程有限公司负责本项目的地下水环境质量现状调查工作。</w:t>
      </w:r>
    </w:p>
    <w:p>
      <w:pPr>
        <w:spacing w:line="360" w:lineRule="auto"/>
        <w:ind w:firstLine="482" w:firstLineChars="200"/>
        <w:rPr>
          <w:b/>
          <w:color w:val="auto"/>
          <w:sz w:val="24"/>
          <w:szCs w:val="24"/>
        </w:rPr>
      </w:pPr>
      <w:r>
        <w:rPr>
          <w:rFonts w:hint="eastAsia"/>
          <w:b/>
          <w:color w:val="auto"/>
          <w:sz w:val="24"/>
          <w:szCs w:val="24"/>
        </w:rPr>
        <w:t>1、监测点位及监测项目</w:t>
      </w:r>
    </w:p>
    <w:p>
      <w:pPr>
        <w:spacing w:line="360" w:lineRule="auto"/>
        <w:ind w:firstLine="480" w:firstLineChars="200"/>
        <w:rPr>
          <w:color w:val="auto"/>
          <w:sz w:val="24"/>
          <w:szCs w:val="24"/>
        </w:rPr>
      </w:pPr>
      <w:r>
        <w:rPr>
          <w:rFonts w:hint="eastAsia"/>
          <w:color w:val="auto"/>
          <w:sz w:val="24"/>
          <w:szCs w:val="24"/>
        </w:rPr>
        <w:t>本项目共设10个监测点位，均监测地下水水位，其中包含浅水含水层水质监测点5个，符合《环境影响评价技术导则 地下水环境》（HJ610-2016）中“二级评价项目潜水含水层的水质监测点应不少于5个”、“</w:t>
      </w:r>
      <w:r>
        <w:rPr>
          <w:rFonts w:hint="eastAsia"/>
          <w:color w:val="auto"/>
        </w:rPr>
        <w:t xml:space="preserve"> </w:t>
      </w:r>
      <w:r>
        <w:rPr>
          <w:rFonts w:hint="eastAsia"/>
          <w:color w:val="auto"/>
          <w:sz w:val="24"/>
          <w:szCs w:val="24"/>
        </w:rPr>
        <w:t>一般情况下，地下水水位监测点数宜大于相应评价级别地下水水质监测点数的2倍。”的要求。项目选址地块地下水水流方向为由西至东，本次水质监测点于项目北侧、西侧、南侧各布设1个，项目地东部布设1个，项目东侧布设1个，符合《环境影响评价技术导则 地下水环境》（HJ610-2016）中“原则上建设项目场地上游和两侧的地下水水质监测点均不得少于1个，建设项目场地及其下游影响区的地下水水质监测点不得少于2个”的要求，项目布点合理。监测点位置具体见图4-2-1，监测项目详见下表。</w:t>
      </w:r>
    </w:p>
    <w:p>
      <w:pPr>
        <w:spacing w:line="360" w:lineRule="auto"/>
        <w:jc w:val="center"/>
        <w:rPr>
          <w:b/>
          <w:color w:val="auto"/>
          <w:sz w:val="24"/>
          <w:szCs w:val="24"/>
        </w:rPr>
      </w:pPr>
      <w:r>
        <w:rPr>
          <w:rFonts w:hint="eastAsia"/>
          <w:b/>
          <w:color w:val="auto"/>
          <w:sz w:val="24"/>
          <w:szCs w:val="24"/>
        </w:rPr>
        <w:t>表4-2-6   地下水监测点位及监测项目</w:t>
      </w:r>
    </w:p>
    <w:tbl>
      <w:tblPr>
        <w:tblStyle w:val="28"/>
        <w:tblW w:w="8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0"/>
        <w:gridCol w:w="3329"/>
        <w:gridCol w:w="3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 w:hRule="atLeast"/>
          <w:jc w:val="center"/>
        </w:trPr>
        <w:tc>
          <w:tcPr>
            <w:tcW w:w="1740" w:type="dxa"/>
            <w:vAlign w:val="center"/>
          </w:tcPr>
          <w:p>
            <w:pPr>
              <w:pStyle w:val="13"/>
              <w:spacing w:line="240" w:lineRule="auto"/>
              <w:ind w:firstLine="0" w:firstLineChars="0"/>
              <w:jc w:val="center"/>
              <w:rPr>
                <w:rFonts w:ascii="Times New Roman" w:hAnsi="Times New Roman"/>
                <w:b/>
                <w:color w:val="auto"/>
                <w:sz w:val="21"/>
                <w:szCs w:val="21"/>
              </w:rPr>
            </w:pPr>
            <w:r>
              <w:rPr>
                <w:rFonts w:ascii="Times New Roman" w:hAnsi="宋体"/>
                <w:b/>
                <w:color w:val="auto"/>
                <w:sz w:val="21"/>
                <w:szCs w:val="21"/>
              </w:rPr>
              <w:t>编号</w:t>
            </w:r>
          </w:p>
        </w:tc>
        <w:tc>
          <w:tcPr>
            <w:tcW w:w="3329" w:type="dxa"/>
            <w:vAlign w:val="center"/>
          </w:tcPr>
          <w:p>
            <w:pPr>
              <w:pStyle w:val="13"/>
              <w:spacing w:line="240" w:lineRule="auto"/>
              <w:ind w:firstLine="0" w:firstLineChars="0"/>
              <w:jc w:val="center"/>
              <w:rPr>
                <w:rFonts w:ascii="Times New Roman" w:hAnsi="Times New Roman"/>
                <w:b/>
                <w:color w:val="auto"/>
                <w:sz w:val="21"/>
                <w:szCs w:val="21"/>
              </w:rPr>
            </w:pPr>
            <w:r>
              <w:rPr>
                <w:rFonts w:ascii="Times New Roman" w:hAnsi="宋体"/>
                <w:b/>
                <w:color w:val="auto"/>
                <w:sz w:val="21"/>
                <w:szCs w:val="21"/>
              </w:rPr>
              <w:t>监测点</w:t>
            </w:r>
            <w:r>
              <w:rPr>
                <w:rFonts w:hint="eastAsia" w:ascii="Times New Roman" w:hAnsi="宋体"/>
                <w:b/>
                <w:color w:val="auto"/>
                <w:sz w:val="21"/>
                <w:szCs w:val="21"/>
              </w:rPr>
              <w:t>位置</w:t>
            </w:r>
          </w:p>
        </w:tc>
        <w:tc>
          <w:tcPr>
            <w:tcW w:w="3581" w:type="dxa"/>
            <w:vAlign w:val="center"/>
          </w:tcPr>
          <w:p>
            <w:pPr>
              <w:pStyle w:val="13"/>
              <w:spacing w:line="240" w:lineRule="auto"/>
              <w:ind w:firstLine="0" w:firstLineChars="0"/>
              <w:jc w:val="center"/>
              <w:rPr>
                <w:rFonts w:ascii="Times New Roman" w:hAnsi="Times New Roman"/>
                <w:b/>
                <w:color w:val="auto"/>
                <w:sz w:val="21"/>
                <w:szCs w:val="21"/>
              </w:rPr>
            </w:pPr>
            <w:r>
              <w:rPr>
                <w:rFonts w:hint="eastAsia" w:ascii="Times New Roman" w:hAnsi="宋体"/>
                <w:b/>
                <w:color w:val="auto"/>
                <w:sz w:val="21"/>
                <w:szCs w:val="21"/>
              </w:rPr>
              <w:t>监测内容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w:t>
            </w:r>
            <w:r>
              <w:rPr>
                <w:rFonts w:ascii="Times New Roman" w:hAnsi="Times New Roman"/>
                <w:color w:val="auto"/>
                <w:sz w:val="21"/>
                <w:szCs w:val="21"/>
              </w:rPr>
              <w:t>1</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项目地</w:t>
            </w:r>
            <w:r>
              <w:rPr>
                <w:rFonts w:hint="eastAsia" w:ascii="Times New Roman" w:hAnsi="宋体"/>
                <w:color w:val="auto"/>
                <w:sz w:val="21"/>
                <w:szCs w:val="21"/>
              </w:rPr>
              <w:t>东部</w:t>
            </w:r>
          </w:p>
        </w:tc>
        <w:tc>
          <w:tcPr>
            <w:tcW w:w="3581" w:type="dxa"/>
            <w:vMerge w:val="restart"/>
            <w:vAlign w:val="center"/>
          </w:tcPr>
          <w:p>
            <w:pPr>
              <w:pStyle w:val="13"/>
              <w:spacing w:line="240" w:lineRule="auto"/>
              <w:ind w:firstLine="0" w:firstLineChars="0"/>
              <w:jc w:val="center"/>
              <w:rPr>
                <w:rFonts w:ascii="Times New Roman" w:hAnsi="Times New Roman"/>
                <w:color w:val="auto"/>
                <w:sz w:val="21"/>
                <w:szCs w:val="21"/>
              </w:rPr>
            </w:pPr>
            <w:r>
              <w:rPr>
                <w:rFonts w:ascii="Times New Roman" w:hAnsi="Times New Roman"/>
                <w:color w:val="auto"/>
                <w:sz w:val="21"/>
                <w:szCs w:val="21"/>
              </w:rPr>
              <w:t>pH</w:t>
            </w:r>
            <w:r>
              <w:rPr>
                <w:rFonts w:ascii="Times New Roman" w:hAnsi="宋体"/>
                <w:color w:val="auto"/>
                <w:sz w:val="21"/>
                <w:szCs w:val="21"/>
              </w:rPr>
              <w:t>、氨氮、硝酸盐、亚硝酸盐、挥发酚、氰化物</w:t>
            </w:r>
            <w:r>
              <w:rPr>
                <w:rFonts w:hint="eastAsia" w:hAnsi="宋体"/>
                <w:color w:val="auto"/>
                <w:sz w:val="21"/>
                <w:szCs w:val="21"/>
              </w:rPr>
              <w:t>、砷、汞、六价铬、</w:t>
            </w:r>
            <w:r>
              <w:rPr>
                <w:rFonts w:hAnsi="宋体"/>
                <w:color w:val="auto"/>
                <w:sz w:val="21"/>
                <w:szCs w:val="21"/>
              </w:rPr>
              <w:t>总硬度、</w:t>
            </w:r>
            <w:r>
              <w:rPr>
                <w:rFonts w:hint="eastAsia" w:hAnsi="宋体"/>
                <w:color w:val="auto"/>
                <w:sz w:val="21"/>
                <w:szCs w:val="21"/>
              </w:rPr>
              <w:t>铅、</w:t>
            </w:r>
            <w:r>
              <w:rPr>
                <w:rFonts w:hAnsi="宋体"/>
                <w:color w:val="auto"/>
                <w:sz w:val="21"/>
                <w:szCs w:val="21"/>
              </w:rPr>
              <w:t>氟化物、</w:t>
            </w:r>
            <w:r>
              <w:rPr>
                <w:rFonts w:hint="eastAsia" w:hAnsi="宋体"/>
                <w:color w:val="auto"/>
                <w:sz w:val="21"/>
                <w:szCs w:val="21"/>
              </w:rPr>
              <w:t>镉、铁、锰、</w:t>
            </w:r>
            <w:r>
              <w:rPr>
                <w:rFonts w:hAnsi="宋体"/>
                <w:color w:val="auto"/>
                <w:sz w:val="21"/>
                <w:szCs w:val="21"/>
              </w:rPr>
              <w:t>溶解性总固体</w:t>
            </w:r>
            <w:r>
              <w:rPr>
                <w:color w:val="auto"/>
                <w:sz w:val="21"/>
                <w:szCs w:val="21"/>
              </w:rPr>
              <w:t>、</w:t>
            </w:r>
            <w:r>
              <w:rPr>
                <w:rFonts w:hint="eastAsia" w:hAnsi="宋体"/>
                <w:color w:val="auto"/>
                <w:sz w:val="21"/>
                <w:szCs w:val="21"/>
              </w:rPr>
              <w:t>耗氧量、硫酸盐、氯化物、总大肠菌群、细菌总数</w:t>
            </w:r>
            <w:r>
              <w:rPr>
                <w:rFonts w:hint="eastAsia" w:ascii="Times New Roman" w:hAnsi="Times New Roman"/>
                <w:color w:val="auto"/>
                <w:sz w:val="21"/>
                <w:szCs w:val="21"/>
              </w:rPr>
              <w:t>、水位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w:t>
            </w:r>
            <w:r>
              <w:rPr>
                <w:rFonts w:ascii="Times New Roman" w:hAnsi="Times New Roman"/>
                <w:color w:val="auto"/>
                <w:sz w:val="21"/>
                <w:szCs w:val="21"/>
              </w:rPr>
              <w:t>2</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项目西侧</w:t>
            </w:r>
          </w:p>
        </w:tc>
        <w:tc>
          <w:tcPr>
            <w:tcW w:w="3581" w:type="dxa"/>
            <w:vMerge w:val="continue"/>
            <w:vAlign w:val="center"/>
          </w:tcPr>
          <w:p>
            <w:pPr>
              <w:widowControl/>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w:t>
            </w:r>
            <w:r>
              <w:rPr>
                <w:rFonts w:ascii="Times New Roman" w:hAnsi="Times New Roman"/>
                <w:color w:val="auto"/>
                <w:sz w:val="21"/>
                <w:szCs w:val="21"/>
              </w:rPr>
              <w:t>3</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项目南侧</w:t>
            </w:r>
          </w:p>
        </w:tc>
        <w:tc>
          <w:tcPr>
            <w:tcW w:w="3581" w:type="dxa"/>
            <w:vMerge w:val="continue"/>
            <w:vAlign w:val="center"/>
          </w:tcPr>
          <w:p>
            <w:pPr>
              <w:widowControl/>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w:t>
            </w:r>
            <w:r>
              <w:rPr>
                <w:rFonts w:ascii="Times New Roman" w:hAnsi="Times New Roman"/>
                <w:color w:val="auto"/>
                <w:sz w:val="21"/>
                <w:szCs w:val="21"/>
              </w:rPr>
              <w:t>4</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项目北侧</w:t>
            </w:r>
          </w:p>
        </w:tc>
        <w:tc>
          <w:tcPr>
            <w:tcW w:w="3581" w:type="dxa"/>
            <w:vMerge w:val="continue"/>
            <w:vAlign w:val="center"/>
          </w:tcPr>
          <w:p>
            <w:pPr>
              <w:widowControl/>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w:t>
            </w:r>
            <w:r>
              <w:rPr>
                <w:rFonts w:ascii="Times New Roman" w:hAnsi="Times New Roman"/>
                <w:color w:val="auto"/>
                <w:sz w:val="21"/>
                <w:szCs w:val="21"/>
              </w:rPr>
              <w:t>5</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项目东侧</w:t>
            </w:r>
          </w:p>
        </w:tc>
        <w:tc>
          <w:tcPr>
            <w:tcW w:w="3581" w:type="dxa"/>
            <w:vMerge w:val="continue"/>
            <w:vAlign w:val="center"/>
          </w:tcPr>
          <w:p>
            <w:pPr>
              <w:widowControl/>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U6</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项目地</w:t>
            </w:r>
            <w:r>
              <w:rPr>
                <w:rFonts w:hint="eastAsia" w:ascii="Times New Roman" w:hAnsi="宋体"/>
                <w:color w:val="auto"/>
                <w:sz w:val="21"/>
                <w:szCs w:val="21"/>
              </w:rPr>
              <w:t>东部</w:t>
            </w:r>
          </w:p>
        </w:tc>
        <w:tc>
          <w:tcPr>
            <w:tcW w:w="3581" w:type="dxa"/>
            <w:vMerge w:val="restart"/>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水位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U7</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项目西侧</w:t>
            </w:r>
          </w:p>
        </w:tc>
        <w:tc>
          <w:tcPr>
            <w:tcW w:w="3581" w:type="dxa"/>
            <w:vMerge w:val="continue"/>
            <w:vAlign w:val="center"/>
          </w:tcPr>
          <w:p>
            <w:pPr>
              <w:pStyle w:val="13"/>
              <w:spacing w:line="240" w:lineRule="auto"/>
              <w:ind w:firstLine="0" w:firstLineChars="0"/>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U8</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项目东南侧</w:t>
            </w:r>
          </w:p>
        </w:tc>
        <w:tc>
          <w:tcPr>
            <w:tcW w:w="3581" w:type="dxa"/>
            <w:vMerge w:val="continue"/>
            <w:vAlign w:val="center"/>
          </w:tcPr>
          <w:p>
            <w:pPr>
              <w:pStyle w:val="13"/>
              <w:spacing w:line="240" w:lineRule="auto"/>
              <w:ind w:firstLine="0" w:firstLineChars="0"/>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U9</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项目北侧</w:t>
            </w:r>
          </w:p>
        </w:tc>
        <w:tc>
          <w:tcPr>
            <w:tcW w:w="3581" w:type="dxa"/>
            <w:vMerge w:val="continue"/>
            <w:vAlign w:val="center"/>
          </w:tcPr>
          <w:p>
            <w:pPr>
              <w:pStyle w:val="13"/>
              <w:spacing w:line="240" w:lineRule="auto"/>
              <w:ind w:firstLine="0" w:firstLineChars="0"/>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1740" w:type="dxa"/>
            <w:vAlign w:val="center"/>
          </w:tcPr>
          <w:p>
            <w:pPr>
              <w:pStyle w:val="13"/>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U10</w:t>
            </w:r>
          </w:p>
        </w:tc>
        <w:tc>
          <w:tcPr>
            <w:tcW w:w="3329"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hint="eastAsia" w:ascii="Times New Roman" w:hAnsi="Times New Roman"/>
                <w:color w:val="auto"/>
                <w:sz w:val="21"/>
                <w:szCs w:val="21"/>
              </w:rPr>
              <w:t>项目南侧</w:t>
            </w:r>
          </w:p>
        </w:tc>
        <w:tc>
          <w:tcPr>
            <w:tcW w:w="3581" w:type="dxa"/>
            <w:vMerge w:val="continue"/>
            <w:vAlign w:val="center"/>
          </w:tcPr>
          <w:p>
            <w:pPr>
              <w:pStyle w:val="13"/>
              <w:spacing w:line="240" w:lineRule="auto"/>
              <w:ind w:firstLine="0" w:firstLineChars="0"/>
              <w:jc w:val="center"/>
              <w:rPr>
                <w:rFonts w:ascii="Times New Roman" w:hAnsi="Times New Roman"/>
                <w:color w:val="auto"/>
                <w:sz w:val="21"/>
                <w:szCs w:val="21"/>
              </w:rPr>
            </w:pPr>
          </w:p>
        </w:tc>
      </w:tr>
    </w:tbl>
    <w:p>
      <w:pPr>
        <w:spacing w:line="360" w:lineRule="auto"/>
        <w:ind w:firstLine="482" w:firstLineChars="200"/>
        <w:jc w:val="left"/>
        <w:rPr>
          <w:b/>
          <w:color w:val="auto"/>
          <w:sz w:val="24"/>
          <w:szCs w:val="24"/>
        </w:rPr>
      </w:pPr>
      <w:r>
        <w:rPr>
          <w:rFonts w:hint="eastAsia"/>
          <w:b/>
          <w:color w:val="auto"/>
          <w:sz w:val="24"/>
          <w:szCs w:val="24"/>
        </w:rPr>
        <w:t>2、监测频率</w:t>
      </w:r>
    </w:p>
    <w:p>
      <w:pPr>
        <w:spacing w:line="360" w:lineRule="auto"/>
        <w:ind w:firstLine="480" w:firstLineChars="200"/>
        <w:jc w:val="left"/>
        <w:rPr>
          <w:color w:val="auto"/>
          <w:sz w:val="24"/>
          <w:szCs w:val="24"/>
        </w:rPr>
      </w:pPr>
      <w:r>
        <w:rPr>
          <w:rFonts w:hint="eastAsia"/>
          <w:color w:val="auto"/>
          <w:sz w:val="24"/>
          <w:szCs w:val="24"/>
        </w:rPr>
        <w:t>监测时间：2020年9月23日，监测一天，采样一次。</w:t>
      </w:r>
    </w:p>
    <w:p>
      <w:pPr>
        <w:spacing w:line="360" w:lineRule="auto"/>
        <w:ind w:firstLine="482" w:firstLineChars="200"/>
        <w:jc w:val="left"/>
        <w:rPr>
          <w:b/>
          <w:color w:val="auto"/>
          <w:sz w:val="24"/>
          <w:szCs w:val="24"/>
        </w:rPr>
      </w:pPr>
      <w:r>
        <w:rPr>
          <w:rFonts w:hint="eastAsia"/>
          <w:b/>
          <w:color w:val="auto"/>
          <w:sz w:val="24"/>
          <w:szCs w:val="24"/>
        </w:rPr>
        <w:t>3、评价标准及评价方法</w:t>
      </w:r>
    </w:p>
    <w:p>
      <w:pPr>
        <w:spacing w:line="360" w:lineRule="auto"/>
        <w:ind w:firstLine="480" w:firstLineChars="200"/>
        <w:jc w:val="left"/>
        <w:rPr>
          <w:color w:val="auto"/>
          <w:sz w:val="24"/>
          <w:szCs w:val="24"/>
        </w:rPr>
      </w:pPr>
      <w:r>
        <w:rPr>
          <w:rFonts w:hint="eastAsia"/>
          <w:color w:val="auto"/>
          <w:sz w:val="24"/>
          <w:szCs w:val="24"/>
        </w:rPr>
        <w:t>评价标准：采用《地下水质量标准》（GB/T14848-2017）中Ⅲ类标准进行评价。</w:t>
      </w:r>
    </w:p>
    <w:p>
      <w:pPr>
        <w:spacing w:line="360" w:lineRule="auto"/>
        <w:ind w:firstLine="480" w:firstLineChars="200"/>
        <w:jc w:val="left"/>
        <w:rPr>
          <w:color w:val="auto"/>
          <w:sz w:val="24"/>
          <w:szCs w:val="24"/>
        </w:rPr>
      </w:pPr>
      <w:r>
        <w:rPr>
          <w:rFonts w:hint="eastAsia"/>
          <w:color w:val="auto"/>
          <w:sz w:val="24"/>
          <w:szCs w:val="24"/>
        </w:rPr>
        <w:t>评价方法：采用标准指数法进行评价。标准指数&gt;1，表明该水质因子已超标。</w:t>
      </w:r>
    </w:p>
    <w:p>
      <w:pPr>
        <w:spacing w:line="360" w:lineRule="auto"/>
        <w:ind w:firstLine="480" w:firstLineChars="200"/>
        <w:jc w:val="left"/>
        <w:rPr>
          <w:color w:val="auto"/>
          <w:sz w:val="24"/>
          <w:szCs w:val="24"/>
        </w:rPr>
      </w:pPr>
      <w:r>
        <w:rPr>
          <w:rFonts w:hint="eastAsia"/>
          <w:color w:val="auto"/>
          <w:sz w:val="24"/>
          <w:szCs w:val="24"/>
        </w:rPr>
        <w:t>（1）PH值的计算公式：</w:t>
      </w:r>
    </w:p>
    <w:p>
      <w:pPr>
        <w:spacing w:line="360" w:lineRule="auto"/>
        <w:jc w:val="center"/>
        <w:rPr>
          <w:color w:val="auto"/>
          <w:sz w:val="24"/>
          <w:szCs w:val="24"/>
        </w:rPr>
      </w:pPr>
      <w:r>
        <w:rPr>
          <w:rFonts w:hint="eastAsia"/>
          <w:color w:val="auto"/>
          <w:sz w:val="24"/>
          <w:szCs w:val="24"/>
        </w:rPr>
        <w:t>Pi=(PHi－7)/(PHsu－7)   PHi&gt;7时；</w:t>
      </w:r>
    </w:p>
    <w:p>
      <w:pPr>
        <w:spacing w:line="360" w:lineRule="auto"/>
        <w:jc w:val="center"/>
        <w:rPr>
          <w:color w:val="auto"/>
          <w:sz w:val="24"/>
          <w:szCs w:val="24"/>
        </w:rPr>
      </w:pPr>
      <w:r>
        <w:rPr>
          <w:rFonts w:hint="eastAsia"/>
          <w:color w:val="auto"/>
          <w:sz w:val="24"/>
          <w:szCs w:val="24"/>
        </w:rPr>
        <w:t>Pi=(7－PHi)/(7－PHsd)   PHi≤7时。</w:t>
      </w:r>
    </w:p>
    <w:p>
      <w:pPr>
        <w:spacing w:line="360" w:lineRule="auto"/>
        <w:ind w:firstLine="480" w:firstLineChars="200"/>
        <w:jc w:val="left"/>
        <w:rPr>
          <w:color w:val="auto"/>
          <w:sz w:val="24"/>
          <w:szCs w:val="24"/>
        </w:rPr>
      </w:pPr>
      <w:r>
        <w:rPr>
          <w:rFonts w:hint="eastAsia"/>
          <w:color w:val="auto"/>
          <w:sz w:val="24"/>
          <w:szCs w:val="24"/>
        </w:rPr>
        <w:t>其中：PHi—i污染物的实际值，无量纲；</w:t>
      </w:r>
    </w:p>
    <w:p>
      <w:pPr>
        <w:spacing w:line="360" w:lineRule="auto"/>
        <w:ind w:firstLine="480" w:firstLineChars="200"/>
        <w:jc w:val="left"/>
        <w:rPr>
          <w:color w:val="auto"/>
          <w:sz w:val="24"/>
          <w:szCs w:val="24"/>
        </w:rPr>
      </w:pPr>
      <w:r>
        <w:rPr>
          <w:rFonts w:hint="eastAsia"/>
          <w:color w:val="auto"/>
          <w:sz w:val="24"/>
          <w:szCs w:val="24"/>
        </w:rPr>
        <w:t>PHsu—标准浓度上限值，mg/L；</w:t>
      </w:r>
    </w:p>
    <w:p>
      <w:pPr>
        <w:spacing w:line="360" w:lineRule="auto"/>
        <w:ind w:firstLine="480" w:firstLineChars="200"/>
        <w:jc w:val="left"/>
        <w:rPr>
          <w:color w:val="auto"/>
          <w:sz w:val="24"/>
          <w:szCs w:val="24"/>
        </w:rPr>
      </w:pPr>
      <w:r>
        <w:rPr>
          <w:rFonts w:hint="eastAsia"/>
          <w:color w:val="auto"/>
          <w:sz w:val="24"/>
          <w:szCs w:val="24"/>
        </w:rPr>
        <w:t>PHsd —标准浓度下限值，mg/L。</w:t>
      </w:r>
    </w:p>
    <w:p>
      <w:pPr>
        <w:spacing w:line="360" w:lineRule="auto"/>
        <w:ind w:firstLine="480" w:firstLineChars="200"/>
        <w:jc w:val="left"/>
        <w:rPr>
          <w:color w:val="auto"/>
          <w:sz w:val="24"/>
          <w:szCs w:val="24"/>
        </w:rPr>
      </w:pPr>
      <w:r>
        <w:rPr>
          <w:rFonts w:hint="eastAsia"/>
          <w:color w:val="auto"/>
          <w:sz w:val="24"/>
          <w:szCs w:val="24"/>
        </w:rPr>
        <w:t>（2）其他项目计算公式：</w:t>
      </w:r>
    </w:p>
    <w:p>
      <w:pPr>
        <w:spacing w:line="360" w:lineRule="auto"/>
        <w:jc w:val="center"/>
        <w:rPr>
          <w:color w:val="auto"/>
          <w:sz w:val="24"/>
          <w:szCs w:val="24"/>
        </w:rPr>
      </w:pPr>
      <w:r>
        <w:rPr>
          <w:rFonts w:hint="eastAsia"/>
          <w:color w:val="auto"/>
          <w:sz w:val="24"/>
          <w:szCs w:val="24"/>
        </w:rPr>
        <w:t>Pi=Ci/Coi</w:t>
      </w:r>
    </w:p>
    <w:p>
      <w:pPr>
        <w:spacing w:line="360" w:lineRule="auto"/>
        <w:ind w:firstLine="480" w:firstLineChars="200"/>
        <w:jc w:val="left"/>
        <w:rPr>
          <w:color w:val="auto"/>
          <w:sz w:val="24"/>
          <w:szCs w:val="24"/>
        </w:rPr>
      </w:pPr>
      <w:r>
        <w:rPr>
          <w:rFonts w:hint="eastAsia"/>
          <w:color w:val="auto"/>
          <w:sz w:val="24"/>
          <w:szCs w:val="24"/>
        </w:rPr>
        <w:t>其中： Pi—i 水质因子的标准指数，无量纲；</w:t>
      </w:r>
    </w:p>
    <w:p>
      <w:pPr>
        <w:spacing w:line="360" w:lineRule="auto"/>
        <w:ind w:firstLine="480" w:firstLineChars="200"/>
        <w:jc w:val="left"/>
        <w:rPr>
          <w:color w:val="auto"/>
          <w:sz w:val="24"/>
          <w:szCs w:val="24"/>
        </w:rPr>
      </w:pPr>
      <w:r>
        <w:rPr>
          <w:rFonts w:hint="eastAsia"/>
          <w:color w:val="auto"/>
          <w:sz w:val="24"/>
          <w:szCs w:val="24"/>
        </w:rPr>
        <w:t>Ci—i水质因子的监测浓度值，mg/L；</w:t>
      </w:r>
    </w:p>
    <w:p>
      <w:pPr>
        <w:spacing w:line="360" w:lineRule="auto"/>
        <w:ind w:firstLine="480" w:firstLineChars="200"/>
        <w:jc w:val="left"/>
        <w:rPr>
          <w:color w:val="auto"/>
          <w:sz w:val="24"/>
          <w:szCs w:val="24"/>
        </w:rPr>
      </w:pPr>
      <w:r>
        <w:rPr>
          <w:rFonts w:hint="eastAsia"/>
          <w:color w:val="auto"/>
          <w:sz w:val="24"/>
          <w:szCs w:val="24"/>
        </w:rPr>
        <w:t xml:space="preserve"> Coi—i水质因子的标准浓度值，mg/L。</w:t>
      </w:r>
    </w:p>
    <w:p>
      <w:pPr>
        <w:spacing w:line="360" w:lineRule="auto"/>
        <w:ind w:firstLine="482" w:firstLineChars="200"/>
        <w:jc w:val="left"/>
        <w:rPr>
          <w:b/>
          <w:color w:val="auto"/>
          <w:sz w:val="24"/>
          <w:szCs w:val="24"/>
        </w:rPr>
      </w:pPr>
      <w:r>
        <w:rPr>
          <w:rFonts w:hint="eastAsia"/>
          <w:b/>
          <w:color w:val="auto"/>
          <w:sz w:val="24"/>
          <w:szCs w:val="24"/>
        </w:rPr>
        <w:t>4、监测结果与评价</w:t>
      </w:r>
    </w:p>
    <w:p>
      <w:pPr>
        <w:spacing w:line="360" w:lineRule="auto"/>
        <w:ind w:firstLine="480" w:firstLineChars="200"/>
        <w:jc w:val="left"/>
        <w:rPr>
          <w:color w:val="auto"/>
          <w:sz w:val="24"/>
          <w:szCs w:val="24"/>
        </w:rPr>
      </w:pPr>
      <w:r>
        <w:rPr>
          <w:rFonts w:hint="eastAsia"/>
          <w:color w:val="auto"/>
          <w:sz w:val="24"/>
          <w:szCs w:val="24"/>
        </w:rPr>
        <w:t>地下水监测结果见表4-2-7、4-2-8。</w:t>
      </w:r>
    </w:p>
    <w:p>
      <w:pPr>
        <w:spacing w:line="360" w:lineRule="auto"/>
        <w:jc w:val="center"/>
        <w:rPr>
          <w:b/>
          <w:color w:val="auto"/>
          <w:sz w:val="24"/>
          <w:szCs w:val="24"/>
        </w:rPr>
      </w:pPr>
      <w:r>
        <w:rPr>
          <w:rFonts w:hint="eastAsia"/>
          <w:b/>
          <w:color w:val="auto"/>
          <w:sz w:val="24"/>
          <w:szCs w:val="24"/>
        </w:rPr>
        <w:t>表4-2-7   地下水水质监测结果统计</w:t>
      </w:r>
    </w:p>
    <w:tbl>
      <w:tblPr>
        <w:tblStyle w:val="28"/>
        <w:tblW w:w="91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4"/>
        <w:gridCol w:w="850"/>
        <w:gridCol w:w="709"/>
        <w:gridCol w:w="709"/>
        <w:gridCol w:w="748"/>
        <w:gridCol w:w="669"/>
        <w:gridCol w:w="1134"/>
        <w:gridCol w:w="791"/>
        <w:gridCol w:w="5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2964" w:type="dxa"/>
            <w:vMerge w:val="restart"/>
            <w:tcBorders>
              <w:top w:val="single" w:color="auto" w:sz="4" w:space="0"/>
              <w:left w:val="single" w:color="000000" w:sz="4" w:space="0"/>
              <w:bottom w:val="single" w:color="000000" w:sz="4" w:space="0"/>
              <w:right w:val="single" w:color="auto" w:sz="4" w:space="0"/>
            </w:tcBorders>
            <w:vAlign w:val="center"/>
          </w:tcPr>
          <w:p>
            <w:pPr>
              <w:adjustRightInd w:val="0"/>
              <w:snapToGrid w:val="0"/>
              <w:jc w:val="center"/>
              <w:rPr>
                <w:color w:val="auto"/>
                <w:sz w:val="21"/>
                <w:szCs w:val="21"/>
              </w:rPr>
            </w:pPr>
            <w:r>
              <w:rPr>
                <w:rFonts w:hAnsi="宋体"/>
                <w:b/>
                <w:bCs/>
                <w:color w:val="auto"/>
                <w:sz w:val="21"/>
                <w:szCs w:val="21"/>
              </w:rPr>
              <w:t>检测项目</w:t>
            </w:r>
          </w:p>
        </w:tc>
        <w:tc>
          <w:tcPr>
            <w:tcW w:w="3685" w:type="dxa"/>
            <w:gridSpan w:val="5"/>
            <w:tcBorders>
              <w:top w:val="single" w:color="auto" w:sz="4" w:space="0"/>
              <w:left w:val="nil"/>
              <w:bottom w:val="single" w:color="auto" w:sz="4" w:space="0"/>
              <w:right w:val="single" w:color="000000" w:sz="4" w:space="0"/>
            </w:tcBorders>
            <w:vAlign w:val="center"/>
          </w:tcPr>
          <w:p>
            <w:pPr>
              <w:adjustRightInd w:val="0"/>
              <w:snapToGrid w:val="0"/>
              <w:jc w:val="center"/>
              <w:rPr>
                <w:b/>
                <w:bCs/>
                <w:color w:val="auto"/>
                <w:sz w:val="21"/>
                <w:szCs w:val="21"/>
              </w:rPr>
            </w:pPr>
            <w:r>
              <w:rPr>
                <w:rFonts w:hAnsi="宋体"/>
                <w:b/>
                <w:bCs/>
                <w:color w:val="auto"/>
                <w:sz w:val="21"/>
                <w:szCs w:val="21"/>
              </w:rPr>
              <w:t>水质监测点检测结果</w:t>
            </w:r>
          </w:p>
        </w:tc>
        <w:tc>
          <w:tcPr>
            <w:tcW w:w="1134" w:type="dxa"/>
            <w:vMerge w:val="restart"/>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b/>
                <w:bCs/>
                <w:color w:val="auto"/>
                <w:sz w:val="21"/>
                <w:szCs w:val="21"/>
              </w:rPr>
              <w:t>标准限值</w:t>
            </w:r>
          </w:p>
        </w:tc>
        <w:tc>
          <w:tcPr>
            <w:tcW w:w="791" w:type="dxa"/>
            <w:vMerge w:val="restart"/>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b/>
                <w:bCs/>
                <w:color w:val="auto"/>
                <w:sz w:val="21"/>
                <w:szCs w:val="21"/>
              </w:rPr>
              <w:t>单位</w:t>
            </w:r>
          </w:p>
        </w:tc>
        <w:tc>
          <w:tcPr>
            <w:tcW w:w="555" w:type="dxa"/>
            <w:vMerge w:val="restart"/>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b/>
                <w:bCs/>
                <w:color w:val="auto"/>
                <w:sz w:val="21"/>
                <w:szCs w:val="21"/>
              </w:rPr>
              <w:t>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 w:hRule="atLeast"/>
          <w:jc w:val="center"/>
        </w:trPr>
        <w:tc>
          <w:tcPr>
            <w:tcW w:w="2964" w:type="dxa"/>
            <w:vMerge w:val="continue"/>
            <w:tcBorders>
              <w:top w:val="single" w:color="auto" w:sz="4" w:space="0"/>
              <w:left w:val="single" w:color="000000" w:sz="4" w:space="0"/>
              <w:bottom w:val="single" w:color="000000" w:sz="4" w:space="0"/>
              <w:right w:val="single" w:color="auto" w:sz="4" w:space="0"/>
            </w:tcBorders>
            <w:vAlign w:val="center"/>
          </w:tcPr>
          <w:p>
            <w:pPr>
              <w:widowControl/>
              <w:adjustRightInd w:val="0"/>
              <w:snapToGrid w:val="0"/>
              <w:jc w:val="center"/>
              <w:rPr>
                <w:color w:val="auto"/>
                <w:sz w:val="21"/>
                <w:szCs w:val="21"/>
              </w:rPr>
            </w:pPr>
          </w:p>
        </w:tc>
        <w:tc>
          <w:tcPr>
            <w:tcW w:w="850" w:type="dxa"/>
            <w:tcBorders>
              <w:top w:val="single" w:color="auto" w:sz="4" w:space="0"/>
              <w:left w:val="nil"/>
              <w:bottom w:val="single" w:color="auto" w:sz="4" w:space="0"/>
              <w:right w:val="single" w:color="000000" w:sz="4" w:space="0"/>
            </w:tcBorders>
            <w:vAlign w:val="center"/>
          </w:tcPr>
          <w:p>
            <w:pPr>
              <w:adjustRightInd w:val="0"/>
              <w:snapToGrid w:val="0"/>
              <w:jc w:val="center"/>
              <w:rPr>
                <w:b/>
                <w:color w:val="auto"/>
                <w:sz w:val="21"/>
                <w:szCs w:val="21"/>
              </w:rPr>
            </w:pPr>
            <w:r>
              <w:rPr>
                <w:b/>
                <w:color w:val="auto"/>
                <w:sz w:val="21"/>
                <w:szCs w:val="21"/>
              </w:rPr>
              <w:t>U1</w:t>
            </w:r>
          </w:p>
        </w:tc>
        <w:tc>
          <w:tcPr>
            <w:tcW w:w="709" w:type="dxa"/>
            <w:tcBorders>
              <w:top w:val="single" w:color="auto" w:sz="4" w:space="0"/>
              <w:left w:val="nil"/>
              <w:bottom w:val="single" w:color="auto" w:sz="4" w:space="0"/>
              <w:right w:val="single" w:color="000000" w:sz="4" w:space="0"/>
            </w:tcBorders>
            <w:vAlign w:val="center"/>
          </w:tcPr>
          <w:p>
            <w:pPr>
              <w:adjustRightInd w:val="0"/>
              <w:snapToGrid w:val="0"/>
              <w:jc w:val="center"/>
              <w:rPr>
                <w:b/>
                <w:color w:val="auto"/>
                <w:sz w:val="21"/>
                <w:szCs w:val="21"/>
              </w:rPr>
            </w:pPr>
            <w:r>
              <w:rPr>
                <w:b/>
                <w:color w:val="auto"/>
                <w:sz w:val="21"/>
                <w:szCs w:val="21"/>
              </w:rPr>
              <w:t>U2</w:t>
            </w:r>
          </w:p>
        </w:tc>
        <w:tc>
          <w:tcPr>
            <w:tcW w:w="709" w:type="dxa"/>
            <w:tcBorders>
              <w:top w:val="single" w:color="auto" w:sz="4" w:space="0"/>
              <w:left w:val="nil"/>
              <w:bottom w:val="single" w:color="auto" w:sz="4" w:space="0"/>
              <w:right w:val="single" w:color="000000" w:sz="4" w:space="0"/>
            </w:tcBorders>
            <w:vAlign w:val="center"/>
          </w:tcPr>
          <w:p>
            <w:pPr>
              <w:adjustRightInd w:val="0"/>
              <w:snapToGrid w:val="0"/>
              <w:jc w:val="center"/>
              <w:rPr>
                <w:b/>
                <w:color w:val="auto"/>
                <w:sz w:val="21"/>
                <w:szCs w:val="21"/>
              </w:rPr>
            </w:pPr>
            <w:r>
              <w:rPr>
                <w:b/>
                <w:color w:val="auto"/>
                <w:sz w:val="21"/>
                <w:szCs w:val="21"/>
              </w:rPr>
              <w:t>U3</w:t>
            </w:r>
          </w:p>
        </w:tc>
        <w:tc>
          <w:tcPr>
            <w:tcW w:w="748" w:type="dxa"/>
            <w:tcBorders>
              <w:top w:val="single" w:color="auto" w:sz="4" w:space="0"/>
              <w:left w:val="nil"/>
              <w:bottom w:val="single" w:color="000000" w:sz="4" w:space="0"/>
              <w:right w:val="single" w:color="000000" w:sz="4" w:space="0"/>
            </w:tcBorders>
            <w:vAlign w:val="center"/>
          </w:tcPr>
          <w:p>
            <w:pPr>
              <w:adjustRightInd w:val="0"/>
              <w:snapToGrid w:val="0"/>
              <w:jc w:val="center"/>
              <w:rPr>
                <w:b/>
                <w:color w:val="auto"/>
                <w:sz w:val="21"/>
                <w:szCs w:val="21"/>
              </w:rPr>
            </w:pPr>
            <w:r>
              <w:rPr>
                <w:b/>
                <w:color w:val="auto"/>
                <w:sz w:val="21"/>
                <w:szCs w:val="21"/>
              </w:rPr>
              <w:t>U4</w:t>
            </w:r>
          </w:p>
        </w:tc>
        <w:tc>
          <w:tcPr>
            <w:tcW w:w="669" w:type="dxa"/>
            <w:tcBorders>
              <w:top w:val="single" w:color="auto" w:sz="4" w:space="0"/>
              <w:left w:val="nil"/>
              <w:bottom w:val="single" w:color="000000" w:sz="4" w:space="0"/>
              <w:right w:val="single" w:color="000000" w:sz="4" w:space="0"/>
            </w:tcBorders>
            <w:vAlign w:val="center"/>
          </w:tcPr>
          <w:p>
            <w:pPr>
              <w:adjustRightInd w:val="0"/>
              <w:snapToGrid w:val="0"/>
              <w:jc w:val="center"/>
              <w:rPr>
                <w:b/>
                <w:color w:val="auto"/>
                <w:sz w:val="21"/>
                <w:szCs w:val="21"/>
              </w:rPr>
            </w:pPr>
            <w:r>
              <w:rPr>
                <w:b/>
                <w:color w:val="auto"/>
                <w:sz w:val="21"/>
                <w:szCs w:val="21"/>
              </w:rPr>
              <w:t>U5</w:t>
            </w:r>
          </w:p>
        </w:tc>
        <w:tc>
          <w:tcPr>
            <w:tcW w:w="1134" w:type="dxa"/>
            <w:vMerge w:val="continue"/>
            <w:tcBorders>
              <w:top w:val="single" w:color="auto" w:sz="4" w:space="0"/>
              <w:left w:val="nil"/>
              <w:bottom w:val="single" w:color="000000" w:sz="4" w:space="0"/>
              <w:right w:val="single" w:color="000000" w:sz="4" w:space="0"/>
            </w:tcBorders>
            <w:vAlign w:val="center"/>
          </w:tcPr>
          <w:p>
            <w:pPr>
              <w:widowControl/>
              <w:adjustRightInd w:val="0"/>
              <w:snapToGrid w:val="0"/>
              <w:jc w:val="center"/>
              <w:rPr>
                <w:color w:val="auto"/>
                <w:sz w:val="21"/>
                <w:szCs w:val="21"/>
              </w:rPr>
            </w:pPr>
          </w:p>
        </w:tc>
        <w:tc>
          <w:tcPr>
            <w:tcW w:w="791" w:type="dxa"/>
            <w:vMerge w:val="continue"/>
            <w:tcBorders>
              <w:top w:val="single" w:color="auto" w:sz="4" w:space="0"/>
              <w:left w:val="nil"/>
              <w:bottom w:val="single" w:color="000000" w:sz="4" w:space="0"/>
              <w:right w:val="single" w:color="000000" w:sz="4" w:space="0"/>
            </w:tcBorders>
            <w:vAlign w:val="center"/>
          </w:tcPr>
          <w:p>
            <w:pPr>
              <w:widowControl/>
              <w:adjustRightInd w:val="0"/>
              <w:snapToGrid w:val="0"/>
              <w:jc w:val="center"/>
              <w:rPr>
                <w:color w:val="auto"/>
                <w:sz w:val="21"/>
                <w:szCs w:val="21"/>
              </w:rPr>
            </w:pPr>
          </w:p>
        </w:tc>
        <w:tc>
          <w:tcPr>
            <w:tcW w:w="555" w:type="dxa"/>
            <w:vMerge w:val="continue"/>
            <w:tcBorders>
              <w:top w:val="single" w:color="auto" w:sz="4" w:space="0"/>
              <w:left w:val="nil"/>
              <w:bottom w:val="single" w:color="000000" w:sz="4" w:space="0"/>
              <w:right w:val="single" w:color="000000" w:sz="4" w:space="0"/>
            </w:tcBorders>
            <w:vAlign w:val="center"/>
          </w:tcPr>
          <w:p>
            <w:pPr>
              <w:widowControl/>
              <w:adjustRightInd w:val="0"/>
              <w:snapToGrid w:val="0"/>
              <w:jc w:val="cente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 w:hRule="atLeast"/>
          <w:jc w:val="center"/>
        </w:trPr>
        <w:tc>
          <w:tcPr>
            <w:tcW w:w="2964" w:type="dxa"/>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pH</w:t>
            </w:r>
            <w:r>
              <w:rPr>
                <w:rFonts w:hAnsi="宋体"/>
                <w:color w:val="auto"/>
                <w:sz w:val="21"/>
                <w:szCs w:val="21"/>
              </w:rPr>
              <w:t>（现场测试结果）</w:t>
            </w:r>
          </w:p>
        </w:tc>
        <w:tc>
          <w:tcPr>
            <w:tcW w:w="850" w:type="dxa"/>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6.65</w:t>
            </w:r>
          </w:p>
        </w:tc>
        <w:tc>
          <w:tcPr>
            <w:tcW w:w="709" w:type="dxa"/>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6.51</w:t>
            </w:r>
          </w:p>
        </w:tc>
        <w:tc>
          <w:tcPr>
            <w:tcW w:w="709" w:type="dxa"/>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6.58</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6.61</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6.67</w:t>
            </w:r>
          </w:p>
        </w:tc>
        <w:tc>
          <w:tcPr>
            <w:tcW w:w="1134" w:type="dxa"/>
            <w:vMerge w:val="restart"/>
            <w:tcBorders>
              <w:top w:val="single" w:color="000000" w:sz="4" w:space="0"/>
              <w:left w:val="nil"/>
              <w:right w:val="single" w:color="000000" w:sz="4" w:space="0"/>
            </w:tcBorders>
            <w:vAlign w:val="center"/>
          </w:tcPr>
          <w:p>
            <w:pPr>
              <w:adjustRightInd w:val="0"/>
              <w:snapToGrid w:val="0"/>
              <w:jc w:val="center"/>
              <w:rPr>
                <w:color w:val="auto"/>
                <w:sz w:val="21"/>
                <w:szCs w:val="21"/>
              </w:rPr>
            </w:pPr>
            <w:r>
              <w:rPr>
                <w:color w:val="auto"/>
                <w:sz w:val="21"/>
                <w:szCs w:val="21"/>
              </w:rPr>
              <w:t>6.5≤pH≤8.5</w:t>
            </w:r>
          </w:p>
        </w:tc>
        <w:tc>
          <w:tcPr>
            <w:tcW w:w="791" w:type="dxa"/>
            <w:vMerge w:val="restart"/>
            <w:tcBorders>
              <w:top w:val="single" w:color="000000" w:sz="4" w:space="0"/>
              <w:left w:val="nil"/>
              <w:right w:val="single" w:color="000000" w:sz="4" w:space="0"/>
            </w:tcBorders>
            <w:vAlign w:val="center"/>
          </w:tcPr>
          <w:p>
            <w:pPr>
              <w:adjustRightInd w:val="0"/>
              <w:snapToGrid w:val="0"/>
              <w:jc w:val="center"/>
              <w:rPr>
                <w:color w:val="auto"/>
                <w:sz w:val="21"/>
                <w:szCs w:val="21"/>
              </w:rPr>
            </w:pPr>
            <w:r>
              <w:rPr>
                <w:rFonts w:hAnsi="宋体"/>
                <w:color w:val="auto"/>
                <w:sz w:val="21"/>
                <w:szCs w:val="21"/>
              </w:rPr>
              <w:t>无量纲</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 w:hRule="atLeast"/>
          <w:jc w:val="center"/>
        </w:trPr>
        <w:tc>
          <w:tcPr>
            <w:tcW w:w="2964" w:type="dxa"/>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pH</w:t>
            </w:r>
            <w:r>
              <w:rPr>
                <w:rFonts w:hAnsi="宋体"/>
                <w:color w:val="auto"/>
                <w:sz w:val="21"/>
                <w:szCs w:val="21"/>
              </w:rPr>
              <w:t>（实验室测试结果）</w:t>
            </w:r>
          </w:p>
        </w:tc>
        <w:tc>
          <w:tcPr>
            <w:tcW w:w="850" w:type="dxa"/>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6.60</w:t>
            </w:r>
          </w:p>
        </w:tc>
        <w:tc>
          <w:tcPr>
            <w:tcW w:w="709" w:type="dxa"/>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6.54</w:t>
            </w:r>
          </w:p>
        </w:tc>
        <w:tc>
          <w:tcPr>
            <w:tcW w:w="709" w:type="dxa"/>
            <w:tcBorders>
              <w:top w:val="single" w:color="auto"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6.51</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6.55</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6.61</w:t>
            </w:r>
          </w:p>
        </w:tc>
        <w:tc>
          <w:tcPr>
            <w:tcW w:w="1134" w:type="dxa"/>
            <w:vMerge w:val="continue"/>
            <w:tcBorders>
              <w:left w:val="nil"/>
              <w:bottom w:val="single" w:color="000000" w:sz="4" w:space="0"/>
              <w:right w:val="single" w:color="000000" w:sz="4" w:space="0"/>
            </w:tcBorders>
            <w:vAlign w:val="center"/>
          </w:tcPr>
          <w:p>
            <w:pPr>
              <w:adjustRightInd w:val="0"/>
              <w:snapToGrid w:val="0"/>
              <w:jc w:val="center"/>
              <w:rPr>
                <w:color w:val="auto"/>
                <w:sz w:val="21"/>
                <w:szCs w:val="21"/>
              </w:rPr>
            </w:pPr>
          </w:p>
        </w:tc>
        <w:tc>
          <w:tcPr>
            <w:tcW w:w="791" w:type="dxa"/>
            <w:vMerge w:val="continue"/>
            <w:tcBorders>
              <w:left w:val="nil"/>
              <w:bottom w:val="single" w:color="000000" w:sz="4" w:space="0"/>
              <w:right w:val="single" w:color="000000" w:sz="4" w:space="0"/>
            </w:tcBorders>
            <w:vAlign w:val="center"/>
          </w:tcPr>
          <w:p>
            <w:pPr>
              <w:adjustRightInd w:val="0"/>
              <w:snapToGrid w:val="0"/>
              <w:jc w:val="center"/>
              <w:rPr>
                <w:color w:val="auto"/>
                <w:sz w:val="21"/>
                <w:szCs w:val="21"/>
              </w:rPr>
            </w:pP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氨氮（以</w:t>
            </w:r>
            <w:r>
              <w:rPr>
                <w:color w:val="auto"/>
                <w:sz w:val="21"/>
                <w:szCs w:val="21"/>
              </w:rPr>
              <w:t>N</w:t>
            </w:r>
            <w:r>
              <w:rPr>
                <w:rFonts w:hAnsi="宋体"/>
                <w:color w:val="auto"/>
                <w:sz w:val="21"/>
                <w:szCs w:val="21"/>
              </w:rPr>
              <w:t>计</w:t>
            </w:r>
            <w:r>
              <w:rPr>
                <w:color w:val="auto"/>
                <w:sz w:val="21"/>
                <w:szCs w:val="21"/>
              </w:rPr>
              <w:t>)</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0.151</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0.180</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0.232</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0.303</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0.220</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≤0.50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硝酸盐（以</w:t>
            </w:r>
            <w:r>
              <w:rPr>
                <w:color w:val="auto"/>
                <w:sz w:val="21"/>
                <w:szCs w:val="21"/>
              </w:rPr>
              <w:t>N</w:t>
            </w:r>
            <w:r>
              <w:rPr>
                <w:rFonts w:hAnsi="宋体"/>
                <w:color w:val="auto"/>
                <w:sz w:val="21"/>
                <w:szCs w:val="21"/>
              </w:rPr>
              <w:t>计</w:t>
            </w:r>
            <w:r>
              <w:rPr>
                <w:color w:val="auto"/>
                <w:sz w:val="21"/>
                <w:szCs w:val="21"/>
              </w:rPr>
              <w:t>)</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2.2</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1.5</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2.1</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3.0</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1.9</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亚硝酸盐（以</w:t>
            </w:r>
            <w:r>
              <w:rPr>
                <w:color w:val="auto"/>
                <w:sz w:val="21"/>
                <w:szCs w:val="21"/>
              </w:rPr>
              <w:t>N</w:t>
            </w:r>
            <w:r>
              <w:rPr>
                <w:rFonts w:hAnsi="宋体"/>
                <w:color w:val="auto"/>
                <w:sz w:val="21"/>
                <w:szCs w:val="21"/>
              </w:rPr>
              <w:t>计</w:t>
            </w:r>
            <w:r>
              <w:rPr>
                <w:color w:val="auto"/>
                <w:sz w:val="21"/>
                <w:szCs w:val="21"/>
              </w:rPr>
              <w:t>)</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挥发酚（以苯酚计</w:t>
            </w:r>
            <w:r>
              <w:rPr>
                <w:color w:val="auto"/>
                <w:sz w:val="21"/>
                <w:szCs w:val="21"/>
              </w:rPr>
              <w:t>)</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≤0.002</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氰化物</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≤0.05</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砷</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≤0.01</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汞</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≤0.001</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六价铬</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≤0.05</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总硬度（以</w:t>
            </w:r>
            <w:r>
              <w:rPr>
                <w:color w:val="auto"/>
                <w:sz w:val="21"/>
                <w:szCs w:val="21"/>
              </w:rPr>
              <w:t>CaCO</w:t>
            </w:r>
            <w:r>
              <w:rPr>
                <w:color w:val="auto"/>
                <w:sz w:val="21"/>
                <w:szCs w:val="21"/>
                <w:vertAlign w:val="subscript"/>
              </w:rPr>
              <w:t>3</w:t>
            </w:r>
            <w:r>
              <w:rPr>
                <w:rFonts w:hAnsi="宋体"/>
                <w:color w:val="auto"/>
                <w:sz w:val="21"/>
                <w:szCs w:val="21"/>
              </w:rPr>
              <w:t>计</w:t>
            </w:r>
            <w:r>
              <w:rPr>
                <w:color w:val="auto"/>
                <w:sz w:val="21"/>
                <w:szCs w:val="21"/>
              </w:rPr>
              <w:t>)</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110</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105</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132</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128</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136</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≤450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铅</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≤0.01</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氟化物</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0.12</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0.15</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0.20</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0.11</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0.20</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镉</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≤0.005</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铁</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0.10</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0.09</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0.11</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0.12</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0.14</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≤0.3</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锰</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≤0.10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溶解性总固体</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210</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246</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195</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253</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209</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≤1000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耗氧量（以</w:t>
            </w:r>
            <w:r>
              <w:rPr>
                <w:color w:val="auto"/>
                <w:sz w:val="21"/>
                <w:szCs w:val="21"/>
              </w:rPr>
              <w:t>COD</w:t>
            </w:r>
            <w:r>
              <w:rPr>
                <w:color w:val="auto"/>
                <w:sz w:val="21"/>
                <w:szCs w:val="21"/>
                <w:vertAlign w:val="subscript"/>
              </w:rPr>
              <w:t>MN</w:t>
            </w:r>
            <w:r>
              <w:rPr>
                <w:rFonts w:hAnsi="宋体"/>
                <w:color w:val="auto"/>
                <w:sz w:val="21"/>
                <w:szCs w:val="21"/>
              </w:rPr>
              <w:t>法，以</w:t>
            </w:r>
            <w:r>
              <w:rPr>
                <w:color w:val="auto"/>
                <w:sz w:val="21"/>
                <w:szCs w:val="21"/>
              </w:rPr>
              <w:t>O</w:t>
            </w:r>
            <w:r>
              <w:rPr>
                <w:color w:val="auto"/>
                <w:sz w:val="21"/>
                <w:szCs w:val="21"/>
                <w:vertAlign w:val="subscript"/>
              </w:rPr>
              <w:t>2</w:t>
            </w:r>
            <w:r>
              <w:rPr>
                <w:rFonts w:hAnsi="宋体"/>
                <w:color w:val="auto"/>
                <w:sz w:val="21"/>
                <w:szCs w:val="21"/>
              </w:rPr>
              <w:t>计</w:t>
            </w:r>
            <w:r>
              <w:rPr>
                <w:color w:val="auto"/>
                <w:sz w:val="21"/>
                <w:szCs w:val="21"/>
              </w:rPr>
              <w:t>)</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1.25</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2.01</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1.88</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1.75</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1.56</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≤3.0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硫酸盐</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65</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74</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59</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80</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76</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≤250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氯化物</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106</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124</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137</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98</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101</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≤250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mg/L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总大肠菌群</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未检出</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≤3.0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MPN/100L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296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auto"/>
                <w:sz w:val="21"/>
                <w:szCs w:val="21"/>
              </w:rPr>
            </w:pPr>
            <w:r>
              <w:rPr>
                <w:rFonts w:hAnsi="宋体"/>
                <w:color w:val="auto"/>
                <w:sz w:val="21"/>
                <w:szCs w:val="21"/>
              </w:rPr>
              <w:t>细菌总数</w:t>
            </w:r>
          </w:p>
        </w:tc>
        <w:tc>
          <w:tcPr>
            <w:tcW w:w="850"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45</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37</w:t>
            </w:r>
          </w:p>
        </w:tc>
        <w:tc>
          <w:tcPr>
            <w:tcW w:w="70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59</w:t>
            </w:r>
          </w:p>
        </w:tc>
        <w:tc>
          <w:tcPr>
            <w:tcW w:w="748"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46</w:t>
            </w:r>
          </w:p>
        </w:tc>
        <w:tc>
          <w:tcPr>
            <w:tcW w:w="669"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60</w:t>
            </w:r>
          </w:p>
        </w:tc>
        <w:tc>
          <w:tcPr>
            <w:tcW w:w="1134"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≤100</w:t>
            </w:r>
          </w:p>
        </w:tc>
        <w:tc>
          <w:tcPr>
            <w:tcW w:w="791"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sz w:val="21"/>
                <w:szCs w:val="21"/>
              </w:rPr>
            </w:pPr>
            <w:r>
              <w:rPr>
                <w:color w:val="auto"/>
                <w:sz w:val="21"/>
                <w:szCs w:val="21"/>
              </w:rPr>
              <w:t>CFU/mL</w:t>
            </w:r>
          </w:p>
        </w:tc>
        <w:tc>
          <w:tcPr>
            <w:tcW w:w="555" w:type="dxa"/>
            <w:tcBorders>
              <w:top w:val="single" w:color="000000" w:sz="4" w:space="0"/>
              <w:left w:val="nil"/>
              <w:bottom w:val="single" w:color="000000" w:sz="4" w:space="0"/>
              <w:right w:val="single" w:color="000000" w:sz="4" w:space="0"/>
            </w:tcBorders>
            <w:vAlign w:val="center"/>
          </w:tcPr>
          <w:p>
            <w:pPr>
              <w:adjustRightInd w:val="0"/>
              <w:snapToGrid w:val="0"/>
              <w:jc w:val="center"/>
              <w:rPr>
                <w:color w:val="auto"/>
                <w:kern w:val="0"/>
                <w:sz w:val="21"/>
                <w:szCs w:val="21"/>
              </w:rPr>
            </w:pPr>
            <w:r>
              <w:rPr>
                <w:rFonts w:hAnsi="宋体"/>
                <w:color w:val="auto"/>
                <w:kern w:val="0"/>
                <w:sz w:val="21"/>
                <w:szCs w:val="21"/>
              </w:rPr>
              <w:t>达标</w:t>
            </w:r>
          </w:p>
        </w:tc>
      </w:tr>
    </w:tbl>
    <w:p>
      <w:pPr>
        <w:spacing w:line="360" w:lineRule="auto"/>
        <w:jc w:val="center"/>
        <w:rPr>
          <w:b/>
          <w:color w:val="auto"/>
          <w:sz w:val="24"/>
          <w:szCs w:val="24"/>
        </w:rPr>
      </w:pPr>
      <w:r>
        <w:rPr>
          <w:rFonts w:hint="eastAsia"/>
          <w:b/>
          <w:color w:val="auto"/>
          <w:sz w:val="24"/>
          <w:szCs w:val="24"/>
        </w:rPr>
        <w:t>表4-2-8   地下水水位监测结果</w:t>
      </w:r>
    </w:p>
    <w:tbl>
      <w:tblPr>
        <w:tblStyle w:val="28"/>
        <w:tblW w:w="8613" w:type="dxa"/>
        <w:tblInd w:w="0" w:type="dxa"/>
        <w:tblLayout w:type="fixed"/>
        <w:tblCellMar>
          <w:top w:w="0" w:type="dxa"/>
          <w:left w:w="108" w:type="dxa"/>
          <w:bottom w:w="0" w:type="dxa"/>
          <w:right w:w="108" w:type="dxa"/>
        </w:tblCellMar>
      </w:tblPr>
      <w:tblGrid>
        <w:gridCol w:w="2917"/>
        <w:gridCol w:w="5696"/>
      </w:tblGrid>
      <w:tr>
        <w:tblPrEx>
          <w:tblCellMar>
            <w:top w:w="0" w:type="dxa"/>
            <w:left w:w="108" w:type="dxa"/>
            <w:bottom w:w="0" w:type="dxa"/>
            <w:right w:w="108" w:type="dxa"/>
          </w:tblCellMar>
        </w:tblPrEx>
        <w:trPr>
          <w:trHeight w:val="64"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b/>
                <w:color w:val="auto"/>
                <w:sz w:val="21"/>
                <w:szCs w:val="21"/>
              </w:rPr>
            </w:pPr>
            <w:bookmarkStart w:id="123" w:name="_Toc484441183"/>
            <w:bookmarkStart w:id="124" w:name="_Toc485676670"/>
            <w:r>
              <w:rPr>
                <w:b/>
                <w:color w:val="auto"/>
                <w:sz w:val="21"/>
                <w:szCs w:val="21"/>
              </w:rPr>
              <w:t>编号</w:t>
            </w:r>
            <w:bookmarkEnd w:id="123"/>
            <w:bookmarkEnd w:id="124"/>
          </w:p>
        </w:tc>
        <w:tc>
          <w:tcPr>
            <w:tcW w:w="5696" w:type="dxa"/>
            <w:tcBorders>
              <w:top w:val="single" w:color="auto" w:sz="4" w:space="0"/>
              <w:left w:val="nil"/>
              <w:bottom w:val="single" w:color="auto" w:sz="4" w:space="0"/>
              <w:right w:val="single" w:color="auto" w:sz="4" w:space="0"/>
            </w:tcBorders>
            <w:vAlign w:val="center"/>
          </w:tcPr>
          <w:p>
            <w:pPr>
              <w:jc w:val="center"/>
              <w:rPr>
                <w:b/>
                <w:color w:val="auto"/>
                <w:sz w:val="21"/>
                <w:szCs w:val="21"/>
              </w:rPr>
            </w:pPr>
            <w:bookmarkStart w:id="125" w:name="_Toc485676672"/>
            <w:bookmarkStart w:id="126" w:name="_Toc484441185"/>
            <w:r>
              <w:rPr>
                <w:b/>
                <w:color w:val="auto"/>
                <w:sz w:val="21"/>
                <w:szCs w:val="21"/>
              </w:rPr>
              <w:t>地下水位（m）</w:t>
            </w:r>
            <w:bookmarkEnd w:id="125"/>
            <w:bookmarkEnd w:id="126"/>
          </w:p>
        </w:tc>
      </w:tr>
      <w:tr>
        <w:tblPrEx>
          <w:tblCellMar>
            <w:top w:w="0" w:type="dxa"/>
            <w:left w:w="108" w:type="dxa"/>
            <w:bottom w:w="0" w:type="dxa"/>
            <w:right w:w="108" w:type="dxa"/>
          </w:tblCellMar>
        </w:tblPrEx>
        <w:trPr>
          <w:trHeight w:val="64"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U1</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4.23</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U2</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4.66</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U3</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5.12</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U4</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1.8</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U5</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6.2</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U6</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5.6</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U7</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5.4</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U8</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4.39</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U9</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5.3</w:t>
            </w:r>
          </w:p>
        </w:tc>
      </w:tr>
      <w:tr>
        <w:tblPrEx>
          <w:tblCellMar>
            <w:top w:w="0" w:type="dxa"/>
            <w:left w:w="108" w:type="dxa"/>
            <w:bottom w:w="0" w:type="dxa"/>
            <w:right w:w="108" w:type="dxa"/>
          </w:tblCellMar>
        </w:tblPrEx>
        <w:trPr>
          <w:trHeight w:val="50" w:hRule="atLeast"/>
        </w:trPr>
        <w:tc>
          <w:tcPr>
            <w:tcW w:w="2917"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U10</w:t>
            </w:r>
          </w:p>
        </w:tc>
        <w:tc>
          <w:tcPr>
            <w:tcW w:w="5696"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21"/>
                <w:szCs w:val="21"/>
                <w:highlight w:val="yellow"/>
              </w:rPr>
            </w:pPr>
            <w:r>
              <w:rPr>
                <w:color w:val="auto"/>
                <w:kern w:val="0"/>
                <w:sz w:val="21"/>
                <w:szCs w:val="21"/>
              </w:rPr>
              <w:t>4.21</w:t>
            </w:r>
          </w:p>
        </w:tc>
      </w:tr>
    </w:tbl>
    <w:p>
      <w:pPr>
        <w:spacing w:line="360" w:lineRule="auto"/>
        <w:ind w:firstLine="480" w:firstLineChars="200"/>
        <w:jc w:val="left"/>
        <w:rPr>
          <w:color w:val="auto"/>
          <w:sz w:val="24"/>
          <w:szCs w:val="24"/>
        </w:rPr>
      </w:pPr>
      <w:r>
        <w:rPr>
          <w:rFonts w:hint="eastAsia"/>
          <w:color w:val="auto"/>
          <w:sz w:val="24"/>
          <w:szCs w:val="24"/>
        </w:rPr>
        <w:t>根据监测数据统计结果，各监测点位各监测指标均能达到《地下水质量标准》（GB14848-2017）Ⅲ类水质标准。</w:t>
      </w:r>
    </w:p>
    <w:p>
      <w:pPr>
        <w:pStyle w:val="4"/>
        <w:rPr>
          <w:color w:val="auto"/>
        </w:rPr>
      </w:pPr>
      <w:bookmarkStart w:id="127" w:name="_Toc26276849"/>
      <w:r>
        <w:rPr>
          <w:rFonts w:hint="eastAsia"/>
          <w:color w:val="auto"/>
        </w:rPr>
        <w:t>4.2.4声环境质量现状监测及评价</w:t>
      </w:r>
      <w:bookmarkEnd w:id="127"/>
    </w:p>
    <w:p>
      <w:pPr>
        <w:spacing w:line="360" w:lineRule="auto"/>
        <w:ind w:firstLine="480" w:firstLineChars="200"/>
        <w:rPr>
          <w:color w:val="auto"/>
          <w:sz w:val="24"/>
          <w:szCs w:val="24"/>
        </w:rPr>
      </w:pPr>
      <w:r>
        <w:rPr>
          <w:rFonts w:hint="eastAsia"/>
          <w:color w:val="auto"/>
          <w:sz w:val="24"/>
          <w:szCs w:val="24"/>
        </w:rPr>
        <w:t>为了解本项目建设前所在地及周围地区的声环境质量现状，建设单位委托梅州森海洋环保工程有限公司负责本项目的声环境质量现状调查工作。</w:t>
      </w:r>
    </w:p>
    <w:p>
      <w:pPr>
        <w:spacing w:line="360" w:lineRule="auto"/>
        <w:ind w:firstLine="482" w:firstLineChars="200"/>
        <w:rPr>
          <w:b/>
          <w:color w:val="auto"/>
          <w:sz w:val="24"/>
          <w:szCs w:val="24"/>
        </w:rPr>
      </w:pPr>
      <w:r>
        <w:rPr>
          <w:rFonts w:hint="eastAsia"/>
          <w:b/>
          <w:color w:val="auto"/>
          <w:sz w:val="24"/>
          <w:szCs w:val="24"/>
        </w:rPr>
        <w:t>1、监测布点</w:t>
      </w:r>
    </w:p>
    <w:p>
      <w:pPr>
        <w:spacing w:line="360" w:lineRule="auto"/>
        <w:ind w:firstLine="480" w:firstLineChars="200"/>
        <w:rPr>
          <w:color w:val="auto"/>
          <w:sz w:val="24"/>
          <w:szCs w:val="24"/>
        </w:rPr>
      </w:pPr>
      <w:r>
        <w:rPr>
          <w:rFonts w:hint="eastAsia"/>
          <w:color w:val="auto"/>
          <w:sz w:val="24"/>
          <w:szCs w:val="24"/>
        </w:rPr>
        <w:t>根据《环境影响评价技术导则 声环境》（HJ2.4-2009）中“布点应覆盖整个评价范围，包括厂界（或场界、边界）和敏感目标”，本次在项目边界东、南、西、北边界外1米，布设N1~N4监测点，在项目东南侧化裕村处布设N5，各监测点具体位置见表4-2-9和图4-2-1。</w:t>
      </w:r>
    </w:p>
    <w:p>
      <w:pPr>
        <w:spacing w:line="360" w:lineRule="auto"/>
        <w:jc w:val="center"/>
        <w:rPr>
          <w:b/>
          <w:color w:val="auto"/>
          <w:sz w:val="24"/>
          <w:szCs w:val="24"/>
        </w:rPr>
      </w:pPr>
      <w:r>
        <w:rPr>
          <w:rFonts w:hint="eastAsia"/>
          <w:b/>
          <w:color w:val="auto"/>
          <w:sz w:val="24"/>
          <w:szCs w:val="24"/>
        </w:rPr>
        <w:t>表4-2-9   环境噪声质量监测布设</w:t>
      </w:r>
    </w:p>
    <w:tbl>
      <w:tblPr>
        <w:tblStyle w:val="28"/>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720"/>
        <w:gridCol w:w="1608"/>
        <w:gridCol w:w="2136"/>
        <w:gridCol w:w="1961"/>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363" w:type="dxa"/>
            <w:vAlign w:val="center"/>
          </w:tcPr>
          <w:p>
            <w:pPr>
              <w:jc w:val="center"/>
              <w:rPr>
                <w:b/>
                <w:bCs/>
                <w:color w:val="auto"/>
                <w:sz w:val="21"/>
                <w:szCs w:val="21"/>
              </w:rPr>
            </w:pPr>
            <w:r>
              <w:rPr>
                <w:rFonts w:hint="eastAsia"/>
                <w:b/>
                <w:bCs/>
                <w:color w:val="auto"/>
                <w:sz w:val="21"/>
                <w:szCs w:val="21"/>
              </w:rPr>
              <w:t>类型</w:t>
            </w:r>
          </w:p>
        </w:tc>
        <w:tc>
          <w:tcPr>
            <w:tcW w:w="720" w:type="dxa"/>
            <w:vAlign w:val="center"/>
          </w:tcPr>
          <w:p>
            <w:pPr>
              <w:jc w:val="center"/>
              <w:rPr>
                <w:b/>
                <w:bCs/>
                <w:color w:val="auto"/>
                <w:sz w:val="21"/>
                <w:szCs w:val="21"/>
              </w:rPr>
            </w:pPr>
            <w:r>
              <w:rPr>
                <w:rFonts w:hAnsi="宋体"/>
                <w:b/>
                <w:bCs/>
                <w:color w:val="auto"/>
                <w:sz w:val="21"/>
                <w:szCs w:val="21"/>
              </w:rPr>
              <w:t>序号</w:t>
            </w:r>
          </w:p>
        </w:tc>
        <w:tc>
          <w:tcPr>
            <w:tcW w:w="1608" w:type="dxa"/>
            <w:vAlign w:val="center"/>
          </w:tcPr>
          <w:p>
            <w:pPr>
              <w:jc w:val="center"/>
              <w:rPr>
                <w:b/>
                <w:bCs/>
                <w:color w:val="auto"/>
                <w:sz w:val="21"/>
                <w:szCs w:val="21"/>
              </w:rPr>
            </w:pPr>
            <w:r>
              <w:rPr>
                <w:rFonts w:hAnsi="宋体"/>
                <w:b/>
                <w:bCs/>
                <w:color w:val="auto"/>
                <w:sz w:val="21"/>
                <w:szCs w:val="21"/>
              </w:rPr>
              <w:t>名称</w:t>
            </w:r>
          </w:p>
        </w:tc>
        <w:tc>
          <w:tcPr>
            <w:tcW w:w="2136" w:type="dxa"/>
            <w:vAlign w:val="center"/>
          </w:tcPr>
          <w:p>
            <w:pPr>
              <w:jc w:val="center"/>
              <w:rPr>
                <w:b/>
                <w:bCs/>
                <w:color w:val="auto"/>
                <w:sz w:val="21"/>
                <w:szCs w:val="21"/>
              </w:rPr>
            </w:pPr>
            <w:r>
              <w:rPr>
                <w:rFonts w:hAnsi="宋体"/>
                <w:b/>
                <w:bCs/>
                <w:color w:val="auto"/>
                <w:sz w:val="21"/>
                <w:szCs w:val="21"/>
              </w:rPr>
              <w:t>监测时段、监测因子</w:t>
            </w:r>
          </w:p>
        </w:tc>
        <w:tc>
          <w:tcPr>
            <w:tcW w:w="1961" w:type="dxa"/>
            <w:vAlign w:val="center"/>
          </w:tcPr>
          <w:p>
            <w:pPr>
              <w:jc w:val="center"/>
              <w:rPr>
                <w:b/>
                <w:bCs/>
                <w:color w:val="auto"/>
                <w:sz w:val="21"/>
                <w:szCs w:val="21"/>
              </w:rPr>
            </w:pPr>
            <w:r>
              <w:rPr>
                <w:rFonts w:hAnsi="宋体"/>
                <w:b/>
                <w:bCs/>
                <w:color w:val="auto"/>
                <w:sz w:val="21"/>
                <w:szCs w:val="21"/>
              </w:rPr>
              <w:t>监测点位说明</w:t>
            </w:r>
          </w:p>
        </w:tc>
        <w:tc>
          <w:tcPr>
            <w:tcW w:w="1068" w:type="dxa"/>
            <w:vAlign w:val="center"/>
          </w:tcPr>
          <w:p>
            <w:pPr>
              <w:jc w:val="center"/>
              <w:rPr>
                <w:b/>
                <w:bCs/>
                <w:color w:val="auto"/>
                <w:sz w:val="21"/>
                <w:szCs w:val="21"/>
              </w:rPr>
            </w:pPr>
            <w:r>
              <w:rPr>
                <w:rFonts w:hAnsi="宋体"/>
                <w:b/>
                <w:bCs/>
                <w:color w:val="auto"/>
                <w:sz w:val="21"/>
                <w:szCs w:val="21"/>
              </w:rPr>
              <w:t>功能区划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363" w:type="dxa"/>
            <w:vMerge w:val="restart"/>
            <w:vAlign w:val="center"/>
          </w:tcPr>
          <w:p>
            <w:pPr>
              <w:jc w:val="center"/>
              <w:rPr>
                <w:color w:val="auto"/>
                <w:sz w:val="21"/>
                <w:szCs w:val="21"/>
              </w:rPr>
            </w:pPr>
            <w:r>
              <w:rPr>
                <w:rFonts w:hAnsi="宋体"/>
                <w:color w:val="auto"/>
                <w:sz w:val="21"/>
                <w:szCs w:val="21"/>
              </w:rPr>
              <w:t>厂界监测</w:t>
            </w:r>
          </w:p>
        </w:tc>
        <w:tc>
          <w:tcPr>
            <w:tcW w:w="720" w:type="dxa"/>
            <w:vAlign w:val="center"/>
          </w:tcPr>
          <w:p>
            <w:pPr>
              <w:jc w:val="center"/>
              <w:rPr>
                <w:color w:val="auto"/>
                <w:sz w:val="21"/>
                <w:szCs w:val="21"/>
              </w:rPr>
            </w:pPr>
            <w:r>
              <w:rPr>
                <w:color w:val="auto"/>
                <w:sz w:val="21"/>
                <w:szCs w:val="21"/>
              </w:rPr>
              <w:t>N</w:t>
            </w:r>
            <w:r>
              <w:rPr>
                <w:color w:val="auto"/>
                <w:sz w:val="21"/>
                <w:szCs w:val="21"/>
                <w:vertAlign w:val="subscript"/>
              </w:rPr>
              <w:t>1</w:t>
            </w:r>
          </w:p>
        </w:tc>
        <w:tc>
          <w:tcPr>
            <w:tcW w:w="1608" w:type="dxa"/>
            <w:vAlign w:val="center"/>
          </w:tcPr>
          <w:p>
            <w:pPr>
              <w:jc w:val="center"/>
              <w:rPr>
                <w:color w:val="auto"/>
                <w:sz w:val="21"/>
                <w:szCs w:val="21"/>
              </w:rPr>
            </w:pPr>
            <w:r>
              <w:rPr>
                <w:rFonts w:hAnsi="宋体"/>
                <w:color w:val="auto"/>
                <w:sz w:val="21"/>
                <w:szCs w:val="21"/>
              </w:rPr>
              <w:t>场地东厂界</w:t>
            </w:r>
          </w:p>
        </w:tc>
        <w:tc>
          <w:tcPr>
            <w:tcW w:w="2136" w:type="dxa"/>
            <w:vMerge w:val="restart"/>
            <w:vAlign w:val="center"/>
          </w:tcPr>
          <w:p>
            <w:pPr>
              <w:jc w:val="center"/>
              <w:rPr>
                <w:color w:val="auto"/>
                <w:sz w:val="21"/>
                <w:szCs w:val="21"/>
              </w:rPr>
            </w:pPr>
            <w:r>
              <w:rPr>
                <w:rFonts w:hAnsi="宋体"/>
                <w:color w:val="auto"/>
                <w:sz w:val="21"/>
                <w:szCs w:val="21"/>
              </w:rPr>
              <w:t>连续监测两天，分别监测昼间、夜间</w:t>
            </w:r>
            <w:r>
              <w:rPr>
                <w:color w:val="auto"/>
                <w:kern w:val="0"/>
                <w:sz w:val="21"/>
                <w:szCs w:val="21"/>
              </w:rPr>
              <w:t>L</w:t>
            </w:r>
            <w:r>
              <w:rPr>
                <w:color w:val="auto"/>
                <w:kern w:val="0"/>
                <w:sz w:val="21"/>
                <w:szCs w:val="21"/>
                <w:vertAlign w:val="subscript"/>
              </w:rPr>
              <w:t>Aeq</w:t>
            </w:r>
          </w:p>
          <w:p>
            <w:pPr>
              <w:jc w:val="center"/>
              <w:rPr>
                <w:color w:val="auto"/>
                <w:sz w:val="21"/>
                <w:szCs w:val="21"/>
              </w:rPr>
            </w:pPr>
          </w:p>
        </w:tc>
        <w:tc>
          <w:tcPr>
            <w:tcW w:w="1961" w:type="dxa"/>
            <w:vMerge w:val="restart"/>
            <w:vAlign w:val="center"/>
          </w:tcPr>
          <w:p>
            <w:pPr>
              <w:jc w:val="center"/>
              <w:rPr>
                <w:color w:val="auto"/>
                <w:sz w:val="21"/>
                <w:szCs w:val="21"/>
              </w:rPr>
            </w:pPr>
            <w:r>
              <w:rPr>
                <w:rFonts w:hAnsi="宋体"/>
                <w:color w:val="auto"/>
                <w:sz w:val="21"/>
                <w:szCs w:val="21"/>
              </w:rPr>
              <w:t>厂界噪声监测</w:t>
            </w:r>
          </w:p>
        </w:tc>
        <w:tc>
          <w:tcPr>
            <w:tcW w:w="1068" w:type="dxa"/>
            <w:vMerge w:val="restart"/>
            <w:vAlign w:val="center"/>
          </w:tcPr>
          <w:p>
            <w:pPr>
              <w:jc w:val="center"/>
              <w:rPr>
                <w:color w:val="auto"/>
                <w:sz w:val="21"/>
                <w:szCs w:val="21"/>
              </w:rPr>
            </w:pPr>
            <w:r>
              <w:rPr>
                <w:rFonts w:hint="eastAsia"/>
                <w:color w:val="auto"/>
                <w:sz w:val="21"/>
                <w:szCs w:val="21"/>
              </w:rPr>
              <w:t>2</w:t>
            </w:r>
            <w:r>
              <w:rPr>
                <w:rFonts w:hAnsi="宋体"/>
                <w:color w:val="auto"/>
                <w:sz w:val="21"/>
                <w:szCs w:val="21"/>
              </w:rPr>
              <w:t>类</w:t>
            </w:r>
          </w:p>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363" w:type="dxa"/>
            <w:vMerge w:val="continue"/>
            <w:vAlign w:val="center"/>
          </w:tcPr>
          <w:p>
            <w:pPr>
              <w:widowControl/>
              <w:jc w:val="center"/>
              <w:rPr>
                <w:color w:val="auto"/>
                <w:sz w:val="21"/>
                <w:szCs w:val="21"/>
              </w:rPr>
            </w:pPr>
          </w:p>
        </w:tc>
        <w:tc>
          <w:tcPr>
            <w:tcW w:w="720" w:type="dxa"/>
            <w:vAlign w:val="center"/>
          </w:tcPr>
          <w:p>
            <w:pPr>
              <w:jc w:val="center"/>
              <w:rPr>
                <w:color w:val="auto"/>
                <w:sz w:val="21"/>
                <w:szCs w:val="21"/>
              </w:rPr>
            </w:pPr>
            <w:r>
              <w:rPr>
                <w:color w:val="auto"/>
                <w:sz w:val="21"/>
                <w:szCs w:val="21"/>
              </w:rPr>
              <w:t>N</w:t>
            </w:r>
            <w:r>
              <w:rPr>
                <w:color w:val="auto"/>
                <w:sz w:val="21"/>
                <w:szCs w:val="21"/>
                <w:vertAlign w:val="subscript"/>
              </w:rPr>
              <w:t>2</w:t>
            </w:r>
          </w:p>
        </w:tc>
        <w:tc>
          <w:tcPr>
            <w:tcW w:w="1608" w:type="dxa"/>
            <w:vAlign w:val="center"/>
          </w:tcPr>
          <w:p>
            <w:pPr>
              <w:jc w:val="center"/>
              <w:rPr>
                <w:color w:val="auto"/>
                <w:sz w:val="21"/>
                <w:szCs w:val="21"/>
              </w:rPr>
            </w:pPr>
            <w:r>
              <w:rPr>
                <w:rFonts w:hAnsi="宋体"/>
                <w:color w:val="auto"/>
                <w:sz w:val="21"/>
                <w:szCs w:val="21"/>
              </w:rPr>
              <w:t>场地南厂界</w:t>
            </w:r>
          </w:p>
        </w:tc>
        <w:tc>
          <w:tcPr>
            <w:tcW w:w="2136" w:type="dxa"/>
            <w:vMerge w:val="continue"/>
            <w:vAlign w:val="center"/>
          </w:tcPr>
          <w:p>
            <w:pPr>
              <w:jc w:val="center"/>
              <w:rPr>
                <w:color w:val="auto"/>
                <w:sz w:val="21"/>
                <w:szCs w:val="21"/>
              </w:rPr>
            </w:pPr>
          </w:p>
        </w:tc>
        <w:tc>
          <w:tcPr>
            <w:tcW w:w="1961" w:type="dxa"/>
            <w:vMerge w:val="continue"/>
            <w:vAlign w:val="center"/>
          </w:tcPr>
          <w:p>
            <w:pPr>
              <w:widowControl/>
              <w:jc w:val="center"/>
              <w:rPr>
                <w:color w:val="auto"/>
                <w:sz w:val="21"/>
                <w:szCs w:val="21"/>
              </w:rPr>
            </w:pPr>
          </w:p>
        </w:tc>
        <w:tc>
          <w:tcPr>
            <w:tcW w:w="1068"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363" w:type="dxa"/>
            <w:vMerge w:val="continue"/>
            <w:vAlign w:val="center"/>
          </w:tcPr>
          <w:p>
            <w:pPr>
              <w:widowControl/>
              <w:jc w:val="center"/>
              <w:rPr>
                <w:color w:val="auto"/>
                <w:sz w:val="21"/>
                <w:szCs w:val="21"/>
              </w:rPr>
            </w:pPr>
          </w:p>
        </w:tc>
        <w:tc>
          <w:tcPr>
            <w:tcW w:w="720" w:type="dxa"/>
            <w:vAlign w:val="center"/>
          </w:tcPr>
          <w:p>
            <w:pPr>
              <w:jc w:val="center"/>
              <w:rPr>
                <w:color w:val="auto"/>
                <w:sz w:val="21"/>
                <w:szCs w:val="21"/>
              </w:rPr>
            </w:pPr>
            <w:r>
              <w:rPr>
                <w:color w:val="auto"/>
                <w:sz w:val="21"/>
                <w:szCs w:val="21"/>
              </w:rPr>
              <w:t>N</w:t>
            </w:r>
            <w:r>
              <w:rPr>
                <w:color w:val="auto"/>
                <w:sz w:val="21"/>
                <w:szCs w:val="21"/>
                <w:vertAlign w:val="subscript"/>
              </w:rPr>
              <w:t>3</w:t>
            </w:r>
          </w:p>
        </w:tc>
        <w:tc>
          <w:tcPr>
            <w:tcW w:w="1608" w:type="dxa"/>
            <w:vAlign w:val="center"/>
          </w:tcPr>
          <w:p>
            <w:pPr>
              <w:jc w:val="center"/>
              <w:rPr>
                <w:color w:val="auto"/>
                <w:sz w:val="21"/>
                <w:szCs w:val="21"/>
              </w:rPr>
            </w:pPr>
            <w:r>
              <w:rPr>
                <w:rFonts w:hAnsi="宋体"/>
                <w:color w:val="auto"/>
                <w:sz w:val="21"/>
                <w:szCs w:val="21"/>
              </w:rPr>
              <w:t>场地西厂界</w:t>
            </w:r>
          </w:p>
        </w:tc>
        <w:tc>
          <w:tcPr>
            <w:tcW w:w="2136" w:type="dxa"/>
            <w:vMerge w:val="continue"/>
            <w:vAlign w:val="center"/>
          </w:tcPr>
          <w:p>
            <w:pPr>
              <w:jc w:val="center"/>
              <w:rPr>
                <w:color w:val="auto"/>
                <w:sz w:val="21"/>
                <w:szCs w:val="21"/>
              </w:rPr>
            </w:pPr>
          </w:p>
        </w:tc>
        <w:tc>
          <w:tcPr>
            <w:tcW w:w="1961" w:type="dxa"/>
            <w:vMerge w:val="continue"/>
            <w:vAlign w:val="center"/>
          </w:tcPr>
          <w:p>
            <w:pPr>
              <w:widowControl/>
              <w:jc w:val="center"/>
              <w:rPr>
                <w:color w:val="auto"/>
                <w:sz w:val="21"/>
                <w:szCs w:val="21"/>
              </w:rPr>
            </w:pPr>
          </w:p>
        </w:tc>
        <w:tc>
          <w:tcPr>
            <w:tcW w:w="1068"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363" w:type="dxa"/>
            <w:vMerge w:val="continue"/>
            <w:vAlign w:val="center"/>
          </w:tcPr>
          <w:p>
            <w:pPr>
              <w:widowControl/>
              <w:jc w:val="center"/>
              <w:rPr>
                <w:color w:val="auto"/>
                <w:sz w:val="21"/>
                <w:szCs w:val="21"/>
              </w:rPr>
            </w:pPr>
          </w:p>
        </w:tc>
        <w:tc>
          <w:tcPr>
            <w:tcW w:w="720" w:type="dxa"/>
            <w:vAlign w:val="center"/>
          </w:tcPr>
          <w:p>
            <w:pPr>
              <w:jc w:val="center"/>
              <w:rPr>
                <w:color w:val="auto"/>
                <w:sz w:val="21"/>
                <w:szCs w:val="21"/>
              </w:rPr>
            </w:pPr>
            <w:r>
              <w:rPr>
                <w:color w:val="auto"/>
                <w:sz w:val="21"/>
                <w:szCs w:val="21"/>
              </w:rPr>
              <w:t>N</w:t>
            </w:r>
            <w:r>
              <w:rPr>
                <w:color w:val="auto"/>
                <w:sz w:val="21"/>
                <w:szCs w:val="21"/>
                <w:vertAlign w:val="subscript"/>
              </w:rPr>
              <w:t>4</w:t>
            </w:r>
          </w:p>
        </w:tc>
        <w:tc>
          <w:tcPr>
            <w:tcW w:w="1608" w:type="dxa"/>
            <w:vAlign w:val="center"/>
          </w:tcPr>
          <w:p>
            <w:pPr>
              <w:jc w:val="center"/>
              <w:rPr>
                <w:color w:val="auto"/>
                <w:sz w:val="21"/>
                <w:szCs w:val="21"/>
              </w:rPr>
            </w:pPr>
            <w:r>
              <w:rPr>
                <w:rFonts w:hAnsi="宋体"/>
                <w:color w:val="auto"/>
                <w:sz w:val="21"/>
                <w:szCs w:val="21"/>
              </w:rPr>
              <w:t>场地北厂界</w:t>
            </w:r>
          </w:p>
        </w:tc>
        <w:tc>
          <w:tcPr>
            <w:tcW w:w="2136" w:type="dxa"/>
            <w:vMerge w:val="continue"/>
            <w:vAlign w:val="center"/>
          </w:tcPr>
          <w:p>
            <w:pPr>
              <w:jc w:val="center"/>
              <w:rPr>
                <w:color w:val="auto"/>
                <w:sz w:val="21"/>
                <w:szCs w:val="21"/>
              </w:rPr>
            </w:pPr>
          </w:p>
        </w:tc>
        <w:tc>
          <w:tcPr>
            <w:tcW w:w="1961" w:type="dxa"/>
            <w:vMerge w:val="continue"/>
            <w:vAlign w:val="center"/>
          </w:tcPr>
          <w:p>
            <w:pPr>
              <w:jc w:val="center"/>
              <w:rPr>
                <w:color w:val="auto"/>
                <w:sz w:val="21"/>
                <w:szCs w:val="21"/>
              </w:rPr>
            </w:pPr>
          </w:p>
        </w:tc>
        <w:tc>
          <w:tcPr>
            <w:tcW w:w="1068"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3" w:type="dxa"/>
            <w:vAlign w:val="center"/>
          </w:tcPr>
          <w:p>
            <w:pPr>
              <w:jc w:val="center"/>
              <w:rPr>
                <w:color w:val="auto"/>
                <w:sz w:val="21"/>
                <w:szCs w:val="21"/>
              </w:rPr>
            </w:pPr>
            <w:r>
              <w:rPr>
                <w:rFonts w:hAnsi="宋体"/>
                <w:color w:val="auto"/>
                <w:sz w:val="21"/>
                <w:szCs w:val="21"/>
              </w:rPr>
              <w:t>敏感点监测</w:t>
            </w:r>
          </w:p>
        </w:tc>
        <w:tc>
          <w:tcPr>
            <w:tcW w:w="720" w:type="dxa"/>
            <w:vAlign w:val="center"/>
          </w:tcPr>
          <w:p>
            <w:pPr>
              <w:jc w:val="center"/>
              <w:rPr>
                <w:color w:val="auto"/>
                <w:sz w:val="21"/>
                <w:szCs w:val="21"/>
              </w:rPr>
            </w:pPr>
            <w:r>
              <w:rPr>
                <w:color w:val="auto"/>
                <w:sz w:val="21"/>
                <w:szCs w:val="21"/>
              </w:rPr>
              <w:t>N</w:t>
            </w:r>
            <w:r>
              <w:rPr>
                <w:color w:val="auto"/>
                <w:sz w:val="21"/>
                <w:szCs w:val="21"/>
                <w:vertAlign w:val="subscript"/>
              </w:rPr>
              <w:t>5</w:t>
            </w:r>
          </w:p>
        </w:tc>
        <w:tc>
          <w:tcPr>
            <w:tcW w:w="1608" w:type="dxa"/>
            <w:vAlign w:val="center"/>
          </w:tcPr>
          <w:p>
            <w:pPr>
              <w:jc w:val="center"/>
              <w:rPr>
                <w:color w:val="auto"/>
                <w:sz w:val="21"/>
                <w:szCs w:val="21"/>
              </w:rPr>
            </w:pPr>
            <w:r>
              <w:rPr>
                <w:rFonts w:hAnsi="宋体"/>
                <w:color w:val="auto"/>
                <w:sz w:val="21"/>
                <w:szCs w:val="21"/>
              </w:rPr>
              <w:t>东</w:t>
            </w:r>
            <w:r>
              <w:rPr>
                <w:rFonts w:hint="eastAsia" w:hAnsi="宋体"/>
                <w:color w:val="auto"/>
                <w:sz w:val="21"/>
                <w:szCs w:val="21"/>
              </w:rPr>
              <w:t>南</w:t>
            </w:r>
            <w:r>
              <w:rPr>
                <w:rFonts w:hAnsi="宋体"/>
                <w:color w:val="auto"/>
                <w:sz w:val="21"/>
                <w:szCs w:val="21"/>
              </w:rPr>
              <w:t>侧化裕村</w:t>
            </w:r>
            <w:r>
              <w:rPr>
                <w:rFonts w:hint="eastAsia" w:hAnsi="宋体"/>
                <w:color w:val="auto"/>
                <w:sz w:val="21"/>
                <w:szCs w:val="21"/>
              </w:rPr>
              <w:t>居民房</w:t>
            </w:r>
            <w:r>
              <w:rPr>
                <w:color w:val="auto"/>
                <w:sz w:val="21"/>
                <w:szCs w:val="21"/>
              </w:rPr>
              <w:t>1</w:t>
            </w:r>
            <w:r>
              <w:rPr>
                <w:rFonts w:hAnsi="宋体"/>
                <w:color w:val="auto"/>
                <w:sz w:val="21"/>
                <w:szCs w:val="21"/>
              </w:rPr>
              <w:t>、</w:t>
            </w:r>
            <w:r>
              <w:rPr>
                <w:color w:val="auto"/>
                <w:sz w:val="21"/>
                <w:szCs w:val="21"/>
              </w:rPr>
              <w:t>3</w:t>
            </w:r>
            <w:r>
              <w:rPr>
                <w:rFonts w:hAnsi="宋体"/>
                <w:color w:val="auto"/>
                <w:sz w:val="21"/>
                <w:szCs w:val="21"/>
              </w:rPr>
              <w:t>层</w:t>
            </w:r>
          </w:p>
        </w:tc>
        <w:tc>
          <w:tcPr>
            <w:tcW w:w="2136" w:type="dxa"/>
            <w:vMerge w:val="continue"/>
            <w:vAlign w:val="center"/>
          </w:tcPr>
          <w:p>
            <w:pPr>
              <w:jc w:val="center"/>
              <w:rPr>
                <w:color w:val="auto"/>
                <w:sz w:val="21"/>
                <w:szCs w:val="21"/>
              </w:rPr>
            </w:pPr>
          </w:p>
        </w:tc>
        <w:tc>
          <w:tcPr>
            <w:tcW w:w="1961" w:type="dxa"/>
            <w:vAlign w:val="center"/>
          </w:tcPr>
          <w:p>
            <w:pPr>
              <w:jc w:val="center"/>
              <w:rPr>
                <w:color w:val="auto"/>
                <w:sz w:val="21"/>
                <w:szCs w:val="21"/>
              </w:rPr>
            </w:pPr>
            <w:r>
              <w:rPr>
                <w:rFonts w:hAnsi="宋体"/>
                <w:color w:val="auto"/>
                <w:sz w:val="21"/>
                <w:szCs w:val="21"/>
              </w:rPr>
              <w:t>敏感点声环境质量现状值，面向项目</w:t>
            </w:r>
          </w:p>
        </w:tc>
        <w:tc>
          <w:tcPr>
            <w:tcW w:w="1068" w:type="dxa"/>
            <w:vMerge w:val="continue"/>
            <w:vAlign w:val="center"/>
          </w:tcPr>
          <w:p>
            <w:pPr>
              <w:jc w:val="center"/>
              <w:rPr>
                <w:color w:val="auto"/>
                <w:sz w:val="21"/>
                <w:szCs w:val="21"/>
              </w:rPr>
            </w:pPr>
          </w:p>
        </w:tc>
      </w:tr>
    </w:tbl>
    <w:p>
      <w:pPr>
        <w:spacing w:line="360" w:lineRule="auto"/>
        <w:ind w:firstLine="482" w:firstLineChars="200"/>
        <w:jc w:val="left"/>
        <w:rPr>
          <w:b/>
          <w:color w:val="auto"/>
          <w:sz w:val="24"/>
          <w:szCs w:val="24"/>
        </w:rPr>
      </w:pPr>
      <w:r>
        <w:rPr>
          <w:rFonts w:hint="eastAsia"/>
          <w:b/>
          <w:color w:val="auto"/>
          <w:sz w:val="24"/>
          <w:szCs w:val="24"/>
        </w:rPr>
        <w:t>2、监测方法</w:t>
      </w:r>
    </w:p>
    <w:p>
      <w:pPr>
        <w:spacing w:line="360" w:lineRule="auto"/>
        <w:ind w:firstLine="480" w:firstLineChars="200"/>
        <w:jc w:val="left"/>
        <w:rPr>
          <w:color w:val="auto"/>
          <w:sz w:val="24"/>
          <w:szCs w:val="24"/>
        </w:rPr>
      </w:pPr>
      <w:r>
        <w:rPr>
          <w:rFonts w:hint="eastAsia"/>
          <w:color w:val="auto"/>
          <w:sz w:val="24"/>
          <w:szCs w:val="24"/>
        </w:rPr>
        <w:t>使用型号为AWA6228型噪声振动测量仪进行监测。</w:t>
      </w:r>
    </w:p>
    <w:p>
      <w:pPr>
        <w:spacing w:line="360" w:lineRule="auto"/>
        <w:ind w:firstLine="482" w:firstLineChars="200"/>
        <w:jc w:val="left"/>
        <w:rPr>
          <w:b/>
          <w:color w:val="auto"/>
          <w:sz w:val="24"/>
          <w:szCs w:val="24"/>
        </w:rPr>
      </w:pPr>
      <w:r>
        <w:rPr>
          <w:rFonts w:hint="eastAsia"/>
          <w:b/>
          <w:color w:val="auto"/>
          <w:sz w:val="24"/>
          <w:szCs w:val="24"/>
        </w:rPr>
        <w:t>3、监测时间及频率</w:t>
      </w:r>
    </w:p>
    <w:p>
      <w:pPr>
        <w:spacing w:line="360" w:lineRule="auto"/>
        <w:ind w:firstLine="480" w:firstLineChars="200"/>
        <w:jc w:val="left"/>
        <w:rPr>
          <w:color w:val="auto"/>
          <w:sz w:val="24"/>
          <w:szCs w:val="24"/>
        </w:rPr>
      </w:pPr>
      <w:r>
        <w:rPr>
          <w:rFonts w:hint="eastAsia"/>
          <w:color w:val="auto"/>
          <w:sz w:val="24"/>
          <w:szCs w:val="24"/>
        </w:rPr>
        <w:t>本项目声环境质量现状监测选在无雨、风速小于5.5m/s的天气进行测量，传声器设置户外1米处，高度为1.2～1.5米。</w:t>
      </w:r>
    </w:p>
    <w:p>
      <w:pPr>
        <w:spacing w:line="360" w:lineRule="auto"/>
        <w:ind w:firstLine="480" w:firstLineChars="200"/>
        <w:jc w:val="left"/>
        <w:rPr>
          <w:color w:val="auto"/>
          <w:sz w:val="24"/>
          <w:szCs w:val="24"/>
        </w:rPr>
      </w:pPr>
      <w:r>
        <w:rPr>
          <w:rFonts w:hint="eastAsia"/>
          <w:color w:val="auto"/>
          <w:sz w:val="24"/>
          <w:szCs w:val="24"/>
        </w:rPr>
        <w:t>监测时间为2020年9月24~25日，连续2天，分昼间(6:00～22:00)和夜间(22:00～6:00))进行。</w:t>
      </w:r>
    </w:p>
    <w:p>
      <w:pPr>
        <w:spacing w:line="360" w:lineRule="auto"/>
        <w:ind w:firstLine="482" w:firstLineChars="200"/>
        <w:jc w:val="left"/>
        <w:rPr>
          <w:b/>
          <w:color w:val="auto"/>
          <w:sz w:val="24"/>
          <w:szCs w:val="24"/>
        </w:rPr>
      </w:pPr>
      <w:r>
        <w:rPr>
          <w:rFonts w:hint="eastAsia"/>
          <w:b/>
          <w:color w:val="auto"/>
          <w:sz w:val="24"/>
          <w:szCs w:val="24"/>
        </w:rPr>
        <w:t>4、监测结果与评价</w:t>
      </w:r>
    </w:p>
    <w:p>
      <w:pPr>
        <w:spacing w:line="360" w:lineRule="auto"/>
        <w:jc w:val="center"/>
        <w:rPr>
          <w:b/>
          <w:color w:val="auto"/>
          <w:sz w:val="24"/>
          <w:szCs w:val="24"/>
        </w:rPr>
      </w:pPr>
      <w:r>
        <w:rPr>
          <w:rFonts w:hint="eastAsia"/>
          <w:b/>
          <w:color w:val="auto"/>
          <w:sz w:val="24"/>
          <w:szCs w:val="24"/>
        </w:rPr>
        <w:t>表4-2-10   环境噪声检测结果   单位：dB(A)</w:t>
      </w:r>
    </w:p>
    <w:tbl>
      <w:tblPr>
        <w:tblStyle w:val="28"/>
        <w:tblW w:w="9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731"/>
        <w:gridCol w:w="1493"/>
        <w:gridCol w:w="1091"/>
        <w:gridCol w:w="1093"/>
        <w:gridCol w:w="1092"/>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869" w:type="dxa"/>
            <w:vMerge w:val="restart"/>
            <w:vAlign w:val="center"/>
          </w:tcPr>
          <w:p>
            <w:pPr>
              <w:adjustRightInd w:val="0"/>
              <w:snapToGrid w:val="0"/>
              <w:jc w:val="center"/>
              <w:rPr>
                <w:b/>
                <w:color w:val="auto"/>
                <w:sz w:val="21"/>
                <w:szCs w:val="21"/>
              </w:rPr>
            </w:pPr>
            <w:r>
              <w:rPr>
                <w:rFonts w:hAnsi="宋体"/>
                <w:b/>
                <w:color w:val="auto"/>
                <w:sz w:val="21"/>
                <w:szCs w:val="21"/>
              </w:rPr>
              <w:t>序号</w:t>
            </w:r>
          </w:p>
        </w:tc>
        <w:tc>
          <w:tcPr>
            <w:tcW w:w="2731" w:type="dxa"/>
            <w:vMerge w:val="restart"/>
            <w:vAlign w:val="center"/>
          </w:tcPr>
          <w:p>
            <w:pPr>
              <w:adjustRightInd w:val="0"/>
              <w:snapToGrid w:val="0"/>
              <w:jc w:val="center"/>
              <w:rPr>
                <w:b/>
                <w:color w:val="auto"/>
                <w:sz w:val="21"/>
                <w:szCs w:val="21"/>
              </w:rPr>
            </w:pPr>
            <w:r>
              <w:rPr>
                <w:rFonts w:hAnsi="宋体"/>
                <w:b/>
                <w:color w:val="auto"/>
                <w:sz w:val="21"/>
                <w:szCs w:val="21"/>
              </w:rPr>
              <w:t>检测点位</w:t>
            </w:r>
          </w:p>
        </w:tc>
        <w:tc>
          <w:tcPr>
            <w:tcW w:w="1493" w:type="dxa"/>
            <w:vMerge w:val="restart"/>
            <w:vAlign w:val="center"/>
          </w:tcPr>
          <w:p>
            <w:pPr>
              <w:widowControl/>
              <w:adjustRightInd w:val="0"/>
              <w:snapToGrid w:val="0"/>
              <w:jc w:val="center"/>
              <w:rPr>
                <w:b/>
                <w:color w:val="auto"/>
                <w:sz w:val="21"/>
                <w:szCs w:val="21"/>
              </w:rPr>
            </w:pPr>
            <w:r>
              <w:rPr>
                <w:rFonts w:hAnsi="宋体"/>
                <w:b/>
                <w:color w:val="auto"/>
                <w:sz w:val="21"/>
                <w:szCs w:val="21"/>
              </w:rPr>
              <w:t>主要声源</w:t>
            </w:r>
          </w:p>
        </w:tc>
        <w:tc>
          <w:tcPr>
            <w:tcW w:w="4368" w:type="dxa"/>
            <w:gridSpan w:val="4"/>
            <w:vAlign w:val="center"/>
          </w:tcPr>
          <w:p>
            <w:pPr>
              <w:adjustRightInd w:val="0"/>
              <w:snapToGrid w:val="0"/>
              <w:jc w:val="center"/>
              <w:rPr>
                <w:b/>
                <w:color w:val="auto"/>
                <w:sz w:val="21"/>
                <w:szCs w:val="21"/>
              </w:rPr>
            </w:pPr>
            <w:r>
              <w:rPr>
                <w:rFonts w:hAnsi="宋体"/>
                <w:b/>
                <w:color w:val="auto"/>
                <w:sz w:val="21"/>
                <w:szCs w:val="21"/>
              </w:rPr>
              <w:t>测量值</w:t>
            </w:r>
            <w:r>
              <w:rPr>
                <w:b/>
                <w:color w:val="auto"/>
                <w:sz w:val="21"/>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869" w:type="dxa"/>
            <w:vMerge w:val="continue"/>
            <w:vAlign w:val="center"/>
          </w:tcPr>
          <w:p>
            <w:pPr>
              <w:adjustRightInd w:val="0"/>
              <w:snapToGrid w:val="0"/>
              <w:jc w:val="center"/>
              <w:rPr>
                <w:b/>
                <w:color w:val="auto"/>
                <w:sz w:val="21"/>
                <w:szCs w:val="21"/>
              </w:rPr>
            </w:pPr>
          </w:p>
        </w:tc>
        <w:tc>
          <w:tcPr>
            <w:tcW w:w="2731" w:type="dxa"/>
            <w:vMerge w:val="continue"/>
            <w:vAlign w:val="center"/>
          </w:tcPr>
          <w:p>
            <w:pPr>
              <w:adjustRightInd w:val="0"/>
              <w:snapToGrid w:val="0"/>
              <w:jc w:val="center"/>
              <w:rPr>
                <w:b/>
                <w:color w:val="auto"/>
                <w:sz w:val="21"/>
                <w:szCs w:val="21"/>
              </w:rPr>
            </w:pPr>
          </w:p>
        </w:tc>
        <w:tc>
          <w:tcPr>
            <w:tcW w:w="1493" w:type="dxa"/>
            <w:vMerge w:val="continue"/>
            <w:vAlign w:val="center"/>
          </w:tcPr>
          <w:p>
            <w:pPr>
              <w:adjustRightInd w:val="0"/>
              <w:snapToGrid w:val="0"/>
              <w:jc w:val="center"/>
              <w:rPr>
                <w:b/>
                <w:color w:val="auto"/>
                <w:sz w:val="21"/>
                <w:szCs w:val="21"/>
              </w:rPr>
            </w:pPr>
          </w:p>
        </w:tc>
        <w:tc>
          <w:tcPr>
            <w:tcW w:w="2184" w:type="dxa"/>
            <w:gridSpan w:val="2"/>
            <w:vAlign w:val="center"/>
          </w:tcPr>
          <w:p>
            <w:pPr>
              <w:adjustRightInd w:val="0"/>
              <w:snapToGrid w:val="0"/>
              <w:jc w:val="center"/>
              <w:rPr>
                <w:b/>
                <w:color w:val="auto"/>
                <w:sz w:val="21"/>
                <w:szCs w:val="21"/>
              </w:rPr>
            </w:pPr>
            <w:r>
              <w:rPr>
                <w:b/>
                <w:color w:val="auto"/>
                <w:sz w:val="21"/>
                <w:szCs w:val="21"/>
              </w:rPr>
              <w:t>20</w:t>
            </w:r>
            <w:r>
              <w:rPr>
                <w:rFonts w:hint="eastAsia"/>
                <w:b/>
                <w:color w:val="auto"/>
                <w:sz w:val="21"/>
                <w:szCs w:val="21"/>
              </w:rPr>
              <w:t>20</w:t>
            </w:r>
            <w:r>
              <w:rPr>
                <w:b/>
                <w:color w:val="auto"/>
                <w:sz w:val="21"/>
                <w:szCs w:val="21"/>
              </w:rPr>
              <w:t>-</w:t>
            </w:r>
            <w:r>
              <w:rPr>
                <w:rFonts w:hint="eastAsia"/>
                <w:b/>
                <w:color w:val="auto"/>
                <w:sz w:val="21"/>
                <w:szCs w:val="21"/>
              </w:rPr>
              <w:t>9</w:t>
            </w:r>
            <w:r>
              <w:rPr>
                <w:b/>
                <w:color w:val="auto"/>
                <w:sz w:val="21"/>
                <w:szCs w:val="21"/>
              </w:rPr>
              <w:t>-</w:t>
            </w:r>
            <w:r>
              <w:rPr>
                <w:rFonts w:hint="eastAsia"/>
                <w:b/>
                <w:color w:val="auto"/>
                <w:sz w:val="21"/>
                <w:szCs w:val="21"/>
              </w:rPr>
              <w:t>24</w:t>
            </w:r>
          </w:p>
        </w:tc>
        <w:tc>
          <w:tcPr>
            <w:tcW w:w="2184" w:type="dxa"/>
            <w:gridSpan w:val="2"/>
            <w:vAlign w:val="center"/>
          </w:tcPr>
          <w:p>
            <w:pPr>
              <w:adjustRightInd w:val="0"/>
              <w:snapToGrid w:val="0"/>
              <w:jc w:val="center"/>
              <w:rPr>
                <w:b/>
                <w:color w:val="auto"/>
                <w:sz w:val="21"/>
                <w:szCs w:val="21"/>
              </w:rPr>
            </w:pPr>
            <w:r>
              <w:rPr>
                <w:b/>
                <w:color w:val="auto"/>
                <w:sz w:val="21"/>
                <w:szCs w:val="21"/>
              </w:rPr>
              <w:t>20</w:t>
            </w:r>
            <w:r>
              <w:rPr>
                <w:rFonts w:hint="eastAsia"/>
                <w:b/>
                <w:color w:val="auto"/>
                <w:sz w:val="21"/>
                <w:szCs w:val="21"/>
              </w:rPr>
              <w:t>20</w:t>
            </w:r>
            <w:r>
              <w:rPr>
                <w:b/>
                <w:color w:val="auto"/>
                <w:sz w:val="21"/>
                <w:szCs w:val="21"/>
              </w:rPr>
              <w:t>-</w:t>
            </w:r>
            <w:r>
              <w:rPr>
                <w:rFonts w:hint="eastAsia"/>
                <w:b/>
                <w:color w:val="auto"/>
                <w:sz w:val="21"/>
                <w:szCs w:val="21"/>
              </w:rPr>
              <w:t>9</w:t>
            </w:r>
            <w:r>
              <w:rPr>
                <w:b/>
                <w:color w:val="auto"/>
                <w:sz w:val="21"/>
                <w:szCs w:val="21"/>
              </w:rPr>
              <w:t>-</w:t>
            </w:r>
            <w:r>
              <w:rPr>
                <w:rFonts w:hint="eastAsia"/>
                <w:b/>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869" w:type="dxa"/>
            <w:vMerge w:val="continue"/>
            <w:vAlign w:val="center"/>
          </w:tcPr>
          <w:p>
            <w:pPr>
              <w:adjustRightInd w:val="0"/>
              <w:snapToGrid w:val="0"/>
              <w:jc w:val="center"/>
              <w:rPr>
                <w:b/>
                <w:color w:val="auto"/>
                <w:sz w:val="21"/>
                <w:szCs w:val="21"/>
              </w:rPr>
            </w:pPr>
          </w:p>
        </w:tc>
        <w:tc>
          <w:tcPr>
            <w:tcW w:w="2731" w:type="dxa"/>
            <w:vMerge w:val="continue"/>
            <w:vAlign w:val="center"/>
          </w:tcPr>
          <w:p>
            <w:pPr>
              <w:adjustRightInd w:val="0"/>
              <w:snapToGrid w:val="0"/>
              <w:jc w:val="center"/>
              <w:rPr>
                <w:b/>
                <w:color w:val="auto"/>
                <w:sz w:val="21"/>
                <w:szCs w:val="21"/>
              </w:rPr>
            </w:pPr>
          </w:p>
        </w:tc>
        <w:tc>
          <w:tcPr>
            <w:tcW w:w="1493" w:type="dxa"/>
            <w:vMerge w:val="continue"/>
            <w:vAlign w:val="center"/>
          </w:tcPr>
          <w:p>
            <w:pPr>
              <w:adjustRightInd w:val="0"/>
              <w:snapToGrid w:val="0"/>
              <w:jc w:val="center"/>
              <w:rPr>
                <w:b/>
                <w:color w:val="auto"/>
                <w:sz w:val="21"/>
                <w:szCs w:val="21"/>
              </w:rPr>
            </w:pPr>
          </w:p>
        </w:tc>
        <w:tc>
          <w:tcPr>
            <w:tcW w:w="1091" w:type="dxa"/>
            <w:tcBorders>
              <w:right w:val="single" w:color="auto" w:sz="4" w:space="0"/>
            </w:tcBorders>
            <w:vAlign w:val="center"/>
          </w:tcPr>
          <w:p>
            <w:pPr>
              <w:adjustRightInd w:val="0"/>
              <w:snapToGrid w:val="0"/>
              <w:jc w:val="center"/>
              <w:rPr>
                <w:b/>
                <w:color w:val="auto"/>
                <w:sz w:val="21"/>
                <w:szCs w:val="21"/>
              </w:rPr>
            </w:pPr>
            <w:r>
              <w:rPr>
                <w:rFonts w:hAnsi="宋体"/>
                <w:b/>
                <w:color w:val="auto"/>
                <w:sz w:val="21"/>
                <w:szCs w:val="21"/>
              </w:rPr>
              <w:t>昼间</w:t>
            </w:r>
            <w:r>
              <w:rPr>
                <w:b/>
                <w:color w:val="auto"/>
                <w:sz w:val="21"/>
                <w:szCs w:val="21"/>
              </w:rPr>
              <w:t>Leq</w:t>
            </w:r>
          </w:p>
        </w:tc>
        <w:tc>
          <w:tcPr>
            <w:tcW w:w="1093" w:type="dxa"/>
            <w:tcBorders>
              <w:right w:val="single" w:color="auto" w:sz="4" w:space="0"/>
            </w:tcBorders>
            <w:vAlign w:val="center"/>
          </w:tcPr>
          <w:p>
            <w:pPr>
              <w:adjustRightInd w:val="0"/>
              <w:snapToGrid w:val="0"/>
              <w:jc w:val="center"/>
              <w:rPr>
                <w:b/>
                <w:color w:val="auto"/>
                <w:sz w:val="21"/>
                <w:szCs w:val="21"/>
              </w:rPr>
            </w:pPr>
            <w:r>
              <w:rPr>
                <w:rFonts w:hAnsi="宋体"/>
                <w:b/>
                <w:color w:val="auto"/>
                <w:sz w:val="21"/>
                <w:szCs w:val="21"/>
              </w:rPr>
              <w:t>夜间</w:t>
            </w:r>
            <w:r>
              <w:rPr>
                <w:b/>
                <w:color w:val="auto"/>
                <w:sz w:val="21"/>
                <w:szCs w:val="21"/>
              </w:rPr>
              <w:t>Leq</w:t>
            </w:r>
          </w:p>
        </w:tc>
        <w:tc>
          <w:tcPr>
            <w:tcW w:w="1092" w:type="dxa"/>
            <w:tcBorders>
              <w:left w:val="single" w:color="auto" w:sz="4" w:space="0"/>
            </w:tcBorders>
            <w:vAlign w:val="center"/>
          </w:tcPr>
          <w:p>
            <w:pPr>
              <w:adjustRightInd w:val="0"/>
              <w:snapToGrid w:val="0"/>
              <w:jc w:val="center"/>
              <w:rPr>
                <w:b/>
                <w:color w:val="auto"/>
                <w:sz w:val="21"/>
                <w:szCs w:val="21"/>
              </w:rPr>
            </w:pPr>
            <w:r>
              <w:rPr>
                <w:rFonts w:hAnsi="宋体"/>
                <w:b/>
                <w:color w:val="auto"/>
                <w:sz w:val="21"/>
                <w:szCs w:val="21"/>
              </w:rPr>
              <w:t>昼间</w:t>
            </w:r>
            <w:r>
              <w:rPr>
                <w:b/>
                <w:color w:val="auto"/>
                <w:sz w:val="21"/>
                <w:szCs w:val="21"/>
              </w:rPr>
              <w:t>Leq</w:t>
            </w:r>
          </w:p>
        </w:tc>
        <w:tc>
          <w:tcPr>
            <w:tcW w:w="1092" w:type="dxa"/>
            <w:tcBorders>
              <w:left w:val="single" w:color="auto" w:sz="4" w:space="0"/>
            </w:tcBorders>
            <w:vAlign w:val="center"/>
          </w:tcPr>
          <w:p>
            <w:pPr>
              <w:adjustRightInd w:val="0"/>
              <w:snapToGrid w:val="0"/>
              <w:jc w:val="center"/>
              <w:rPr>
                <w:b/>
                <w:color w:val="auto"/>
                <w:sz w:val="21"/>
                <w:szCs w:val="21"/>
              </w:rPr>
            </w:pPr>
            <w:r>
              <w:rPr>
                <w:rFonts w:hAnsi="宋体"/>
                <w:b/>
                <w:color w:val="auto"/>
                <w:sz w:val="21"/>
                <w:szCs w:val="21"/>
              </w:rPr>
              <w:t>夜间</w:t>
            </w:r>
            <w:r>
              <w:rPr>
                <w:b/>
                <w:color w:val="auto"/>
                <w:sz w:val="21"/>
                <w:szCs w:val="21"/>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69" w:type="dxa"/>
            <w:vAlign w:val="center"/>
          </w:tcPr>
          <w:p>
            <w:pPr>
              <w:adjustRightInd w:val="0"/>
              <w:snapToGrid w:val="0"/>
              <w:jc w:val="center"/>
              <w:rPr>
                <w:color w:val="auto"/>
                <w:sz w:val="21"/>
                <w:szCs w:val="21"/>
              </w:rPr>
            </w:pPr>
            <w:r>
              <w:rPr>
                <w:color w:val="auto"/>
                <w:sz w:val="21"/>
                <w:szCs w:val="21"/>
              </w:rPr>
              <w:t>N1</w:t>
            </w:r>
          </w:p>
        </w:tc>
        <w:tc>
          <w:tcPr>
            <w:tcW w:w="2731" w:type="dxa"/>
            <w:vAlign w:val="center"/>
          </w:tcPr>
          <w:p>
            <w:pPr>
              <w:adjustRightInd w:val="0"/>
              <w:snapToGrid w:val="0"/>
              <w:jc w:val="center"/>
              <w:rPr>
                <w:color w:val="auto"/>
                <w:sz w:val="21"/>
                <w:szCs w:val="21"/>
              </w:rPr>
            </w:pPr>
            <w:r>
              <w:rPr>
                <w:rFonts w:hAnsi="宋体"/>
                <w:color w:val="auto"/>
                <w:sz w:val="21"/>
                <w:szCs w:val="21"/>
              </w:rPr>
              <w:t>项目东面厂界外</w:t>
            </w:r>
            <w:r>
              <w:rPr>
                <w:color w:val="auto"/>
                <w:sz w:val="21"/>
                <w:szCs w:val="21"/>
              </w:rPr>
              <w:t>1m</w:t>
            </w:r>
            <w:r>
              <w:rPr>
                <w:rFonts w:hAnsi="宋体"/>
                <w:color w:val="auto"/>
                <w:sz w:val="21"/>
                <w:szCs w:val="21"/>
              </w:rPr>
              <w:t>处</w:t>
            </w:r>
          </w:p>
        </w:tc>
        <w:tc>
          <w:tcPr>
            <w:tcW w:w="1493" w:type="dxa"/>
            <w:vAlign w:val="center"/>
          </w:tcPr>
          <w:p>
            <w:pPr>
              <w:adjustRightInd w:val="0"/>
              <w:snapToGrid w:val="0"/>
              <w:jc w:val="center"/>
              <w:rPr>
                <w:color w:val="auto"/>
                <w:sz w:val="21"/>
                <w:szCs w:val="21"/>
              </w:rPr>
            </w:pPr>
            <w:r>
              <w:rPr>
                <w:rFonts w:hAnsi="宋体"/>
                <w:color w:val="auto"/>
                <w:sz w:val="21"/>
                <w:szCs w:val="21"/>
              </w:rPr>
              <w:t>环境噪声</w:t>
            </w:r>
          </w:p>
        </w:tc>
        <w:tc>
          <w:tcPr>
            <w:tcW w:w="1091" w:type="dxa"/>
            <w:tcBorders>
              <w:righ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58.4</w:t>
            </w:r>
          </w:p>
        </w:tc>
        <w:tc>
          <w:tcPr>
            <w:tcW w:w="1093" w:type="dxa"/>
            <w:tcBorders>
              <w:righ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47.6</w:t>
            </w:r>
          </w:p>
        </w:tc>
        <w:tc>
          <w:tcPr>
            <w:tcW w:w="1092" w:type="dxa"/>
            <w:tcBorders>
              <w:lef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58.1</w:t>
            </w:r>
          </w:p>
        </w:tc>
        <w:tc>
          <w:tcPr>
            <w:tcW w:w="1092" w:type="dxa"/>
            <w:tcBorders>
              <w:lef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69" w:type="dxa"/>
            <w:vAlign w:val="center"/>
          </w:tcPr>
          <w:p>
            <w:pPr>
              <w:adjustRightInd w:val="0"/>
              <w:snapToGrid w:val="0"/>
              <w:jc w:val="center"/>
              <w:rPr>
                <w:color w:val="auto"/>
                <w:sz w:val="21"/>
                <w:szCs w:val="21"/>
              </w:rPr>
            </w:pPr>
            <w:r>
              <w:rPr>
                <w:color w:val="auto"/>
                <w:sz w:val="21"/>
                <w:szCs w:val="21"/>
              </w:rPr>
              <w:t>N2</w:t>
            </w:r>
          </w:p>
        </w:tc>
        <w:tc>
          <w:tcPr>
            <w:tcW w:w="2731" w:type="dxa"/>
            <w:vAlign w:val="center"/>
          </w:tcPr>
          <w:p>
            <w:pPr>
              <w:adjustRightInd w:val="0"/>
              <w:snapToGrid w:val="0"/>
              <w:jc w:val="center"/>
              <w:rPr>
                <w:color w:val="auto"/>
                <w:sz w:val="21"/>
                <w:szCs w:val="21"/>
              </w:rPr>
            </w:pPr>
            <w:r>
              <w:rPr>
                <w:rFonts w:hAnsi="宋体"/>
                <w:color w:val="auto"/>
                <w:sz w:val="21"/>
                <w:szCs w:val="21"/>
              </w:rPr>
              <w:t>项目南面厂界外</w:t>
            </w:r>
            <w:r>
              <w:rPr>
                <w:color w:val="auto"/>
                <w:sz w:val="21"/>
                <w:szCs w:val="21"/>
              </w:rPr>
              <w:t>1m</w:t>
            </w:r>
            <w:r>
              <w:rPr>
                <w:rFonts w:hAnsi="宋体"/>
                <w:color w:val="auto"/>
                <w:sz w:val="21"/>
                <w:szCs w:val="21"/>
              </w:rPr>
              <w:t>处</w:t>
            </w:r>
          </w:p>
        </w:tc>
        <w:tc>
          <w:tcPr>
            <w:tcW w:w="1493" w:type="dxa"/>
            <w:vAlign w:val="center"/>
          </w:tcPr>
          <w:p>
            <w:pPr>
              <w:adjustRightInd w:val="0"/>
              <w:snapToGrid w:val="0"/>
              <w:jc w:val="center"/>
              <w:rPr>
                <w:color w:val="auto"/>
                <w:sz w:val="21"/>
                <w:szCs w:val="21"/>
              </w:rPr>
            </w:pPr>
            <w:r>
              <w:rPr>
                <w:rFonts w:hAnsi="宋体"/>
                <w:color w:val="auto"/>
                <w:sz w:val="21"/>
                <w:szCs w:val="21"/>
              </w:rPr>
              <w:t>环境噪声</w:t>
            </w:r>
          </w:p>
        </w:tc>
        <w:tc>
          <w:tcPr>
            <w:tcW w:w="1091" w:type="dxa"/>
            <w:tcBorders>
              <w:righ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57.3</w:t>
            </w:r>
          </w:p>
        </w:tc>
        <w:tc>
          <w:tcPr>
            <w:tcW w:w="1093" w:type="dxa"/>
            <w:tcBorders>
              <w:righ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46.9</w:t>
            </w:r>
          </w:p>
        </w:tc>
        <w:tc>
          <w:tcPr>
            <w:tcW w:w="1092" w:type="dxa"/>
            <w:tcBorders>
              <w:lef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57.3</w:t>
            </w:r>
          </w:p>
        </w:tc>
        <w:tc>
          <w:tcPr>
            <w:tcW w:w="1092" w:type="dxa"/>
            <w:tcBorders>
              <w:lef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69" w:type="dxa"/>
            <w:vAlign w:val="center"/>
          </w:tcPr>
          <w:p>
            <w:pPr>
              <w:adjustRightInd w:val="0"/>
              <w:snapToGrid w:val="0"/>
              <w:jc w:val="center"/>
              <w:rPr>
                <w:color w:val="auto"/>
                <w:sz w:val="21"/>
                <w:szCs w:val="21"/>
              </w:rPr>
            </w:pPr>
            <w:r>
              <w:rPr>
                <w:color w:val="auto"/>
                <w:sz w:val="21"/>
                <w:szCs w:val="21"/>
              </w:rPr>
              <w:t>N3</w:t>
            </w:r>
          </w:p>
        </w:tc>
        <w:tc>
          <w:tcPr>
            <w:tcW w:w="2731" w:type="dxa"/>
            <w:vAlign w:val="center"/>
          </w:tcPr>
          <w:p>
            <w:pPr>
              <w:adjustRightInd w:val="0"/>
              <w:snapToGrid w:val="0"/>
              <w:jc w:val="center"/>
              <w:rPr>
                <w:color w:val="auto"/>
                <w:sz w:val="21"/>
                <w:szCs w:val="21"/>
              </w:rPr>
            </w:pPr>
            <w:r>
              <w:rPr>
                <w:rFonts w:hAnsi="宋体"/>
                <w:color w:val="auto"/>
                <w:sz w:val="21"/>
                <w:szCs w:val="21"/>
              </w:rPr>
              <w:t>项目西面厂界外</w:t>
            </w:r>
            <w:r>
              <w:rPr>
                <w:color w:val="auto"/>
                <w:sz w:val="21"/>
                <w:szCs w:val="21"/>
              </w:rPr>
              <w:t>1m</w:t>
            </w:r>
            <w:r>
              <w:rPr>
                <w:rFonts w:hAnsi="宋体"/>
                <w:color w:val="auto"/>
                <w:sz w:val="21"/>
                <w:szCs w:val="21"/>
              </w:rPr>
              <w:t>处</w:t>
            </w:r>
          </w:p>
        </w:tc>
        <w:tc>
          <w:tcPr>
            <w:tcW w:w="1493" w:type="dxa"/>
            <w:vAlign w:val="center"/>
          </w:tcPr>
          <w:p>
            <w:pPr>
              <w:adjustRightInd w:val="0"/>
              <w:snapToGrid w:val="0"/>
              <w:jc w:val="center"/>
              <w:rPr>
                <w:color w:val="auto"/>
                <w:sz w:val="21"/>
                <w:szCs w:val="21"/>
              </w:rPr>
            </w:pPr>
            <w:r>
              <w:rPr>
                <w:rFonts w:hAnsi="宋体"/>
                <w:color w:val="auto"/>
                <w:sz w:val="21"/>
                <w:szCs w:val="21"/>
              </w:rPr>
              <w:t>环境噪声</w:t>
            </w:r>
          </w:p>
        </w:tc>
        <w:tc>
          <w:tcPr>
            <w:tcW w:w="1091" w:type="dxa"/>
            <w:tcBorders>
              <w:righ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57.6</w:t>
            </w:r>
          </w:p>
        </w:tc>
        <w:tc>
          <w:tcPr>
            <w:tcW w:w="1093" w:type="dxa"/>
            <w:tcBorders>
              <w:righ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48.2</w:t>
            </w:r>
          </w:p>
        </w:tc>
        <w:tc>
          <w:tcPr>
            <w:tcW w:w="1092" w:type="dxa"/>
            <w:tcBorders>
              <w:lef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58.0</w:t>
            </w:r>
          </w:p>
        </w:tc>
        <w:tc>
          <w:tcPr>
            <w:tcW w:w="1092" w:type="dxa"/>
            <w:tcBorders>
              <w:lef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69" w:type="dxa"/>
            <w:vAlign w:val="center"/>
          </w:tcPr>
          <w:p>
            <w:pPr>
              <w:adjustRightInd w:val="0"/>
              <w:snapToGrid w:val="0"/>
              <w:jc w:val="center"/>
              <w:rPr>
                <w:color w:val="auto"/>
                <w:sz w:val="21"/>
                <w:szCs w:val="21"/>
              </w:rPr>
            </w:pPr>
            <w:r>
              <w:rPr>
                <w:color w:val="auto"/>
                <w:sz w:val="21"/>
                <w:szCs w:val="21"/>
              </w:rPr>
              <w:t>N4</w:t>
            </w:r>
          </w:p>
        </w:tc>
        <w:tc>
          <w:tcPr>
            <w:tcW w:w="2731" w:type="dxa"/>
            <w:vAlign w:val="center"/>
          </w:tcPr>
          <w:p>
            <w:pPr>
              <w:adjustRightInd w:val="0"/>
              <w:snapToGrid w:val="0"/>
              <w:jc w:val="center"/>
              <w:rPr>
                <w:color w:val="auto"/>
                <w:sz w:val="21"/>
                <w:szCs w:val="21"/>
              </w:rPr>
            </w:pPr>
            <w:r>
              <w:rPr>
                <w:rFonts w:hAnsi="宋体"/>
                <w:color w:val="auto"/>
                <w:sz w:val="21"/>
                <w:szCs w:val="21"/>
              </w:rPr>
              <w:t>项目北面厂界外</w:t>
            </w:r>
            <w:r>
              <w:rPr>
                <w:color w:val="auto"/>
                <w:sz w:val="21"/>
                <w:szCs w:val="21"/>
              </w:rPr>
              <w:t>1m</w:t>
            </w:r>
            <w:r>
              <w:rPr>
                <w:rFonts w:hAnsi="宋体"/>
                <w:color w:val="auto"/>
                <w:sz w:val="21"/>
                <w:szCs w:val="21"/>
              </w:rPr>
              <w:t>处</w:t>
            </w:r>
          </w:p>
        </w:tc>
        <w:tc>
          <w:tcPr>
            <w:tcW w:w="1493" w:type="dxa"/>
            <w:vAlign w:val="center"/>
          </w:tcPr>
          <w:p>
            <w:pPr>
              <w:adjustRightInd w:val="0"/>
              <w:snapToGrid w:val="0"/>
              <w:jc w:val="center"/>
              <w:rPr>
                <w:color w:val="auto"/>
                <w:sz w:val="21"/>
                <w:szCs w:val="21"/>
              </w:rPr>
            </w:pPr>
            <w:r>
              <w:rPr>
                <w:rFonts w:hAnsi="宋体"/>
                <w:color w:val="auto"/>
                <w:sz w:val="21"/>
                <w:szCs w:val="21"/>
              </w:rPr>
              <w:t>环境噪声</w:t>
            </w:r>
          </w:p>
        </w:tc>
        <w:tc>
          <w:tcPr>
            <w:tcW w:w="1091" w:type="dxa"/>
            <w:tcBorders>
              <w:righ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58.0</w:t>
            </w:r>
          </w:p>
        </w:tc>
        <w:tc>
          <w:tcPr>
            <w:tcW w:w="1093" w:type="dxa"/>
            <w:tcBorders>
              <w:righ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48.5</w:t>
            </w:r>
          </w:p>
        </w:tc>
        <w:tc>
          <w:tcPr>
            <w:tcW w:w="1092" w:type="dxa"/>
            <w:tcBorders>
              <w:left w:val="single" w:color="000000"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56.9</w:t>
            </w:r>
          </w:p>
        </w:tc>
        <w:tc>
          <w:tcPr>
            <w:tcW w:w="1092" w:type="dxa"/>
            <w:tcBorders>
              <w:left w:val="single" w:color="auto" w:sz="4" w:space="0"/>
            </w:tcBorders>
            <w:vAlign w:val="center"/>
          </w:tcPr>
          <w:p>
            <w:pPr>
              <w:autoSpaceDE w:val="0"/>
              <w:adjustRightInd w:val="0"/>
              <w:snapToGrid w:val="0"/>
              <w:ind w:right="30" w:rightChars="15"/>
              <w:jc w:val="center"/>
              <w:textAlignment w:val="bottom"/>
              <w:rPr>
                <w:color w:val="auto"/>
                <w:sz w:val="21"/>
                <w:szCs w:val="21"/>
              </w:rPr>
            </w:pPr>
            <w:r>
              <w:rPr>
                <w:color w:val="auto"/>
                <w:sz w:val="21"/>
                <w:szCs w:val="21"/>
              </w:rPr>
              <w:t>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69" w:type="dxa"/>
            <w:vMerge w:val="restart"/>
            <w:vAlign w:val="center"/>
          </w:tcPr>
          <w:p>
            <w:pPr>
              <w:adjustRightInd w:val="0"/>
              <w:snapToGrid w:val="0"/>
              <w:jc w:val="center"/>
              <w:rPr>
                <w:color w:val="auto"/>
                <w:sz w:val="21"/>
                <w:szCs w:val="21"/>
              </w:rPr>
            </w:pPr>
            <w:r>
              <w:rPr>
                <w:color w:val="auto"/>
                <w:sz w:val="21"/>
                <w:szCs w:val="21"/>
              </w:rPr>
              <w:t>N5</w:t>
            </w:r>
          </w:p>
        </w:tc>
        <w:tc>
          <w:tcPr>
            <w:tcW w:w="2731" w:type="dxa"/>
            <w:vAlign w:val="center"/>
          </w:tcPr>
          <w:p>
            <w:pPr>
              <w:adjustRightInd w:val="0"/>
              <w:snapToGrid w:val="0"/>
              <w:jc w:val="center"/>
              <w:rPr>
                <w:color w:val="auto"/>
                <w:sz w:val="21"/>
                <w:szCs w:val="21"/>
              </w:rPr>
            </w:pPr>
            <w:r>
              <w:rPr>
                <w:rFonts w:hAnsi="宋体"/>
                <w:color w:val="auto"/>
                <w:sz w:val="21"/>
                <w:szCs w:val="21"/>
              </w:rPr>
              <w:t>东侧化裕村居民房</w:t>
            </w:r>
            <w:r>
              <w:rPr>
                <w:color w:val="auto"/>
                <w:sz w:val="21"/>
                <w:szCs w:val="21"/>
              </w:rPr>
              <w:t>1</w:t>
            </w:r>
            <w:r>
              <w:rPr>
                <w:rFonts w:hAnsi="宋体"/>
                <w:color w:val="auto"/>
                <w:sz w:val="21"/>
                <w:szCs w:val="21"/>
              </w:rPr>
              <w:t>层</w:t>
            </w:r>
            <w:r>
              <w:rPr>
                <w:color w:val="auto"/>
                <w:sz w:val="21"/>
                <w:szCs w:val="21"/>
              </w:rPr>
              <w:t xml:space="preserve"> </w:t>
            </w:r>
          </w:p>
        </w:tc>
        <w:tc>
          <w:tcPr>
            <w:tcW w:w="1493" w:type="dxa"/>
            <w:vAlign w:val="center"/>
          </w:tcPr>
          <w:p>
            <w:pPr>
              <w:adjustRightInd w:val="0"/>
              <w:snapToGrid w:val="0"/>
              <w:jc w:val="center"/>
              <w:rPr>
                <w:color w:val="auto"/>
                <w:sz w:val="21"/>
                <w:szCs w:val="21"/>
              </w:rPr>
            </w:pPr>
            <w:r>
              <w:rPr>
                <w:rFonts w:hAnsi="宋体"/>
                <w:color w:val="auto"/>
                <w:sz w:val="21"/>
                <w:szCs w:val="21"/>
              </w:rPr>
              <w:t>环境噪声</w:t>
            </w:r>
          </w:p>
        </w:tc>
        <w:tc>
          <w:tcPr>
            <w:tcW w:w="1091" w:type="dxa"/>
            <w:tcBorders>
              <w:right w:val="single" w:color="auto" w:sz="4" w:space="0"/>
            </w:tcBorders>
            <w:vAlign w:val="center"/>
          </w:tcPr>
          <w:p>
            <w:pPr>
              <w:adjustRightInd w:val="0"/>
              <w:snapToGrid w:val="0"/>
              <w:jc w:val="center"/>
              <w:rPr>
                <w:color w:val="auto"/>
                <w:sz w:val="21"/>
                <w:szCs w:val="21"/>
              </w:rPr>
            </w:pPr>
            <w:r>
              <w:rPr>
                <w:rFonts w:hint="eastAsia"/>
                <w:color w:val="auto"/>
                <w:sz w:val="21"/>
                <w:szCs w:val="21"/>
              </w:rPr>
              <w:t>56.9</w:t>
            </w:r>
          </w:p>
        </w:tc>
        <w:tc>
          <w:tcPr>
            <w:tcW w:w="1093" w:type="dxa"/>
            <w:tcBorders>
              <w:right w:val="single" w:color="000000" w:sz="4" w:space="0"/>
            </w:tcBorders>
            <w:vAlign w:val="center"/>
          </w:tcPr>
          <w:p>
            <w:pPr>
              <w:adjustRightInd w:val="0"/>
              <w:snapToGrid w:val="0"/>
              <w:jc w:val="center"/>
              <w:rPr>
                <w:color w:val="auto"/>
                <w:sz w:val="21"/>
                <w:szCs w:val="21"/>
              </w:rPr>
            </w:pPr>
            <w:r>
              <w:rPr>
                <w:rFonts w:hint="eastAsia"/>
                <w:color w:val="auto"/>
                <w:sz w:val="21"/>
                <w:szCs w:val="21"/>
              </w:rPr>
              <w:t>46.1</w:t>
            </w:r>
          </w:p>
        </w:tc>
        <w:tc>
          <w:tcPr>
            <w:tcW w:w="1092" w:type="dxa"/>
            <w:tcBorders>
              <w:left w:val="single" w:color="000000" w:sz="4" w:space="0"/>
            </w:tcBorders>
            <w:vAlign w:val="center"/>
          </w:tcPr>
          <w:p>
            <w:pPr>
              <w:adjustRightInd w:val="0"/>
              <w:snapToGrid w:val="0"/>
              <w:jc w:val="center"/>
              <w:rPr>
                <w:color w:val="auto"/>
                <w:sz w:val="21"/>
                <w:szCs w:val="21"/>
              </w:rPr>
            </w:pPr>
            <w:r>
              <w:rPr>
                <w:rFonts w:hint="eastAsia"/>
                <w:color w:val="auto"/>
                <w:sz w:val="21"/>
                <w:szCs w:val="21"/>
              </w:rPr>
              <w:t>56.3</w:t>
            </w:r>
          </w:p>
        </w:tc>
        <w:tc>
          <w:tcPr>
            <w:tcW w:w="1092" w:type="dxa"/>
            <w:tcBorders>
              <w:left w:val="single" w:color="auto" w:sz="4" w:space="0"/>
            </w:tcBorders>
            <w:vAlign w:val="center"/>
          </w:tcPr>
          <w:p>
            <w:pPr>
              <w:adjustRightInd w:val="0"/>
              <w:snapToGrid w:val="0"/>
              <w:jc w:val="center"/>
              <w:rPr>
                <w:color w:val="auto"/>
                <w:sz w:val="21"/>
                <w:szCs w:val="21"/>
              </w:rPr>
            </w:pPr>
            <w:r>
              <w:rPr>
                <w:rFonts w:hint="eastAsia"/>
                <w:color w:val="auto"/>
                <w:sz w:val="21"/>
                <w:szCs w:val="21"/>
              </w:rPr>
              <w:t>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69" w:type="dxa"/>
            <w:vMerge w:val="continue"/>
            <w:vAlign w:val="center"/>
          </w:tcPr>
          <w:p>
            <w:pPr>
              <w:adjustRightInd w:val="0"/>
              <w:snapToGrid w:val="0"/>
              <w:jc w:val="center"/>
              <w:rPr>
                <w:color w:val="auto"/>
                <w:sz w:val="21"/>
                <w:szCs w:val="21"/>
              </w:rPr>
            </w:pPr>
          </w:p>
        </w:tc>
        <w:tc>
          <w:tcPr>
            <w:tcW w:w="2731" w:type="dxa"/>
            <w:vAlign w:val="center"/>
          </w:tcPr>
          <w:p>
            <w:pPr>
              <w:adjustRightInd w:val="0"/>
              <w:snapToGrid w:val="0"/>
              <w:jc w:val="center"/>
              <w:rPr>
                <w:color w:val="auto"/>
                <w:sz w:val="21"/>
                <w:szCs w:val="21"/>
              </w:rPr>
            </w:pPr>
            <w:r>
              <w:rPr>
                <w:rFonts w:hAnsi="宋体"/>
                <w:color w:val="auto"/>
                <w:sz w:val="21"/>
                <w:szCs w:val="21"/>
              </w:rPr>
              <w:t>东侧化裕村居民房</w:t>
            </w:r>
            <w:r>
              <w:rPr>
                <w:color w:val="auto"/>
                <w:sz w:val="21"/>
                <w:szCs w:val="21"/>
              </w:rPr>
              <w:t>3</w:t>
            </w:r>
            <w:r>
              <w:rPr>
                <w:rFonts w:hAnsi="宋体"/>
                <w:color w:val="auto"/>
                <w:sz w:val="21"/>
                <w:szCs w:val="21"/>
              </w:rPr>
              <w:t>层</w:t>
            </w:r>
          </w:p>
        </w:tc>
        <w:tc>
          <w:tcPr>
            <w:tcW w:w="1493" w:type="dxa"/>
            <w:vAlign w:val="center"/>
          </w:tcPr>
          <w:p>
            <w:pPr>
              <w:adjustRightInd w:val="0"/>
              <w:snapToGrid w:val="0"/>
              <w:jc w:val="center"/>
              <w:rPr>
                <w:color w:val="auto"/>
                <w:sz w:val="21"/>
                <w:szCs w:val="21"/>
              </w:rPr>
            </w:pPr>
            <w:r>
              <w:rPr>
                <w:rFonts w:hAnsi="宋体"/>
                <w:color w:val="auto"/>
                <w:sz w:val="21"/>
                <w:szCs w:val="21"/>
              </w:rPr>
              <w:t>环境噪声</w:t>
            </w:r>
          </w:p>
        </w:tc>
        <w:tc>
          <w:tcPr>
            <w:tcW w:w="1091" w:type="dxa"/>
            <w:tcBorders>
              <w:right w:val="single" w:color="auto" w:sz="4" w:space="0"/>
            </w:tcBorders>
            <w:vAlign w:val="center"/>
          </w:tcPr>
          <w:p>
            <w:pPr>
              <w:adjustRightInd w:val="0"/>
              <w:snapToGrid w:val="0"/>
              <w:jc w:val="center"/>
              <w:rPr>
                <w:color w:val="auto"/>
                <w:sz w:val="21"/>
                <w:szCs w:val="21"/>
              </w:rPr>
            </w:pPr>
            <w:r>
              <w:rPr>
                <w:rFonts w:hint="eastAsia"/>
                <w:color w:val="auto"/>
                <w:sz w:val="21"/>
                <w:szCs w:val="21"/>
              </w:rPr>
              <w:t>57.2</w:t>
            </w:r>
          </w:p>
        </w:tc>
        <w:tc>
          <w:tcPr>
            <w:tcW w:w="1093" w:type="dxa"/>
            <w:tcBorders>
              <w:right w:val="single" w:color="000000" w:sz="4" w:space="0"/>
            </w:tcBorders>
            <w:vAlign w:val="center"/>
          </w:tcPr>
          <w:p>
            <w:pPr>
              <w:adjustRightInd w:val="0"/>
              <w:snapToGrid w:val="0"/>
              <w:jc w:val="center"/>
              <w:rPr>
                <w:color w:val="auto"/>
                <w:sz w:val="21"/>
                <w:szCs w:val="21"/>
              </w:rPr>
            </w:pPr>
            <w:r>
              <w:rPr>
                <w:rFonts w:hint="eastAsia"/>
                <w:color w:val="auto"/>
                <w:sz w:val="21"/>
                <w:szCs w:val="21"/>
              </w:rPr>
              <w:t>46.8</w:t>
            </w:r>
          </w:p>
        </w:tc>
        <w:tc>
          <w:tcPr>
            <w:tcW w:w="1092" w:type="dxa"/>
            <w:tcBorders>
              <w:left w:val="single" w:color="000000" w:sz="4" w:space="0"/>
            </w:tcBorders>
            <w:vAlign w:val="center"/>
          </w:tcPr>
          <w:p>
            <w:pPr>
              <w:adjustRightInd w:val="0"/>
              <w:snapToGrid w:val="0"/>
              <w:jc w:val="center"/>
              <w:rPr>
                <w:color w:val="auto"/>
                <w:sz w:val="21"/>
                <w:szCs w:val="21"/>
              </w:rPr>
            </w:pPr>
            <w:r>
              <w:rPr>
                <w:rFonts w:hint="eastAsia"/>
                <w:color w:val="auto"/>
                <w:sz w:val="21"/>
                <w:szCs w:val="21"/>
              </w:rPr>
              <w:t>56.7</w:t>
            </w:r>
          </w:p>
        </w:tc>
        <w:tc>
          <w:tcPr>
            <w:tcW w:w="1092" w:type="dxa"/>
            <w:tcBorders>
              <w:left w:val="single" w:color="auto" w:sz="4" w:space="0"/>
            </w:tcBorders>
            <w:vAlign w:val="center"/>
          </w:tcPr>
          <w:p>
            <w:pPr>
              <w:adjustRightInd w:val="0"/>
              <w:snapToGrid w:val="0"/>
              <w:jc w:val="center"/>
              <w:rPr>
                <w:color w:val="auto"/>
                <w:sz w:val="21"/>
                <w:szCs w:val="21"/>
              </w:rPr>
            </w:pPr>
            <w:r>
              <w:rPr>
                <w:rFonts w:hint="eastAsia"/>
                <w:color w:val="auto"/>
                <w:sz w:val="21"/>
                <w:szCs w:val="21"/>
              </w:rPr>
              <w:t>47.6</w:t>
            </w:r>
          </w:p>
        </w:tc>
      </w:tr>
    </w:tbl>
    <w:p>
      <w:pPr>
        <w:spacing w:line="360" w:lineRule="auto"/>
        <w:ind w:firstLine="480" w:firstLineChars="200"/>
        <w:jc w:val="left"/>
        <w:rPr>
          <w:color w:val="auto"/>
          <w:sz w:val="24"/>
          <w:szCs w:val="24"/>
        </w:rPr>
      </w:pPr>
      <w:r>
        <w:rPr>
          <w:rFonts w:hint="eastAsia"/>
          <w:color w:val="auto"/>
          <w:sz w:val="24"/>
          <w:szCs w:val="24"/>
        </w:rPr>
        <w:t>对照评价标准可知，项目边界外侧1米处各厂界噪声监测点及声环境敏感点噪声监测点的声环境质量现状均能够满足《声环境质量标准》(GB3096-2008)中的2类标准要求。</w:t>
      </w:r>
    </w:p>
    <w:p>
      <w:pPr>
        <w:pStyle w:val="4"/>
        <w:rPr>
          <w:color w:val="auto"/>
        </w:rPr>
      </w:pPr>
      <w:bookmarkStart w:id="128" w:name="_Toc26276850"/>
      <w:r>
        <w:rPr>
          <w:rFonts w:hint="eastAsia"/>
          <w:color w:val="auto"/>
        </w:rPr>
        <w:t>4.2.5土壤现状监测及评价</w:t>
      </w:r>
      <w:bookmarkEnd w:id="128"/>
    </w:p>
    <w:p>
      <w:pPr>
        <w:spacing w:line="360" w:lineRule="auto"/>
        <w:ind w:firstLine="480" w:firstLineChars="200"/>
        <w:rPr>
          <w:color w:val="auto"/>
          <w:sz w:val="24"/>
          <w:szCs w:val="24"/>
        </w:rPr>
      </w:pPr>
      <w:r>
        <w:rPr>
          <w:rFonts w:hint="eastAsia"/>
          <w:color w:val="auto"/>
          <w:sz w:val="24"/>
          <w:szCs w:val="24"/>
        </w:rPr>
        <w:t>为了解本项目建设前所在地及周围地区的土壤质量现状，建设单位委托梅州森海洋环保工程有限公司负责本项目的土壤环境质量现状调查工作。</w:t>
      </w:r>
    </w:p>
    <w:p>
      <w:pPr>
        <w:spacing w:line="360" w:lineRule="auto"/>
        <w:ind w:firstLine="482" w:firstLineChars="200"/>
        <w:rPr>
          <w:b/>
          <w:color w:val="auto"/>
          <w:sz w:val="24"/>
          <w:szCs w:val="24"/>
        </w:rPr>
      </w:pPr>
      <w:r>
        <w:rPr>
          <w:rFonts w:hint="eastAsia"/>
          <w:b/>
          <w:color w:val="auto"/>
          <w:sz w:val="24"/>
          <w:szCs w:val="24"/>
        </w:rPr>
        <w:t>1、采样时间和布点</w:t>
      </w:r>
    </w:p>
    <w:p>
      <w:pPr>
        <w:spacing w:line="360" w:lineRule="auto"/>
        <w:ind w:firstLine="480" w:firstLineChars="200"/>
        <w:rPr>
          <w:rFonts w:hint="eastAsia"/>
          <w:color w:val="auto"/>
          <w:sz w:val="24"/>
          <w:szCs w:val="24"/>
        </w:rPr>
      </w:pPr>
      <w:r>
        <w:rPr>
          <w:rFonts w:hint="eastAsia"/>
          <w:color w:val="auto"/>
          <w:sz w:val="24"/>
          <w:szCs w:val="24"/>
        </w:rPr>
        <w:t>根据建设项目土壤环境影响类型与影响途径识别，本项目对土壤环境的影响类型属于污染影响型，土壤环境评价工作等级为三级。根据《环境影响评价技术导则 土壤环境（试行）》（HJ964-2018）表6，本项目需在占地范围内布设3个表层样点，因项目占地面积为3.12 hm</w:t>
      </w:r>
      <w:r>
        <w:rPr>
          <w:rFonts w:hint="eastAsia"/>
          <w:color w:val="auto"/>
          <w:sz w:val="24"/>
          <w:szCs w:val="24"/>
          <w:vertAlign w:val="superscript"/>
        </w:rPr>
        <w:t>2</w:t>
      </w:r>
      <w:r>
        <w:rPr>
          <w:rFonts w:hint="eastAsia"/>
          <w:color w:val="auto"/>
          <w:sz w:val="24"/>
          <w:szCs w:val="24"/>
        </w:rPr>
        <w:t>，不超过100hm</w:t>
      </w:r>
      <w:r>
        <w:rPr>
          <w:rFonts w:hint="eastAsia"/>
          <w:color w:val="auto"/>
          <w:sz w:val="24"/>
          <w:szCs w:val="24"/>
          <w:vertAlign w:val="superscript"/>
        </w:rPr>
        <w:t>2</w:t>
      </w:r>
      <w:r>
        <w:rPr>
          <w:rFonts w:hint="eastAsia"/>
          <w:color w:val="auto"/>
          <w:sz w:val="24"/>
          <w:szCs w:val="24"/>
        </w:rPr>
        <w:t>，无需增加布点，故项目土壤现状监测点位确定为占地范围内3个表层样点。本项目土壤现状监测布点情况详见表4-2-11和图4-2-1。</w:t>
      </w:r>
    </w:p>
    <w:p>
      <w:pPr>
        <w:spacing w:line="360" w:lineRule="auto"/>
        <w:ind w:firstLine="480" w:firstLineChars="200"/>
        <w:rPr>
          <w:rFonts w:hint="eastAsia"/>
          <w:color w:val="auto"/>
          <w:sz w:val="24"/>
          <w:szCs w:val="24"/>
        </w:rPr>
      </w:pPr>
    </w:p>
    <w:p>
      <w:pPr>
        <w:spacing w:line="360" w:lineRule="auto"/>
        <w:jc w:val="center"/>
        <w:rPr>
          <w:b/>
          <w:color w:val="auto"/>
          <w:sz w:val="24"/>
          <w:szCs w:val="24"/>
        </w:rPr>
      </w:pPr>
      <w:r>
        <w:rPr>
          <w:rFonts w:hint="eastAsia"/>
          <w:b/>
          <w:color w:val="auto"/>
          <w:sz w:val="24"/>
          <w:szCs w:val="24"/>
        </w:rPr>
        <w:t>表4-2-11   土壤监测点布设</w:t>
      </w:r>
    </w:p>
    <w:tbl>
      <w:tblPr>
        <w:tblStyle w:val="28"/>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126"/>
        <w:gridCol w:w="2693"/>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tabs>
                <w:tab w:val="left" w:pos="900"/>
                <w:tab w:val="left" w:pos="1080"/>
              </w:tabs>
              <w:adjustRightInd w:val="0"/>
              <w:snapToGrid w:val="0"/>
              <w:jc w:val="center"/>
              <w:rPr>
                <w:b/>
                <w:color w:val="auto"/>
                <w:kern w:val="0"/>
                <w:sz w:val="21"/>
                <w:szCs w:val="22"/>
              </w:rPr>
            </w:pPr>
            <w:r>
              <w:rPr>
                <w:rFonts w:hAnsi="宋体"/>
                <w:b/>
                <w:color w:val="auto"/>
                <w:kern w:val="0"/>
                <w:sz w:val="21"/>
                <w:szCs w:val="22"/>
              </w:rPr>
              <w:t>编号</w:t>
            </w:r>
          </w:p>
        </w:tc>
        <w:tc>
          <w:tcPr>
            <w:tcW w:w="2126" w:type="dxa"/>
            <w:vAlign w:val="center"/>
          </w:tcPr>
          <w:p>
            <w:pPr>
              <w:widowControl/>
              <w:tabs>
                <w:tab w:val="left" w:pos="900"/>
                <w:tab w:val="left" w:pos="1080"/>
              </w:tabs>
              <w:adjustRightInd w:val="0"/>
              <w:snapToGrid w:val="0"/>
              <w:jc w:val="center"/>
              <w:rPr>
                <w:b/>
                <w:color w:val="auto"/>
                <w:kern w:val="0"/>
                <w:sz w:val="21"/>
                <w:szCs w:val="22"/>
              </w:rPr>
            </w:pPr>
            <w:r>
              <w:rPr>
                <w:rFonts w:hAnsi="宋体"/>
                <w:b/>
                <w:color w:val="auto"/>
                <w:kern w:val="0"/>
                <w:sz w:val="21"/>
                <w:szCs w:val="22"/>
              </w:rPr>
              <w:t>位置</w:t>
            </w:r>
          </w:p>
        </w:tc>
        <w:tc>
          <w:tcPr>
            <w:tcW w:w="2693" w:type="dxa"/>
            <w:vAlign w:val="center"/>
          </w:tcPr>
          <w:p>
            <w:pPr>
              <w:widowControl/>
              <w:tabs>
                <w:tab w:val="left" w:pos="900"/>
                <w:tab w:val="left" w:pos="1080"/>
              </w:tabs>
              <w:adjustRightInd w:val="0"/>
              <w:snapToGrid w:val="0"/>
              <w:jc w:val="center"/>
              <w:rPr>
                <w:b/>
                <w:color w:val="auto"/>
                <w:kern w:val="0"/>
                <w:sz w:val="21"/>
                <w:szCs w:val="22"/>
              </w:rPr>
            </w:pPr>
            <w:r>
              <w:rPr>
                <w:rFonts w:hAnsi="宋体"/>
                <w:b/>
                <w:color w:val="auto"/>
                <w:kern w:val="0"/>
                <w:sz w:val="21"/>
                <w:szCs w:val="22"/>
              </w:rPr>
              <w:t>取样类型</w:t>
            </w:r>
          </w:p>
        </w:tc>
        <w:tc>
          <w:tcPr>
            <w:tcW w:w="2977" w:type="dxa"/>
            <w:vAlign w:val="center"/>
          </w:tcPr>
          <w:p>
            <w:pPr>
              <w:widowControl/>
              <w:tabs>
                <w:tab w:val="left" w:pos="900"/>
                <w:tab w:val="left" w:pos="1080"/>
              </w:tabs>
              <w:adjustRightInd w:val="0"/>
              <w:snapToGrid w:val="0"/>
              <w:jc w:val="center"/>
              <w:rPr>
                <w:b/>
                <w:color w:val="auto"/>
                <w:kern w:val="0"/>
                <w:sz w:val="21"/>
                <w:szCs w:val="22"/>
              </w:rPr>
            </w:pPr>
            <w:r>
              <w:rPr>
                <w:rFonts w:hAnsi="宋体"/>
                <w:b/>
                <w:color w:val="auto"/>
                <w:kern w:val="0"/>
                <w:sz w:val="21"/>
                <w:szCs w:val="22"/>
              </w:rPr>
              <w:t>取样要求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tabs>
                <w:tab w:val="left" w:pos="900"/>
                <w:tab w:val="left" w:pos="1080"/>
              </w:tabs>
              <w:adjustRightInd w:val="0"/>
              <w:snapToGrid w:val="0"/>
              <w:jc w:val="center"/>
              <w:rPr>
                <w:color w:val="auto"/>
                <w:kern w:val="0"/>
                <w:sz w:val="21"/>
                <w:szCs w:val="22"/>
              </w:rPr>
            </w:pPr>
            <w:r>
              <w:rPr>
                <w:color w:val="auto"/>
                <w:kern w:val="0"/>
                <w:sz w:val="21"/>
                <w:szCs w:val="22"/>
              </w:rPr>
              <w:t>S1</w:t>
            </w:r>
          </w:p>
        </w:tc>
        <w:tc>
          <w:tcPr>
            <w:tcW w:w="2126" w:type="dxa"/>
            <w:vAlign w:val="center"/>
          </w:tcPr>
          <w:p>
            <w:pPr>
              <w:widowControl/>
              <w:tabs>
                <w:tab w:val="left" w:pos="900"/>
                <w:tab w:val="left" w:pos="1080"/>
              </w:tabs>
              <w:adjustRightInd w:val="0"/>
              <w:snapToGrid w:val="0"/>
              <w:jc w:val="center"/>
              <w:rPr>
                <w:color w:val="auto"/>
                <w:kern w:val="0"/>
                <w:sz w:val="21"/>
                <w:szCs w:val="22"/>
              </w:rPr>
            </w:pPr>
            <w:r>
              <w:rPr>
                <w:rFonts w:hAnsi="宋体"/>
                <w:color w:val="auto"/>
                <w:kern w:val="0"/>
                <w:sz w:val="21"/>
                <w:szCs w:val="22"/>
              </w:rPr>
              <w:t>项目</w:t>
            </w:r>
            <w:r>
              <w:rPr>
                <w:rFonts w:hint="eastAsia" w:hAnsi="宋体"/>
                <w:color w:val="auto"/>
                <w:kern w:val="0"/>
                <w:sz w:val="21"/>
                <w:szCs w:val="22"/>
              </w:rPr>
              <w:t>占地范围</w:t>
            </w:r>
            <w:r>
              <w:rPr>
                <w:rFonts w:hAnsi="宋体"/>
                <w:color w:val="auto"/>
                <w:kern w:val="0"/>
                <w:sz w:val="21"/>
                <w:szCs w:val="22"/>
              </w:rPr>
              <w:t>内</w:t>
            </w:r>
          </w:p>
        </w:tc>
        <w:tc>
          <w:tcPr>
            <w:tcW w:w="2693" w:type="dxa"/>
            <w:vAlign w:val="center"/>
          </w:tcPr>
          <w:p>
            <w:pPr>
              <w:widowControl/>
              <w:tabs>
                <w:tab w:val="left" w:pos="900"/>
                <w:tab w:val="left" w:pos="1080"/>
              </w:tabs>
              <w:adjustRightInd w:val="0"/>
              <w:snapToGrid w:val="0"/>
              <w:jc w:val="center"/>
              <w:rPr>
                <w:color w:val="auto"/>
                <w:kern w:val="0"/>
                <w:sz w:val="21"/>
                <w:szCs w:val="22"/>
              </w:rPr>
            </w:pPr>
            <w:r>
              <w:rPr>
                <w:color w:val="auto"/>
                <w:kern w:val="0"/>
                <w:sz w:val="21"/>
                <w:szCs w:val="22"/>
              </w:rPr>
              <w:t>1</w:t>
            </w:r>
            <w:r>
              <w:rPr>
                <w:rFonts w:hAnsi="宋体"/>
                <w:color w:val="auto"/>
                <w:kern w:val="0"/>
                <w:sz w:val="21"/>
                <w:szCs w:val="22"/>
              </w:rPr>
              <w:t>个表层样</w:t>
            </w:r>
          </w:p>
        </w:tc>
        <w:tc>
          <w:tcPr>
            <w:tcW w:w="2977" w:type="dxa"/>
            <w:vMerge w:val="restart"/>
            <w:vAlign w:val="center"/>
          </w:tcPr>
          <w:p>
            <w:pPr>
              <w:widowControl/>
              <w:tabs>
                <w:tab w:val="left" w:pos="900"/>
                <w:tab w:val="left" w:pos="1080"/>
              </w:tabs>
              <w:adjustRightInd w:val="0"/>
              <w:snapToGrid w:val="0"/>
              <w:jc w:val="center"/>
              <w:rPr>
                <w:color w:val="auto"/>
                <w:kern w:val="0"/>
                <w:sz w:val="21"/>
                <w:szCs w:val="22"/>
              </w:rPr>
            </w:pPr>
            <w:r>
              <w:rPr>
                <w:rFonts w:hAnsi="宋体"/>
                <w:color w:val="auto"/>
                <w:kern w:val="0"/>
                <w:sz w:val="21"/>
                <w:szCs w:val="22"/>
              </w:rPr>
              <w:t>表层样在</w:t>
            </w:r>
            <w:r>
              <w:rPr>
                <w:color w:val="auto"/>
                <w:kern w:val="0"/>
                <w:sz w:val="21"/>
                <w:szCs w:val="22"/>
              </w:rPr>
              <w:t>0~0.2m</w:t>
            </w:r>
            <w:r>
              <w:rPr>
                <w:rFonts w:hAnsi="宋体"/>
                <w:color w:val="auto"/>
                <w:kern w:val="0"/>
                <w:sz w:val="21"/>
                <w:szCs w:val="22"/>
              </w:rPr>
              <w:t>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tabs>
                <w:tab w:val="left" w:pos="900"/>
                <w:tab w:val="left" w:pos="1080"/>
              </w:tabs>
              <w:adjustRightInd w:val="0"/>
              <w:snapToGrid w:val="0"/>
              <w:jc w:val="center"/>
              <w:rPr>
                <w:color w:val="auto"/>
                <w:kern w:val="0"/>
                <w:sz w:val="21"/>
                <w:szCs w:val="22"/>
              </w:rPr>
            </w:pPr>
            <w:r>
              <w:rPr>
                <w:color w:val="auto"/>
                <w:kern w:val="0"/>
                <w:sz w:val="21"/>
                <w:szCs w:val="22"/>
              </w:rPr>
              <w:t>S2</w:t>
            </w:r>
          </w:p>
        </w:tc>
        <w:tc>
          <w:tcPr>
            <w:tcW w:w="2126" w:type="dxa"/>
            <w:vAlign w:val="center"/>
          </w:tcPr>
          <w:p>
            <w:pPr>
              <w:widowControl/>
              <w:tabs>
                <w:tab w:val="left" w:pos="900"/>
                <w:tab w:val="left" w:pos="1080"/>
              </w:tabs>
              <w:adjustRightInd w:val="0"/>
              <w:snapToGrid w:val="0"/>
              <w:jc w:val="center"/>
              <w:rPr>
                <w:color w:val="auto"/>
                <w:kern w:val="0"/>
                <w:sz w:val="21"/>
                <w:szCs w:val="22"/>
              </w:rPr>
            </w:pPr>
            <w:r>
              <w:rPr>
                <w:rFonts w:hAnsi="宋体"/>
                <w:color w:val="auto"/>
                <w:kern w:val="0"/>
                <w:sz w:val="21"/>
                <w:szCs w:val="22"/>
              </w:rPr>
              <w:t>项目</w:t>
            </w:r>
            <w:r>
              <w:rPr>
                <w:rFonts w:hint="eastAsia" w:hAnsi="宋体"/>
                <w:color w:val="auto"/>
                <w:kern w:val="0"/>
                <w:sz w:val="21"/>
                <w:szCs w:val="22"/>
              </w:rPr>
              <w:t>占地范围</w:t>
            </w:r>
            <w:r>
              <w:rPr>
                <w:rFonts w:hAnsi="宋体"/>
                <w:color w:val="auto"/>
                <w:kern w:val="0"/>
                <w:sz w:val="21"/>
                <w:szCs w:val="22"/>
              </w:rPr>
              <w:t>内</w:t>
            </w:r>
          </w:p>
        </w:tc>
        <w:tc>
          <w:tcPr>
            <w:tcW w:w="2693" w:type="dxa"/>
            <w:vAlign w:val="center"/>
          </w:tcPr>
          <w:p>
            <w:pPr>
              <w:widowControl/>
              <w:tabs>
                <w:tab w:val="left" w:pos="900"/>
                <w:tab w:val="left" w:pos="1080"/>
              </w:tabs>
              <w:adjustRightInd w:val="0"/>
              <w:snapToGrid w:val="0"/>
              <w:jc w:val="center"/>
              <w:rPr>
                <w:color w:val="auto"/>
                <w:sz w:val="21"/>
                <w:szCs w:val="22"/>
              </w:rPr>
            </w:pPr>
            <w:r>
              <w:rPr>
                <w:color w:val="auto"/>
                <w:kern w:val="0"/>
                <w:sz w:val="21"/>
                <w:szCs w:val="22"/>
              </w:rPr>
              <w:t>1</w:t>
            </w:r>
            <w:r>
              <w:rPr>
                <w:rFonts w:hAnsi="宋体"/>
                <w:color w:val="auto"/>
                <w:kern w:val="0"/>
                <w:sz w:val="21"/>
                <w:szCs w:val="22"/>
              </w:rPr>
              <w:t>个表层样</w:t>
            </w:r>
          </w:p>
        </w:tc>
        <w:tc>
          <w:tcPr>
            <w:tcW w:w="2977" w:type="dxa"/>
            <w:vMerge w:val="continue"/>
            <w:vAlign w:val="center"/>
          </w:tcPr>
          <w:p>
            <w:pPr>
              <w:jc w:val="center"/>
              <w:rPr>
                <w:color w:val="auto"/>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tabs>
                <w:tab w:val="left" w:pos="900"/>
                <w:tab w:val="left" w:pos="1080"/>
              </w:tabs>
              <w:adjustRightInd w:val="0"/>
              <w:snapToGrid w:val="0"/>
              <w:jc w:val="center"/>
              <w:rPr>
                <w:color w:val="auto"/>
                <w:kern w:val="0"/>
                <w:sz w:val="21"/>
                <w:szCs w:val="22"/>
              </w:rPr>
            </w:pPr>
            <w:r>
              <w:rPr>
                <w:color w:val="auto"/>
                <w:kern w:val="0"/>
                <w:sz w:val="21"/>
                <w:szCs w:val="22"/>
              </w:rPr>
              <w:t>S3</w:t>
            </w:r>
          </w:p>
        </w:tc>
        <w:tc>
          <w:tcPr>
            <w:tcW w:w="2126" w:type="dxa"/>
            <w:vAlign w:val="center"/>
          </w:tcPr>
          <w:p>
            <w:pPr>
              <w:widowControl/>
              <w:tabs>
                <w:tab w:val="left" w:pos="900"/>
                <w:tab w:val="left" w:pos="1080"/>
              </w:tabs>
              <w:adjustRightInd w:val="0"/>
              <w:snapToGrid w:val="0"/>
              <w:jc w:val="center"/>
              <w:rPr>
                <w:color w:val="auto"/>
                <w:kern w:val="0"/>
                <w:sz w:val="21"/>
                <w:szCs w:val="22"/>
              </w:rPr>
            </w:pPr>
            <w:r>
              <w:rPr>
                <w:rFonts w:hAnsi="宋体"/>
                <w:color w:val="auto"/>
                <w:kern w:val="0"/>
                <w:sz w:val="21"/>
                <w:szCs w:val="22"/>
              </w:rPr>
              <w:t>项目</w:t>
            </w:r>
            <w:r>
              <w:rPr>
                <w:rFonts w:hint="eastAsia" w:hAnsi="宋体"/>
                <w:color w:val="auto"/>
                <w:kern w:val="0"/>
                <w:sz w:val="21"/>
                <w:szCs w:val="22"/>
              </w:rPr>
              <w:t>占地范围</w:t>
            </w:r>
            <w:r>
              <w:rPr>
                <w:rFonts w:hAnsi="宋体"/>
                <w:color w:val="auto"/>
                <w:kern w:val="0"/>
                <w:sz w:val="21"/>
                <w:szCs w:val="22"/>
              </w:rPr>
              <w:t>内</w:t>
            </w:r>
          </w:p>
        </w:tc>
        <w:tc>
          <w:tcPr>
            <w:tcW w:w="2693" w:type="dxa"/>
            <w:vAlign w:val="center"/>
          </w:tcPr>
          <w:p>
            <w:pPr>
              <w:widowControl/>
              <w:tabs>
                <w:tab w:val="left" w:pos="900"/>
                <w:tab w:val="left" w:pos="1080"/>
              </w:tabs>
              <w:adjustRightInd w:val="0"/>
              <w:snapToGrid w:val="0"/>
              <w:jc w:val="center"/>
              <w:rPr>
                <w:color w:val="auto"/>
                <w:kern w:val="0"/>
                <w:sz w:val="21"/>
                <w:szCs w:val="22"/>
              </w:rPr>
            </w:pPr>
            <w:r>
              <w:rPr>
                <w:color w:val="auto"/>
                <w:kern w:val="0"/>
                <w:sz w:val="21"/>
                <w:szCs w:val="22"/>
              </w:rPr>
              <w:t>1</w:t>
            </w:r>
            <w:r>
              <w:rPr>
                <w:rFonts w:hAnsi="宋体"/>
                <w:color w:val="auto"/>
                <w:kern w:val="0"/>
                <w:sz w:val="21"/>
                <w:szCs w:val="22"/>
              </w:rPr>
              <w:t>个表层样</w:t>
            </w:r>
          </w:p>
        </w:tc>
        <w:tc>
          <w:tcPr>
            <w:tcW w:w="2977" w:type="dxa"/>
            <w:vMerge w:val="continue"/>
            <w:vAlign w:val="center"/>
          </w:tcPr>
          <w:p>
            <w:pPr>
              <w:jc w:val="center"/>
              <w:rPr>
                <w:color w:val="auto"/>
                <w:sz w:val="21"/>
                <w:szCs w:val="22"/>
              </w:rPr>
            </w:pPr>
          </w:p>
        </w:tc>
      </w:tr>
    </w:tbl>
    <w:p>
      <w:pPr>
        <w:spacing w:line="360" w:lineRule="auto"/>
        <w:ind w:firstLine="482" w:firstLineChars="200"/>
        <w:jc w:val="left"/>
        <w:rPr>
          <w:b/>
          <w:color w:val="auto"/>
          <w:sz w:val="24"/>
          <w:szCs w:val="24"/>
        </w:rPr>
      </w:pPr>
      <w:r>
        <w:rPr>
          <w:rFonts w:hint="eastAsia"/>
          <w:b/>
          <w:color w:val="auto"/>
          <w:sz w:val="24"/>
          <w:szCs w:val="24"/>
        </w:rPr>
        <w:t>2、监测项目</w:t>
      </w:r>
    </w:p>
    <w:p>
      <w:pPr>
        <w:spacing w:line="360" w:lineRule="auto"/>
        <w:ind w:firstLine="480" w:firstLineChars="200"/>
        <w:jc w:val="left"/>
        <w:rPr>
          <w:color w:val="auto"/>
          <w:sz w:val="24"/>
          <w:szCs w:val="24"/>
        </w:rPr>
      </w:pPr>
      <w:r>
        <w:rPr>
          <w:rFonts w:hint="eastAsia"/>
          <w:color w:val="auto"/>
          <w:sz w:val="24"/>
          <w:szCs w:val="24"/>
        </w:rPr>
        <w:t>重金属类：总砷、总镉、六价铬、总铜、总铅、总汞、总镍，共7项；</w:t>
      </w:r>
    </w:p>
    <w:p>
      <w:pPr>
        <w:spacing w:line="360" w:lineRule="auto"/>
        <w:ind w:firstLine="480" w:firstLineChars="200"/>
        <w:jc w:val="left"/>
        <w:rPr>
          <w:color w:val="auto"/>
          <w:sz w:val="24"/>
          <w:szCs w:val="24"/>
        </w:rPr>
      </w:pPr>
      <w:r>
        <w:rPr>
          <w:rFonts w:hint="eastAsia"/>
          <w:color w:val="auto"/>
          <w:sz w:val="24"/>
          <w:szCs w:val="24"/>
        </w:rPr>
        <w:t>挥发性有机物类：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共27项；</w:t>
      </w:r>
    </w:p>
    <w:p>
      <w:pPr>
        <w:spacing w:line="360" w:lineRule="auto"/>
        <w:ind w:firstLine="480" w:firstLineChars="200"/>
        <w:jc w:val="left"/>
        <w:rPr>
          <w:color w:val="auto"/>
          <w:sz w:val="24"/>
          <w:szCs w:val="24"/>
        </w:rPr>
      </w:pPr>
      <w:r>
        <w:rPr>
          <w:rFonts w:hint="eastAsia"/>
          <w:color w:val="auto"/>
          <w:sz w:val="24"/>
          <w:szCs w:val="24"/>
        </w:rPr>
        <w:t>半挥发性有机物类：硝基苯、苯胺、</w:t>
      </w:r>
      <w:r>
        <w:rPr>
          <w:color w:val="auto"/>
          <w:sz w:val="24"/>
          <w:szCs w:val="24"/>
        </w:rPr>
        <w:t>2-</w:t>
      </w:r>
      <w:r>
        <w:rPr>
          <w:rFonts w:hint="eastAsia"/>
          <w:color w:val="auto"/>
          <w:sz w:val="24"/>
          <w:szCs w:val="24"/>
        </w:rPr>
        <w:t>氯酚、苯并</w:t>
      </w:r>
      <w:r>
        <w:rPr>
          <w:color w:val="auto"/>
          <w:sz w:val="24"/>
          <w:szCs w:val="24"/>
        </w:rPr>
        <w:t>[a]</w:t>
      </w:r>
      <w:r>
        <w:rPr>
          <w:rFonts w:hint="eastAsia"/>
          <w:color w:val="auto"/>
          <w:sz w:val="24"/>
          <w:szCs w:val="24"/>
        </w:rPr>
        <w:t>蒽、苯并</w:t>
      </w:r>
      <w:r>
        <w:rPr>
          <w:color w:val="auto"/>
          <w:sz w:val="24"/>
          <w:szCs w:val="24"/>
        </w:rPr>
        <w:t>[a]</w:t>
      </w:r>
      <w:r>
        <w:rPr>
          <w:rFonts w:hint="eastAsia"/>
          <w:color w:val="auto"/>
          <w:sz w:val="24"/>
          <w:szCs w:val="24"/>
        </w:rPr>
        <w:t>芘、苯并</w:t>
      </w:r>
      <w:r>
        <w:rPr>
          <w:color w:val="auto"/>
          <w:sz w:val="24"/>
          <w:szCs w:val="24"/>
        </w:rPr>
        <w:t>[b]</w:t>
      </w:r>
      <w:r>
        <w:rPr>
          <w:rFonts w:hint="eastAsia"/>
          <w:color w:val="auto"/>
          <w:sz w:val="24"/>
          <w:szCs w:val="24"/>
        </w:rPr>
        <w:t>荧蒽、苯并</w:t>
      </w:r>
      <w:r>
        <w:rPr>
          <w:color w:val="auto"/>
          <w:sz w:val="24"/>
          <w:szCs w:val="24"/>
        </w:rPr>
        <w:t>[k]</w:t>
      </w:r>
      <w:r>
        <w:rPr>
          <w:rFonts w:hint="eastAsia"/>
          <w:color w:val="auto"/>
          <w:sz w:val="24"/>
          <w:szCs w:val="24"/>
        </w:rPr>
        <w:t>荧蒽、䓛、二苯并</w:t>
      </w:r>
      <w:r>
        <w:rPr>
          <w:color w:val="auto"/>
          <w:sz w:val="24"/>
          <w:szCs w:val="24"/>
        </w:rPr>
        <w:t>[a,h]</w:t>
      </w:r>
      <w:r>
        <w:rPr>
          <w:rFonts w:hint="eastAsia"/>
          <w:color w:val="auto"/>
          <w:sz w:val="24"/>
          <w:szCs w:val="24"/>
        </w:rPr>
        <w:t>蒽、茚并</w:t>
      </w:r>
      <w:r>
        <w:rPr>
          <w:color w:val="auto"/>
          <w:sz w:val="24"/>
          <w:szCs w:val="24"/>
        </w:rPr>
        <w:t>[1,2,3-cd]</w:t>
      </w:r>
      <w:r>
        <w:rPr>
          <w:rFonts w:hint="eastAsia"/>
          <w:color w:val="auto"/>
          <w:sz w:val="24"/>
          <w:szCs w:val="24"/>
        </w:rPr>
        <w:t>芘、萘，共</w:t>
      </w:r>
      <w:r>
        <w:rPr>
          <w:color w:val="auto"/>
          <w:sz w:val="24"/>
          <w:szCs w:val="24"/>
        </w:rPr>
        <w:t>11</w:t>
      </w:r>
      <w:r>
        <w:rPr>
          <w:rFonts w:hint="eastAsia"/>
          <w:color w:val="auto"/>
          <w:sz w:val="24"/>
          <w:szCs w:val="24"/>
        </w:rPr>
        <w:t>项。</w:t>
      </w:r>
    </w:p>
    <w:p>
      <w:pPr>
        <w:spacing w:line="360" w:lineRule="auto"/>
        <w:ind w:firstLine="482" w:firstLineChars="200"/>
        <w:jc w:val="left"/>
        <w:rPr>
          <w:b/>
          <w:color w:val="auto"/>
          <w:sz w:val="24"/>
          <w:szCs w:val="24"/>
        </w:rPr>
      </w:pPr>
      <w:r>
        <w:rPr>
          <w:rFonts w:hint="eastAsia"/>
          <w:b/>
          <w:color w:val="auto"/>
          <w:sz w:val="24"/>
          <w:szCs w:val="24"/>
        </w:rPr>
        <w:t>3、采样时间和频次</w:t>
      </w:r>
    </w:p>
    <w:p>
      <w:pPr>
        <w:spacing w:line="360" w:lineRule="auto"/>
        <w:ind w:firstLine="480" w:firstLineChars="200"/>
        <w:jc w:val="left"/>
        <w:rPr>
          <w:color w:val="auto"/>
          <w:sz w:val="24"/>
          <w:szCs w:val="24"/>
        </w:rPr>
      </w:pPr>
      <w:r>
        <w:rPr>
          <w:rFonts w:hint="eastAsia"/>
          <w:color w:val="auto"/>
          <w:sz w:val="24"/>
          <w:szCs w:val="24"/>
        </w:rPr>
        <w:t>采样时间为2020年10月12日，取样一次。</w:t>
      </w:r>
    </w:p>
    <w:p>
      <w:pPr>
        <w:spacing w:line="360" w:lineRule="auto"/>
        <w:ind w:firstLine="482" w:firstLineChars="200"/>
        <w:jc w:val="left"/>
        <w:rPr>
          <w:b/>
          <w:color w:val="auto"/>
          <w:sz w:val="24"/>
          <w:szCs w:val="24"/>
        </w:rPr>
      </w:pPr>
      <w:r>
        <w:rPr>
          <w:rFonts w:hint="eastAsia"/>
          <w:b/>
          <w:color w:val="auto"/>
          <w:sz w:val="24"/>
          <w:szCs w:val="24"/>
        </w:rPr>
        <w:t>4、评价标准及评价方法</w:t>
      </w:r>
    </w:p>
    <w:p>
      <w:pPr>
        <w:spacing w:line="360" w:lineRule="auto"/>
        <w:ind w:firstLine="480" w:firstLineChars="200"/>
        <w:jc w:val="left"/>
        <w:rPr>
          <w:color w:val="auto"/>
          <w:sz w:val="24"/>
          <w:szCs w:val="24"/>
        </w:rPr>
      </w:pPr>
      <w:r>
        <w:rPr>
          <w:rFonts w:hint="eastAsia"/>
          <w:color w:val="auto"/>
          <w:sz w:val="24"/>
          <w:szCs w:val="24"/>
        </w:rPr>
        <w:t>土壤环境质量标准参照执行《土壤环境质量 建设用地土壤污染风险管控标准》（试行）</w:t>
      </w:r>
      <w:r>
        <w:rPr>
          <w:color w:val="auto"/>
          <w:sz w:val="24"/>
          <w:szCs w:val="24"/>
        </w:rPr>
        <w:t>(GB</w:t>
      </w:r>
      <w:r>
        <w:rPr>
          <w:rFonts w:hint="eastAsia"/>
          <w:color w:val="auto"/>
          <w:sz w:val="24"/>
          <w:szCs w:val="24"/>
        </w:rPr>
        <w:t>3600</w:t>
      </w:r>
      <w:r>
        <w:rPr>
          <w:color w:val="auto"/>
          <w:sz w:val="24"/>
          <w:szCs w:val="24"/>
        </w:rPr>
        <w:t xml:space="preserve">-2018) </w:t>
      </w:r>
      <w:r>
        <w:rPr>
          <w:rFonts w:hint="eastAsia"/>
          <w:color w:val="auto"/>
          <w:sz w:val="24"/>
          <w:szCs w:val="24"/>
        </w:rPr>
        <w:t>第二类用地土壤环境风险评价筛选值。</w:t>
      </w:r>
    </w:p>
    <w:p>
      <w:pPr>
        <w:spacing w:line="360" w:lineRule="auto"/>
        <w:ind w:firstLine="480" w:firstLineChars="200"/>
        <w:jc w:val="left"/>
        <w:rPr>
          <w:color w:val="auto"/>
          <w:sz w:val="24"/>
          <w:szCs w:val="24"/>
        </w:rPr>
      </w:pPr>
      <w:r>
        <w:rPr>
          <w:rFonts w:hint="eastAsia"/>
          <w:color w:val="auto"/>
          <w:sz w:val="24"/>
          <w:szCs w:val="24"/>
        </w:rPr>
        <w:t>根据《环境影响评价技术导则 土壤环境（试行）》，（HJ964-2018），土壤环境质量现状评价应采用标准指数法，并进行统计分析，给出样本数量、最大值、最小值、均值、标准差、检出率和超标率、最大超标倍数等。</w:t>
      </w:r>
    </w:p>
    <w:p>
      <w:pPr>
        <w:spacing w:line="360" w:lineRule="auto"/>
        <w:ind w:firstLine="480" w:firstLineChars="200"/>
        <w:jc w:val="left"/>
        <w:rPr>
          <w:color w:val="auto"/>
          <w:sz w:val="24"/>
          <w:szCs w:val="24"/>
        </w:rPr>
      </w:pPr>
      <w:r>
        <w:rPr>
          <w:rFonts w:hint="eastAsia"/>
          <w:color w:val="auto"/>
          <w:sz w:val="24"/>
          <w:szCs w:val="24"/>
        </w:rPr>
        <w:t>对照附录D给出各监测点位土壤盐化、酸化、碱化的级别，统计样本数量、最大值、最小值和均值，并评价均值对应的级别。</w:t>
      </w:r>
    </w:p>
    <w:p>
      <w:pPr>
        <w:spacing w:line="360" w:lineRule="auto"/>
        <w:ind w:firstLine="482" w:firstLineChars="200"/>
        <w:jc w:val="left"/>
        <w:rPr>
          <w:b/>
          <w:color w:val="auto"/>
          <w:sz w:val="24"/>
          <w:szCs w:val="24"/>
        </w:rPr>
      </w:pPr>
      <w:r>
        <w:rPr>
          <w:rFonts w:hint="eastAsia"/>
          <w:b/>
          <w:color w:val="auto"/>
          <w:sz w:val="24"/>
          <w:szCs w:val="24"/>
        </w:rPr>
        <w:t>5、监测结果与评价</w:t>
      </w:r>
    </w:p>
    <w:p>
      <w:pPr>
        <w:spacing w:line="360" w:lineRule="auto"/>
        <w:jc w:val="center"/>
        <w:rPr>
          <w:b/>
          <w:color w:val="auto"/>
          <w:sz w:val="24"/>
          <w:szCs w:val="24"/>
        </w:rPr>
      </w:pPr>
      <w:r>
        <w:rPr>
          <w:rFonts w:hint="eastAsia"/>
          <w:b/>
          <w:color w:val="auto"/>
          <w:sz w:val="24"/>
          <w:szCs w:val="24"/>
        </w:rPr>
        <w:t>表4-2-12   土壤环境质量检测统计结果</w:t>
      </w:r>
    </w:p>
    <w:tbl>
      <w:tblPr>
        <w:tblStyle w:val="28"/>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1"/>
        <w:gridCol w:w="970"/>
        <w:gridCol w:w="992"/>
        <w:gridCol w:w="992"/>
        <w:gridCol w:w="1298"/>
        <w:gridCol w:w="1134"/>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571" w:type="dxa"/>
            <w:vAlign w:val="center"/>
          </w:tcPr>
          <w:p>
            <w:pPr>
              <w:widowControl/>
              <w:adjustRightInd w:val="0"/>
              <w:snapToGrid w:val="0"/>
              <w:jc w:val="center"/>
              <w:rPr>
                <w:b/>
                <w:color w:val="auto"/>
                <w:kern w:val="0"/>
                <w:sz w:val="21"/>
                <w:szCs w:val="21"/>
              </w:rPr>
            </w:pPr>
            <w:r>
              <w:rPr>
                <w:rFonts w:hAnsi="宋体"/>
                <w:b/>
                <w:color w:val="auto"/>
                <w:kern w:val="0"/>
                <w:sz w:val="21"/>
                <w:szCs w:val="21"/>
              </w:rPr>
              <w:t>检测项目</w:t>
            </w:r>
          </w:p>
        </w:tc>
        <w:tc>
          <w:tcPr>
            <w:tcW w:w="970"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最大值</w:t>
            </w:r>
          </w:p>
        </w:tc>
        <w:tc>
          <w:tcPr>
            <w:tcW w:w="992"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最小值</w:t>
            </w:r>
          </w:p>
        </w:tc>
        <w:tc>
          <w:tcPr>
            <w:tcW w:w="992"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平均值</w:t>
            </w:r>
          </w:p>
        </w:tc>
        <w:tc>
          <w:tcPr>
            <w:tcW w:w="1298"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标准差</w:t>
            </w:r>
          </w:p>
        </w:tc>
        <w:tc>
          <w:tcPr>
            <w:tcW w:w="1134"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标准指数</w:t>
            </w:r>
            <w:r>
              <w:rPr>
                <w:b/>
                <w:color w:val="auto"/>
                <w:kern w:val="0"/>
                <w:sz w:val="21"/>
                <w:szCs w:val="21"/>
                <w:vertAlign w:val="superscript"/>
              </w:rPr>
              <w:t>*</w:t>
            </w:r>
          </w:p>
        </w:tc>
        <w:tc>
          <w:tcPr>
            <w:tcW w:w="908" w:type="dxa"/>
            <w:noWrap/>
            <w:vAlign w:val="center"/>
          </w:tcPr>
          <w:p>
            <w:pPr>
              <w:widowControl/>
              <w:adjustRightInd w:val="0"/>
              <w:snapToGrid w:val="0"/>
              <w:jc w:val="center"/>
              <w:rPr>
                <w:b/>
                <w:color w:val="auto"/>
                <w:kern w:val="0"/>
                <w:sz w:val="21"/>
                <w:szCs w:val="21"/>
              </w:rPr>
            </w:pPr>
            <w:r>
              <w:rPr>
                <w:rFonts w:hAnsi="宋体"/>
                <w:b/>
                <w:color w:val="auto"/>
                <w:kern w:val="0"/>
                <w:sz w:val="21"/>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总砷</w:t>
            </w:r>
          </w:p>
        </w:tc>
        <w:tc>
          <w:tcPr>
            <w:tcW w:w="970"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3.02</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2.29</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2.5800</w:t>
            </w:r>
          </w:p>
        </w:tc>
        <w:tc>
          <w:tcPr>
            <w:tcW w:w="1298"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0.547905</w:t>
            </w:r>
          </w:p>
        </w:tc>
        <w:tc>
          <w:tcPr>
            <w:tcW w:w="1134"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0.050333</w:t>
            </w:r>
          </w:p>
        </w:tc>
        <w:tc>
          <w:tcPr>
            <w:tcW w:w="908" w:type="dxa"/>
            <w:vAlign w:val="center"/>
          </w:tcPr>
          <w:p>
            <w:pPr>
              <w:widowControl/>
              <w:adjustRightInd w:val="0"/>
              <w:snapToGrid w:val="0"/>
              <w:jc w:val="center"/>
              <w:rPr>
                <w:color w:val="auto"/>
                <w:kern w:val="0"/>
                <w:sz w:val="21"/>
                <w:szCs w:val="21"/>
              </w:rPr>
            </w:pPr>
            <w:r>
              <w:rPr>
                <w:color w:val="auto"/>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总镉</w:t>
            </w:r>
          </w:p>
        </w:tc>
        <w:tc>
          <w:tcPr>
            <w:tcW w:w="970"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0.04</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0.02</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0.0300</w:t>
            </w:r>
          </w:p>
        </w:tc>
        <w:tc>
          <w:tcPr>
            <w:tcW w:w="1298"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0.014142</w:t>
            </w:r>
          </w:p>
        </w:tc>
        <w:tc>
          <w:tcPr>
            <w:tcW w:w="1134"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0.000615</w:t>
            </w:r>
          </w:p>
        </w:tc>
        <w:tc>
          <w:tcPr>
            <w:tcW w:w="908" w:type="dxa"/>
            <w:vAlign w:val="center"/>
          </w:tcPr>
          <w:p>
            <w:pPr>
              <w:widowControl/>
              <w:adjustRightInd w:val="0"/>
              <w:snapToGrid w:val="0"/>
              <w:jc w:val="center"/>
              <w:rPr>
                <w:color w:val="auto"/>
                <w:kern w:val="0"/>
                <w:sz w:val="21"/>
                <w:szCs w:val="21"/>
              </w:rPr>
            </w:pPr>
            <w:r>
              <w:rPr>
                <w:color w:val="auto"/>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六价铬</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总铜</w:t>
            </w:r>
          </w:p>
        </w:tc>
        <w:tc>
          <w:tcPr>
            <w:tcW w:w="970"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14</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11</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12.3333</w:t>
            </w:r>
          </w:p>
        </w:tc>
        <w:tc>
          <w:tcPr>
            <w:tcW w:w="1298"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2.160247</w:t>
            </w:r>
          </w:p>
        </w:tc>
        <w:tc>
          <w:tcPr>
            <w:tcW w:w="1134"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0.000778</w:t>
            </w:r>
          </w:p>
        </w:tc>
        <w:tc>
          <w:tcPr>
            <w:tcW w:w="908" w:type="dxa"/>
            <w:vAlign w:val="center"/>
          </w:tcPr>
          <w:p>
            <w:pPr>
              <w:widowControl/>
              <w:adjustRightInd w:val="0"/>
              <w:snapToGrid w:val="0"/>
              <w:jc w:val="center"/>
              <w:rPr>
                <w:color w:val="auto"/>
                <w:kern w:val="0"/>
                <w:sz w:val="21"/>
                <w:szCs w:val="21"/>
              </w:rPr>
            </w:pPr>
            <w:r>
              <w:rPr>
                <w:color w:val="auto"/>
                <w:sz w:val="21"/>
                <w:szCs w:val="21"/>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总铅</w:t>
            </w:r>
          </w:p>
        </w:tc>
        <w:tc>
          <w:tcPr>
            <w:tcW w:w="970"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40.5</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20.6</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28.3000</w:t>
            </w:r>
          </w:p>
        </w:tc>
        <w:tc>
          <w:tcPr>
            <w:tcW w:w="1298"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15.11225</w:t>
            </w:r>
          </w:p>
        </w:tc>
        <w:tc>
          <w:tcPr>
            <w:tcW w:w="1134"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0.050625</w:t>
            </w:r>
          </w:p>
        </w:tc>
        <w:tc>
          <w:tcPr>
            <w:tcW w:w="908" w:type="dxa"/>
            <w:vAlign w:val="center"/>
          </w:tcPr>
          <w:p>
            <w:pPr>
              <w:widowControl/>
              <w:adjustRightInd w:val="0"/>
              <w:snapToGrid w:val="0"/>
              <w:jc w:val="center"/>
              <w:rPr>
                <w:color w:val="auto"/>
                <w:kern w:val="0"/>
                <w:sz w:val="21"/>
                <w:szCs w:val="21"/>
              </w:rPr>
            </w:pPr>
            <w:r>
              <w:rPr>
                <w:color w:val="auto"/>
                <w:sz w:val="21"/>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总汞</w:t>
            </w:r>
          </w:p>
        </w:tc>
        <w:tc>
          <w:tcPr>
            <w:tcW w:w="970"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0.034</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0.026</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0.0310</w:t>
            </w:r>
          </w:p>
        </w:tc>
        <w:tc>
          <w:tcPr>
            <w:tcW w:w="1298"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0.006164</w:t>
            </w:r>
          </w:p>
        </w:tc>
        <w:tc>
          <w:tcPr>
            <w:tcW w:w="1134"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0.000895</w:t>
            </w:r>
          </w:p>
        </w:tc>
        <w:tc>
          <w:tcPr>
            <w:tcW w:w="908" w:type="dxa"/>
            <w:vAlign w:val="center"/>
          </w:tcPr>
          <w:p>
            <w:pPr>
              <w:widowControl/>
              <w:adjustRightInd w:val="0"/>
              <w:snapToGrid w:val="0"/>
              <w:jc w:val="center"/>
              <w:rPr>
                <w:color w:val="auto"/>
                <w:kern w:val="0"/>
                <w:sz w:val="21"/>
                <w:szCs w:val="21"/>
              </w:rPr>
            </w:pPr>
            <w:r>
              <w:rPr>
                <w:color w:val="auto"/>
                <w:sz w:val="21"/>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总镍</w:t>
            </w:r>
          </w:p>
        </w:tc>
        <w:tc>
          <w:tcPr>
            <w:tcW w:w="970"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8</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4</w:t>
            </w:r>
          </w:p>
        </w:tc>
        <w:tc>
          <w:tcPr>
            <w:tcW w:w="992"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5.6667</w:t>
            </w:r>
          </w:p>
        </w:tc>
        <w:tc>
          <w:tcPr>
            <w:tcW w:w="1298"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2.94392</w:t>
            </w:r>
          </w:p>
        </w:tc>
        <w:tc>
          <w:tcPr>
            <w:tcW w:w="1134" w:type="dxa"/>
            <w:noWrap/>
            <w:vAlign w:val="center"/>
          </w:tcPr>
          <w:p>
            <w:pPr>
              <w:adjustRightInd w:val="0"/>
              <w:snapToGrid w:val="0"/>
              <w:jc w:val="center"/>
              <w:rPr>
                <w:rFonts w:ascii="宋体" w:hAnsi="宋体" w:cs="宋体"/>
                <w:color w:val="auto"/>
                <w:sz w:val="21"/>
                <w:szCs w:val="21"/>
              </w:rPr>
            </w:pPr>
            <w:r>
              <w:rPr>
                <w:rFonts w:hint="eastAsia"/>
                <w:color w:val="auto"/>
                <w:sz w:val="21"/>
                <w:szCs w:val="21"/>
              </w:rPr>
              <w:t>0.008889</w:t>
            </w:r>
          </w:p>
        </w:tc>
        <w:tc>
          <w:tcPr>
            <w:tcW w:w="908" w:type="dxa"/>
            <w:vAlign w:val="center"/>
          </w:tcPr>
          <w:p>
            <w:pPr>
              <w:widowControl/>
              <w:adjustRightInd w:val="0"/>
              <w:snapToGrid w:val="0"/>
              <w:jc w:val="center"/>
              <w:rPr>
                <w:color w:val="auto"/>
                <w:kern w:val="0"/>
                <w:sz w:val="21"/>
                <w:szCs w:val="21"/>
              </w:rPr>
            </w:pPr>
            <w:r>
              <w:rPr>
                <w:color w:val="auto"/>
                <w:sz w:val="21"/>
                <w:szCs w:val="21"/>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四氯化碳</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氯仿</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氯甲烷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1,1-</w:t>
            </w:r>
            <w:r>
              <w:rPr>
                <w:rFonts w:hAnsi="宋体"/>
                <w:color w:val="auto"/>
                <w:kern w:val="0"/>
                <w:sz w:val="21"/>
                <w:szCs w:val="21"/>
              </w:rPr>
              <w:t>二氯乙烷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1,2-</w:t>
            </w:r>
            <w:r>
              <w:rPr>
                <w:rFonts w:hAnsi="宋体"/>
                <w:color w:val="auto"/>
                <w:kern w:val="0"/>
                <w:sz w:val="21"/>
                <w:szCs w:val="21"/>
              </w:rPr>
              <w:t>二氯乙烷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1,1-</w:t>
            </w:r>
            <w:r>
              <w:rPr>
                <w:rFonts w:hAnsi="宋体"/>
                <w:color w:val="auto"/>
                <w:kern w:val="0"/>
                <w:sz w:val="21"/>
                <w:szCs w:val="21"/>
              </w:rPr>
              <w:t>二氯乙烯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顺</w:t>
            </w:r>
            <w:r>
              <w:rPr>
                <w:color w:val="auto"/>
                <w:kern w:val="0"/>
                <w:sz w:val="21"/>
                <w:szCs w:val="21"/>
              </w:rPr>
              <w:t>-1,2-</w:t>
            </w:r>
            <w:r>
              <w:rPr>
                <w:rFonts w:hAnsi="宋体"/>
                <w:color w:val="auto"/>
                <w:kern w:val="0"/>
                <w:sz w:val="21"/>
                <w:szCs w:val="21"/>
              </w:rPr>
              <w:t>二氯乙烯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反</w:t>
            </w:r>
            <w:r>
              <w:rPr>
                <w:color w:val="auto"/>
                <w:kern w:val="0"/>
                <w:sz w:val="21"/>
                <w:szCs w:val="21"/>
              </w:rPr>
              <w:t>-1,2-</w:t>
            </w:r>
            <w:r>
              <w:rPr>
                <w:rFonts w:hAnsi="宋体"/>
                <w:color w:val="auto"/>
                <w:kern w:val="0"/>
                <w:sz w:val="21"/>
                <w:szCs w:val="21"/>
              </w:rPr>
              <w:t>二氯乙烯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二氯甲烷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1,2-</w:t>
            </w:r>
            <w:r>
              <w:rPr>
                <w:rFonts w:hAnsi="宋体"/>
                <w:color w:val="auto"/>
                <w:kern w:val="0"/>
                <w:sz w:val="21"/>
                <w:szCs w:val="21"/>
              </w:rPr>
              <w:t>二氯丙烷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1,1,1,2-</w:t>
            </w:r>
            <w:r>
              <w:rPr>
                <w:rFonts w:hAnsi="宋体"/>
                <w:color w:val="auto"/>
                <w:kern w:val="0"/>
                <w:sz w:val="21"/>
                <w:szCs w:val="21"/>
              </w:rPr>
              <w:t>四氯乙烷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1,1,2,2-</w:t>
            </w:r>
            <w:r>
              <w:rPr>
                <w:rFonts w:hAnsi="宋体"/>
                <w:color w:val="auto"/>
                <w:kern w:val="0"/>
                <w:sz w:val="21"/>
                <w:szCs w:val="21"/>
              </w:rPr>
              <w:t>四氯乙烷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四氯乙烯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1,1,1-</w:t>
            </w:r>
            <w:r>
              <w:rPr>
                <w:rFonts w:hAnsi="宋体"/>
                <w:color w:val="auto"/>
                <w:kern w:val="0"/>
                <w:sz w:val="21"/>
                <w:szCs w:val="21"/>
              </w:rPr>
              <w:t>三氯乙烷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1,1,2-</w:t>
            </w:r>
            <w:r>
              <w:rPr>
                <w:rFonts w:hAnsi="宋体"/>
                <w:color w:val="auto"/>
                <w:kern w:val="0"/>
                <w:sz w:val="21"/>
                <w:szCs w:val="21"/>
              </w:rPr>
              <w:t>三氯乙烷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三氯乙烯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1,2,3-</w:t>
            </w:r>
            <w:r>
              <w:rPr>
                <w:rFonts w:hAnsi="宋体"/>
                <w:color w:val="auto"/>
                <w:kern w:val="0"/>
                <w:sz w:val="21"/>
                <w:szCs w:val="21"/>
              </w:rPr>
              <w:t>三氯丙烷</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氯乙烯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氯苯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1,2-</w:t>
            </w:r>
            <w:r>
              <w:rPr>
                <w:rFonts w:hAnsi="宋体"/>
                <w:color w:val="auto"/>
                <w:kern w:val="0"/>
                <w:sz w:val="21"/>
                <w:szCs w:val="21"/>
              </w:rPr>
              <w:t>二氯苯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1,4-</w:t>
            </w:r>
            <w:r>
              <w:rPr>
                <w:rFonts w:hAnsi="宋体"/>
                <w:color w:val="auto"/>
                <w:kern w:val="0"/>
                <w:sz w:val="21"/>
                <w:szCs w:val="21"/>
              </w:rPr>
              <w:t>二氯苯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乙苯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苯乙烯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甲苯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间二甲苯</w:t>
            </w:r>
            <w:r>
              <w:rPr>
                <w:color w:val="auto"/>
                <w:kern w:val="0"/>
                <w:sz w:val="21"/>
                <w:szCs w:val="21"/>
              </w:rPr>
              <w:t>+</w:t>
            </w:r>
            <w:r>
              <w:rPr>
                <w:rFonts w:hAnsi="宋体"/>
                <w:color w:val="auto"/>
                <w:kern w:val="0"/>
                <w:sz w:val="21"/>
                <w:szCs w:val="21"/>
              </w:rPr>
              <w:t>对二甲苯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邻二甲苯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硝基苯</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苯胺</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color w:val="auto"/>
                <w:kern w:val="0"/>
                <w:sz w:val="21"/>
                <w:szCs w:val="21"/>
              </w:rPr>
              <w:t>2-</w:t>
            </w:r>
            <w:r>
              <w:rPr>
                <w:rFonts w:hAnsi="宋体"/>
                <w:color w:val="auto"/>
                <w:kern w:val="0"/>
                <w:sz w:val="21"/>
                <w:szCs w:val="21"/>
              </w:rPr>
              <w:t>氯酚</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2256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苯并</w:t>
            </w:r>
            <w:r>
              <w:rPr>
                <w:color w:val="auto"/>
                <w:kern w:val="0"/>
                <w:sz w:val="21"/>
                <w:szCs w:val="21"/>
              </w:rPr>
              <w:t>[a]</w:t>
            </w:r>
            <w:r>
              <w:rPr>
                <w:rFonts w:hAnsi="宋体"/>
                <w:color w:val="auto"/>
                <w:kern w:val="0"/>
                <w:sz w:val="21"/>
                <w:szCs w:val="21"/>
              </w:rPr>
              <w:t>蒽</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苯并</w:t>
            </w:r>
            <w:r>
              <w:rPr>
                <w:color w:val="auto"/>
                <w:kern w:val="0"/>
                <w:sz w:val="21"/>
                <w:szCs w:val="21"/>
              </w:rPr>
              <w:t>[a]</w:t>
            </w:r>
            <w:r>
              <w:rPr>
                <w:rFonts w:hAnsi="宋体"/>
                <w:color w:val="auto"/>
                <w:kern w:val="0"/>
                <w:sz w:val="21"/>
                <w:szCs w:val="21"/>
              </w:rPr>
              <w:t>芘</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苯并</w:t>
            </w:r>
            <w:r>
              <w:rPr>
                <w:color w:val="auto"/>
                <w:kern w:val="0"/>
                <w:sz w:val="21"/>
                <w:szCs w:val="21"/>
              </w:rPr>
              <w:t>[b]</w:t>
            </w:r>
            <w:r>
              <w:rPr>
                <w:rFonts w:hAnsi="宋体"/>
                <w:color w:val="auto"/>
                <w:kern w:val="0"/>
                <w:sz w:val="21"/>
                <w:szCs w:val="21"/>
              </w:rPr>
              <w:t>荧蒽</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苯并</w:t>
            </w:r>
            <w:r>
              <w:rPr>
                <w:color w:val="auto"/>
                <w:kern w:val="0"/>
                <w:sz w:val="21"/>
                <w:szCs w:val="21"/>
              </w:rPr>
              <w:t>[k],</w:t>
            </w:r>
            <w:r>
              <w:rPr>
                <w:rFonts w:hAnsi="宋体"/>
                <w:color w:val="auto"/>
                <w:kern w:val="0"/>
                <w:sz w:val="21"/>
                <w:szCs w:val="21"/>
              </w:rPr>
              <w:t>荧蒽</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䓛</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二苯并</w:t>
            </w:r>
            <w:r>
              <w:rPr>
                <w:color w:val="auto"/>
                <w:kern w:val="0"/>
                <w:sz w:val="21"/>
                <w:szCs w:val="21"/>
              </w:rPr>
              <w:t>[a,h]</w:t>
            </w:r>
            <w:r>
              <w:rPr>
                <w:rFonts w:hAnsi="宋体"/>
                <w:color w:val="auto"/>
                <w:kern w:val="0"/>
                <w:sz w:val="21"/>
                <w:szCs w:val="21"/>
              </w:rPr>
              <w:t>蒽</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茚并</w:t>
            </w:r>
            <w:r>
              <w:rPr>
                <w:color w:val="auto"/>
                <w:kern w:val="0"/>
                <w:sz w:val="21"/>
                <w:szCs w:val="21"/>
              </w:rPr>
              <w:t>[1,2,3-cd]</w:t>
            </w:r>
            <w:r>
              <w:rPr>
                <w:rFonts w:hAnsi="宋体"/>
                <w:color w:val="auto"/>
                <w:kern w:val="0"/>
                <w:sz w:val="21"/>
                <w:szCs w:val="21"/>
              </w:rPr>
              <w:t>芘</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571" w:type="dxa"/>
            <w:vAlign w:val="center"/>
          </w:tcPr>
          <w:p>
            <w:pPr>
              <w:widowControl/>
              <w:adjustRightInd w:val="0"/>
              <w:snapToGrid w:val="0"/>
              <w:jc w:val="center"/>
              <w:rPr>
                <w:color w:val="auto"/>
                <w:kern w:val="0"/>
                <w:sz w:val="21"/>
                <w:szCs w:val="21"/>
              </w:rPr>
            </w:pPr>
            <w:r>
              <w:rPr>
                <w:rFonts w:hAnsi="宋体"/>
                <w:color w:val="auto"/>
                <w:kern w:val="0"/>
                <w:sz w:val="21"/>
                <w:szCs w:val="21"/>
              </w:rPr>
              <w:t>萘</w:t>
            </w:r>
          </w:p>
        </w:tc>
        <w:tc>
          <w:tcPr>
            <w:tcW w:w="970"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ND</w:t>
            </w:r>
          </w:p>
        </w:tc>
        <w:tc>
          <w:tcPr>
            <w:tcW w:w="992"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298"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1134" w:type="dxa"/>
            <w:noWrap/>
            <w:vAlign w:val="center"/>
          </w:tcPr>
          <w:p>
            <w:pPr>
              <w:widowControl/>
              <w:adjustRightInd w:val="0"/>
              <w:snapToGrid w:val="0"/>
              <w:jc w:val="center"/>
              <w:rPr>
                <w:color w:val="auto"/>
                <w:kern w:val="0"/>
                <w:sz w:val="21"/>
                <w:szCs w:val="21"/>
              </w:rPr>
            </w:pPr>
            <w:r>
              <w:rPr>
                <w:rFonts w:hint="eastAsia"/>
                <w:color w:val="auto"/>
                <w:kern w:val="0"/>
                <w:sz w:val="21"/>
                <w:szCs w:val="21"/>
              </w:rPr>
              <w:t>/</w:t>
            </w:r>
          </w:p>
        </w:tc>
        <w:tc>
          <w:tcPr>
            <w:tcW w:w="908" w:type="dxa"/>
            <w:vAlign w:val="center"/>
          </w:tcPr>
          <w:p>
            <w:pPr>
              <w:widowControl/>
              <w:adjustRightInd w:val="0"/>
              <w:snapToGrid w:val="0"/>
              <w:jc w:val="center"/>
              <w:rPr>
                <w:color w:val="auto"/>
                <w:kern w:val="0"/>
                <w:sz w:val="21"/>
                <w:szCs w:val="21"/>
              </w:rPr>
            </w:pPr>
            <w:r>
              <w:rPr>
                <w:color w:val="auto"/>
                <w:sz w:val="21"/>
                <w:szCs w:val="21"/>
              </w:rPr>
              <w:t>70</w:t>
            </w:r>
          </w:p>
        </w:tc>
      </w:tr>
    </w:tbl>
    <w:p>
      <w:pPr>
        <w:spacing w:line="360" w:lineRule="auto"/>
        <w:ind w:firstLine="480" w:firstLineChars="200"/>
        <w:jc w:val="left"/>
        <w:rPr>
          <w:color w:val="auto"/>
          <w:sz w:val="24"/>
          <w:szCs w:val="24"/>
        </w:rPr>
      </w:pPr>
      <w:r>
        <w:rPr>
          <w:rFonts w:hint="eastAsia"/>
          <w:color w:val="auto"/>
          <w:sz w:val="24"/>
          <w:szCs w:val="24"/>
        </w:rPr>
        <w:t>注：标准指数按各监测点的最大监测值计算。</w:t>
      </w:r>
    </w:p>
    <w:p>
      <w:pPr>
        <w:spacing w:line="360" w:lineRule="auto"/>
        <w:jc w:val="center"/>
        <w:rPr>
          <w:b/>
          <w:color w:val="auto"/>
          <w:sz w:val="24"/>
          <w:szCs w:val="24"/>
        </w:rPr>
      </w:pPr>
      <w:r>
        <w:rPr>
          <w:rFonts w:hint="eastAsia"/>
          <w:b/>
          <w:color w:val="auto"/>
          <w:sz w:val="24"/>
          <w:szCs w:val="24"/>
        </w:rPr>
        <w:t>表4-2-13   各监测点位土壤酸化、碱化分级表</w:t>
      </w:r>
    </w:p>
    <w:tbl>
      <w:tblPr>
        <w:tblStyle w:val="28"/>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0"/>
        <w:gridCol w:w="2134"/>
        <w:gridCol w:w="2552"/>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2110" w:type="dxa"/>
            <w:vAlign w:val="center"/>
          </w:tcPr>
          <w:p>
            <w:pPr>
              <w:widowControl/>
              <w:jc w:val="center"/>
              <w:rPr>
                <w:b/>
                <w:color w:val="auto"/>
                <w:kern w:val="0"/>
                <w:sz w:val="21"/>
                <w:szCs w:val="21"/>
              </w:rPr>
            </w:pPr>
            <w:r>
              <w:rPr>
                <w:rFonts w:hAnsi="宋体"/>
                <w:b/>
                <w:color w:val="auto"/>
                <w:kern w:val="0"/>
                <w:sz w:val="21"/>
                <w:szCs w:val="21"/>
              </w:rPr>
              <w:t>监测点位</w:t>
            </w:r>
          </w:p>
        </w:tc>
        <w:tc>
          <w:tcPr>
            <w:tcW w:w="2134" w:type="dxa"/>
            <w:vAlign w:val="center"/>
          </w:tcPr>
          <w:p>
            <w:pPr>
              <w:widowControl/>
              <w:jc w:val="center"/>
              <w:rPr>
                <w:b/>
                <w:color w:val="auto"/>
                <w:kern w:val="0"/>
                <w:sz w:val="21"/>
                <w:szCs w:val="21"/>
              </w:rPr>
            </w:pPr>
            <w:r>
              <w:rPr>
                <w:b/>
                <w:color w:val="auto"/>
                <w:kern w:val="0"/>
                <w:sz w:val="21"/>
                <w:szCs w:val="21"/>
              </w:rPr>
              <w:t>S1</w:t>
            </w:r>
          </w:p>
        </w:tc>
        <w:tc>
          <w:tcPr>
            <w:tcW w:w="2552" w:type="dxa"/>
            <w:vAlign w:val="center"/>
          </w:tcPr>
          <w:p>
            <w:pPr>
              <w:widowControl/>
              <w:jc w:val="center"/>
              <w:rPr>
                <w:b/>
                <w:color w:val="auto"/>
                <w:kern w:val="0"/>
                <w:sz w:val="21"/>
                <w:szCs w:val="21"/>
              </w:rPr>
            </w:pPr>
            <w:r>
              <w:rPr>
                <w:b/>
                <w:color w:val="auto"/>
                <w:kern w:val="0"/>
                <w:sz w:val="21"/>
                <w:szCs w:val="21"/>
              </w:rPr>
              <w:t>S2</w:t>
            </w:r>
          </w:p>
        </w:tc>
        <w:tc>
          <w:tcPr>
            <w:tcW w:w="2060" w:type="dxa"/>
            <w:vAlign w:val="center"/>
          </w:tcPr>
          <w:p>
            <w:pPr>
              <w:widowControl/>
              <w:jc w:val="center"/>
              <w:rPr>
                <w:b/>
                <w:color w:val="auto"/>
                <w:kern w:val="0"/>
                <w:sz w:val="21"/>
                <w:szCs w:val="21"/>
              </w:rPr>
            </w:pPr>
            <w:r>
              <w:rPr>
                <w:b/>
                <w:color w:val="auto"/>
                <w:kern w:val="0"/>
                <w:sz w:val="21"/>
                <w:szCs w:val="21"/>
              </w:rPr>
              <w:t>S3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2110" w:type="dxa"/>
            <w:vAlign w:val="center"/>
          </w:tcPr>
          <w:p>
            <w:pPr>
              <w:widowControl/>
              <w:jc w:val="center"/>
              <w:rPr>
                <w:color w:val="auto"/>
                <w:kern w:val="0"/>
                <w:sz w:val="21"/>
                <w:szCs w:val="21"/>
              </w:rPr>
            </w:pPr>
            <w:r>
              <w:rPr>
                <w:color w:val="auto"/>
                <w:kern w:val="0"/>
                <w:sz w:val="21"/>
                <w:szCs w:val="21"/>
              </w:rPr>
              <w:t>PH</w:t>
            </w:r>
            <w:r>
              <w:rPr>
                <w:rFonts w:hAnsi="宋体"/>
                <w:color w:val="auto"/>
                <w:kern w:val="0"/>
                <w:sz w:val="21"/>
                <w:szCs w:val="21"/>
              </w:rPr>
              <w:t>（无量纲）</w:t>
            </w:r>
          </w:p>
        </w:tc>
        <w:tc>
          <w:tcPr>
            <w:tcW w:w="2134" w:type="dxa"/>
            <w:vAlign w:val="center"/>
          </w:tcPr>
          <w:p>
            <w:pPr>
              <w:widowControl/>
              <w:jc w:val="center"/>
              <w:rPr>
                <w:color w:val="auto"/>
                <w:kern w:val="0"/>
                <w:sz w:val="21"/>
                <w:szCs w:val="21"/>
              </w:rPr>
            </w:pPr>
            <w:r>
              <w:rPr>
                <w:rFonts w:hint="eastAsia"/>
                <w:color w:val="auto"/>
                <w:kern w:val="0"/>
                <w:sz w:val="21"/>
                <w:szCs w:val="21"/>
              </w:rPr>
              <w:t>7.37</w:t>
            </w:r>
          </w:p>
        </w:tc>
        <w:tc>
          <w:tcPr>
            <w:tcW w:w="2552" w:type="dxa"/>
            <w:vAlign w:val="center"/>
          </w:tcPr>
          <w:p>
            <w:pPr>
              <w:widowControl/>
              <w:jc w:val="center"/>
              <w:rPr>
                <w:color w:val="auto"/>
                <w:kern w:val="0"/>
                <w:sz w:val="21"/>
                <w:szCs w:val="21"/>
              </w:rPr>
            </w:pPr>
            <w:r>
              <w:rPr>
                <w:rFonts w:hint="eastAsia"/>
                <w:color w:val="auto"/>
                <w:kern w:val="0"/>
                <w:sz w:val="21"/>
                <w:szCs w:val="21"/>
              </w:rPr>
              <w:t>7.87</w:t>
            </w:r>
          </w:p>
        </w:tc>
        <w:tc>
          <w:tcPr>
            <w:tcW w:w="2060" w:type="dxa"/>
            <w:vAlign w:val="center"/>
          </w:tcPr>
          <w:p>
            <w:pPr>
              <w:widowControl/>
              <w:jc w:val="center"/>
              <w:rPr>
                <w:color w:val="auto"/>
                <w:kern w:val="0"/>
                <w:sz w:val="21"/>
                <w:szCs w:val="21"/>
              </w:rPr>
            </w:pPr>
            <w:r>
              <w:rPr>
                <w:rFonts w:hint="eastAsia"/>
                <w:color w:val="auto"/>
                <w:kern w:val="0"/>
                <w:sz w:val="21"/>
                <w:szCs w:val="21"/>
              </w:rPr>
              <w:t>6.48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2110" w:type="dxa"/>
            <w:vAlign w:val="center"/>
          </w:tcPr>
          <w:p>
            <w:pPr>
              <w:widowControl/>
              <w:jc w:val="center"/>
              <w:rPr>
                <w:color w:val="auto"/>
                <w:kern w:val="0"/>
                <w:sz w:val="21"/>
                <w:szCs w:val="21"/>
              </w:rPr>
            </w:pPr>
            <w:r>
              <w:rPr>
                <w:rFonts w:hAnsi="宋体"/>
                <w:color w:val="auto"/>
                <w:kern w:val="0"/>
                <w:sz w:val="21"/>
                <w:szCs w:val="21"/>
              </w:rPr>
              <w:t>土壤酸化、碱化分级</w:t>
            </w:r>
          </w:p>
        </w:tc>
        <w:tc>
          <w:tcPr>
            <w:tcW w:w="6746" w:type="dxa"/>
            <w:gridSpan w:val="3"/>
            <w:vAlign w:val="center"/>
          </w:tcPr>
          <w:p>
            <w:pPr>
              <w:widowControl/>
              <w:jc w:val="center"/>
              <w:rPr>
                <w:color w:val="auto"/>
                <w:kern w:val="0"/>
                <w:sz w:val="21"/>
                <w:szCs w:val="21"/>
              </w:rPr>
            </w:pPr>
            <w:r>
              <w:rPr>
                <w:rFonts w:hAnsi="宋体"/>
                <w:color w:val="auto"/>
                <w:kern w:val="0"/>
                <w:sz w:val="21"/>
                <w:szCs w:val="21"/>
              </w:rPr>
              <w:t>无酸化或碱化</w:t>
            </w:r>
          </w:p>
        </w:tc>
      </w:tr>
    </w:tbl>
    <w:p>
      <w:pPr>
        <w:spacing w:line="360" w:lineRule="auto"/>
        <w:ind w:firstLine="480" w:firstLineChars="200"/>
        <w:jc w:val="left"/>
        <w:rPr>
          <w:color w:val="auto"/>
          <w:sz w:val="24"/>
          <w:szCs w:val="24"/>
        </w:rPr>
      </w:pPr>
      <w:r>
        <w:rPr>
          <w:rFonts w:hint="eastAsia"/>
          <w:color w:val="auto"/>
          <w:sz w:val="24"/>
          <w:szCs w:val="24"/>
        </w:rPr>
        <w:t>统计结果显示，各监测点各土壤监测指标标准指数均小于1，土壤环境质量能满足行《土壤环境质量 建设用地土壤污染风险管控标准》（试行）</w:t>
      </w:r>
      <w:r>
        <w:rPr>
          <w:color w:val="auto"/>
          <w:sz w:val="24"/>
          <w:szCs w:val="24"/>
        </w:rPr>
        <w:t>(GB</w:t>
      </w:r>
      <w:r>
        <w:rPr>
          <w:rFonts w:hint="eastAsia"/>
          <w:color w:val="auto"/>
          <w:sz w:val="24"/>
          <w:szCs w:val="24"/>
        </w:rPr>
        <w:t>3600</w:t>
      </w:r>
      <w:r>
        <w:rPr>
          <w:color w:val="auto"/>
          <w:sz w:val="24"/>
          <w:szCs w:val="24"/>
        </w:rPr>
        <w:t>-20</w:t>
      </w:r>
      <w:r>
        <w:rPr>
          <w:rFonts w:hint="eastAsia"/>
          <w:color w:val="auto"/>
          <w:sz w:val="24"/>
          <w:szCs w:val="24"/>
        </w:rPr>
        <w:t>18) 第二类用地土壤环境风险评价筛选值，各监测点位土壤无土壤酸化或碱化现象。</w:t>
      </w:r>
    </w:p>
    <w:p>
      <w:pPr>
        <w:pStyle w:val="4"/>
        <w:rPr>
          <w:color w:val="auto"/>
        </w:rPr>
      </w:pPr>
      <w:bookmarkStart w:id="129" w:name="_Toc26276851"/>
      <w:r>
        <w:rPr>
          <w:rFonts w:hint="eastAsia"/>
          <w:color w:val="auto"/>
        </w:rPr>
        <w:t>4.2.6河道底泥现状监测及评价</w:t>
      </w:r>
      <w:bookmarkEnd w:id="129"/>
    </w:p>
    <w:p>
      <w:pPr>
        <w:spacing w:line="360" w:lineRule="auto"/>
        <w:ind w:firstLine="480" w:firstLineChars="200"/>
        <w:rPr>
          <w:color w:val="auto"/>
          <w:sz w:val="24"/>
          <w:szCs w:val="24"/>
        </w:rPr>
      </w:pPr>
      <w:r>
        <w:rPr>
          <w:rFonts w:hint="eastAsia"/>
          <w:color w:val="auto"/>
          <w:sz w:val="24"/>
          <w:szCs w:val="24"/>
        </w:rPr>
        <w:t>为了解本项目建设前所在地及周围地区的河道底泥质量现状，建设单位委托梅州森海洋环保工程有限公司负责本项目的河道底泥环境质量现状调查工作。</w:t>
      </w:r>
    </w:p>
    <w:p>
      <w:pPr>
        <w:spacing w:line="360" w:lineRule="auto"/>
        <w:ind w:firstLine="482" w:firstLineChars="200"/>
        <w:rPr>
          <w:b/>
          <w:color w:val="auto"/>
          <w:sz w:val="24"/>
          <w:szCs w:val="24"/>
        </w:rPr>
      </w:pPr>
      <w:r>
        <w:rPr>
          <w:rFonts w:hint="eastAsia"/>
          <w:b/>
          <w:color w:val="auto"/>
          <w:sz w:val="24"/>
          <w:szCs w:val="24"/>
        </w:rPr>
        <w:t>1、监测与采样点布置</w:t>
      </w:r>
    </w:p>
    <w:p>
      <w:pPr>
        <w:spacing w:line="360" w:lineRule="auto"/>
        <w:ind w:firstLine="480" w:firstLineChars="200"/>
        <w:rPr>
          <w:color w:val="auto"/>
          <w:sz w:val="24"/>
          <w:szCs w:val="24"/>
        </w:rPr>
      </w:pPr>
      <w:r>
        <w:rPr>
          <w:rFonts w:hint="eastAsia"/>
          <w:color w:val="auto"/>
          <w:sz w:val="24"/>
          <w:szCs w:val="24"/>
        </w:rPr>
        <w:t>河道底泥采样布设点与地表水水质监测断面位置一致，共设置3个，具体位置见表4-2-14和图4-2-2。</w:t>
      </w:r>
    </w:p>
    <w:p>
      <w:pPr>
        <w:spacing w:line="360" w:lineRule="auto"/>
        <w:jc w:val="center"/>
        <w:rPr>
          <w:b/>
          <w:color w:val="auto"/>
          <w:sz w:val="24"/>
          <w:szCs w:val="24"/>
        </w:rPr>
      </w:pPr>
      <w:r>
        <w:rPr>
          <w:rFonts w:hint="eastAsia"/>
          <w:b/>
          <w:color w:val="auto"/>
          <w:sz w:val="24"/>
          <w:szCs w:val="24"/>
        </w:rPr>
        <w:t>表4-2-14   河道底泥监测布设</w:t>
      </w:r>
    </w:p>
    <w:tbl>
      <w:tblPr>
        <w:tblStyle w:val="28"/>
        <w:tblW w:w="77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4077"/>
        <w:gridCol w:w="2485"/>
        <w:gridCol w:w="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 w:type="dxa"/>
          <w:trHeight w:val="75" w:hRule="atLeast"/>
          <w:tblHeader/>
          <w:jc w:val="center"/>
        </w:trPr>
        <w:tc>
          <w:tcPr>
            <w:tcW w:w="1204" w:type="dxa"/>
            <w:vAlign w:val="center"/>
          </w:tcPr>
          <w:p>
            <w:pPr>
              <w:adjustRightInd w:val="0"/>
              <w:snapToGrid w:val="0"/>
              <w:jc w:val="center"/>
              <w:rPr>
                <w:b/>
                <w:snapToGrid w:val="0"/>
                <w:color w:val="auto"/>
                <w:sz w:val="21"/>
                <w:szCs w:val="21"/>
              </w:rPr>
            </w:pPr>
            <w:r>
              <w:rPr>
                <w:rFonts w:hAnsi="宋体"/>
                <w:b/>
                <w:snapToGrid w:val="0"/>
                <w:color w:val="auto"/>
                <w:sz w:val="21"/>
                <w:szCs w:val="21"/>
              </w:rPr>
              <w:t>编号</w:t>
            </w:r>
          </w:p>
        </w:tc>
        <w:tc>
          <w:tcPr>
            <w:tcW w:w="4077" w:type="dxa"/>
            <w:vAlign w:val="center"/>
          </w:tcPr>
          <w:p>
            <w:pPr>
              <w:adjustRightInd w:val="0"/>
              <w:snapToGrid w:val="0"/>
              <w:jc w:val="center"/>
              <w:rPr>
                <w:b/>
                <w:snapToGrid w:val="0"/>
                <w:color w:val="auto"/>
                <w:sz w:val="21"/>
                <w:szCs w:val="21"/>
              </w:rPr>
            </w:pPr>
            <w:r>
              <w:rPr>
                <w:rFonts w:hAnsi="宋体"/>
                <w:b/>
                <w:snapToGrid w:val="0"/>
                <w:color w:val="auto"/>
                <w:sz w:val="21"/>
                <w:szCs w:val="21"/>
              </w:rPr>
              <w:t>断面位置</w:t>
            </w:r>
          </w:p>
        </w:tc>
        <w:tc>
          <w:tcPr>
            <w:tcW w:w="2485" w:type="dxa"/>
            <w:vAlign w:val="center"/>
          </w:tcPr>
          <w:p>
            <w:pPr>
              <w:adjustRightInd w:val="0"/>
              <w:snapToGrid w:val="0"/>
              <w:jc w:val="center"/>
              <w:rPr>
                <w:b/>
                <w:snapToGrid w:val="0"/>
                <w:color w:val="auto"/>
                <w:sz w:val="21"/>
                <w:szCs w:val="21"/>
              </w:rPr>
            </w:pPr>
            <w:r>
              <w:rPr>
                <w:rFonts w:hAnsi="宋体"/>
                <w:b/>
                <w:snapToGrid w:val="0"/>
                <w:color w:val="auto"/>
                <w:sz w:val="21"/>
                <w:szCs w:val="21"/>
              </w:rPr>
              <w:t>所属水体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1204" w:type="dxa"/>
            <w:vAlign w:val="center"/>
          </w:tcPr>
          <w:p>
            <w:pPr>
              <w:adjustRightInd w:val="0"/>
              <w:snapToGrid w:val="0"/>
              <w:jc w:val="center"/>
              <w:rPr>
                <w:snapToGrid w:val="0"/>
                <w:color w:val="auto"/>
                <w:sz w:val="21"/>
                <w:szCs w:val="21"/>
              </w:rPr>
            </w:pPr>
            <w:r>
              <w:rPr>
                <w:snapToGrid w:val="0"/>
                <w:color w:val="auto"/>
                <w:sz w:val="21"/>
                <w:szCs w:val="21"/>
              </w:rPr>
              <w:t>D</w:t>
            </w:r>
            <w:r>
              <w:rPr>
                <w:snapToGrid w:val="0"/>
                <w:color w:val="auto"/>
                <w:sz w:val="21"/>
                <w:szCs w:val="21"/>
                <w:vertAlign w:val="subscript"/>
              </w:rPr>
              <w:t>1</w:t>
            </w:r>
          </w:p>
        </w:tc>
        <w:tc>
          <w:tcPr>
            <w:tcW w:w="4077" w:type="dxa"/>
            <w:vAlign w:val="center"/>
          </w:tcPr>
          <w:p>
            <w:pPr>
              <w:jc w:val="center"/>
              <w:rPr>
                <w:color w:val="auto"/>
                <w:sz w:val="21"/>
                <w:szCs w:val="21"/>
              </w:rPr>
            </w:pPr>
            <w:r>
              <w:rPr>
                <w:rFonts w:hAnsi="宋体"/>
                <w:color w:val="auto"/>
                <w:sz w:val="21"/>
                <w:szCs w:val="21"/>
              </w:rPr>
              <w:t>（</w:t>
            </w:r>
            <w:r>
              <w:rPr>
                <w:rFonts w:hint="eastAsia" w:hAnsi="宋体"/>
                <w:color w:val="auto"/>
                <w:sz w:val="21"/>
                <w:szCs w:val="21"/>
              </w:rPr>
              <w:t>大嵩河</w:t>
            </w:r>
            <w:r>
              <w:rPr>
                <w:rFonts w:hAnsi="宋体"/>
                <w:color w:val="auto"/>
                <w:sz w:val="21"/>
                <w:szCs w:val="21"/>
              </w:rPr>
              <w:t>）排污口上游</w:t>
            </w:r>
            <w:r>
              <w:rPr>
                <w:color w:val="auto"/>
                <w:sz w:val="21"/>
                <w:szCs w:val="21"/>
              </w:rPr>
              <w:t>400m</w:t>
            </w:r>
          </w:p>
        </w:tc>
        <w:tc>
          <w:tcPr>
            <w:tcW w:w="2510" w:type="dxa"/>
            <w:gridSpan w:val="2"/>
            <w:vAlign w:val="center"/>
          </w:tcPr>
          <w:p>
            <w:pPr>
              <w:jc w:val="center"/>
              <w:rPr>
                <w:color w:val="auto"/>
                <w:sz w:val="21"/>
                <w:szCs w:val="21"/>
              </w:rPr>
            </w:pPr>
            <w:r>
              <w:rPr>
                <w:rFonts w:hAnsi="宋体"/>
                <w:color w:val="auto"/>
                <w:sz w:val="21"/>
                <w:szCs w:val="21"/>
              </w:rPr>
              <w:t>大嵩河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04" w:type="dxa"/>
            <w:vAlign w:val="center"/>
          </w:tcPr>
          <w:p>
            <w:pPr>
              <w:adjustRightInd w:val="0"/>
              <w:snapToGrid w:val="0"/>
              <w:jc w:val="center"/>
              <w:rPr>
                <w:snapToGrid w:val="0"/>
                <w:color w:val="auto"/>
                <w:sz w:val="21"/>
                <w:szCs w:val="21"/>
              </w:rPr>
            </w:pPr>
            <w:r>
              <w:rPr>
                <w:snapToGrid w:val="0"/>
                <w:color w:val="auto"/>
                <w:sz w:val="21"/>
                <w:szCs w:val="21"/>
              </w:rPr>
              <w:t>D</w:t>
            </w:r>
            <w:r>
              <w:rPr>
                <w:snapToGrid w:val="0"/>
                <w:color w:val="auto"/>
                <w:sz w:val="21"/>
                <w:szCs w:val="21"/>
                <w:vertAlign w:val="subscript"/>
              </w:rPr>
              <w:t>2</w:t>
            </w:r>
          </w:p>
        </w:tc>
        <w:tc>
          <w:tcPr>
            <w:tcW w:w="4077" w:type="dxa"/>
            <w:vAlign w:val="center"/>
          </w:tcPr>
          <w:p>
            <w:pPr>
              <w:jc w:val="center"/>
              <w:rPr>
                <w:color w:val="auto"/>
                <w:sz w:val="21"/>
                <w:szCs w:val="21"/>
              </w:rPr>
            </w:pPr>
            <w:r>
              <w:rPr>
                <w:rFonts w:hAnsi="宋体"/>
                <w:color w:val="auto"/>
                <w:sz w:val="21"/>
                <w:szCs w:val="21"/>
              </w:rPr>
              <w:t>（大嵩河）排污口下游</w:t>
            </w:r>
            <w:r>
              <w:rPr>
                <w:color w:val="auto"/>
                <w:sz w:val="21"/>
                <w:szCs w:val="21"/>
              </w:rPr>
              <w:t>500m</w:t>
            </w:r>
          </w:p>
        </w:tc>
        <w:tc>
          <w:tcPr>
            <w:tcW w:w="2510" w:type="dxa"/>
            <w:gridSpan w:val="2"/>
            <w:vAlign w:val="center"/>
          </w:tcPr>
          <w:p>
            <w:pPr>
              <w:jc w:val="center"/>
              <w:rPr>
                <w:color w:val="auto"/>
                <w:sz w:val="21"/>
                <w:szCs w:val="21"/>
              </w:rPr>
            </w:pPr>
            <w:r>
              <w:rPr>
                <w:rFonts w:hAnsi="宋体"/>
                <w:color w:val="auto"/>
                <w:sz w:val="21"/>
                <w:szCs w:val="21"/>
              </w:rPr>
              <w:t>大嵩河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04" w:type="dxa"/>
            <w:vAlign w:val="center"/>
          </w:tcPr>
          <w:p>
            <w:pPr>
              <w:adjustRightInd w:val="0"/>
              <w:snapToGrid w:val="0"/>
              <w:jc w:val="center"/>
              <w:rPr>
                <w:snapToGrid w:val="0"/>
                <w:color w:val="auto"/>
                <w:sz w:val="21"/>
                <w:szCs w:val="21"/>
              </w:rPr>
            </w:pPr>
            <w:r>
              <w:rPr>
                <w:snapToGrid w:val="0"/>
                <w:color w:val="auto"/>
                <w:sz w:val="21"/>
                <w:szCs w:val="21"/>
              </w:rPr>
              <w:t>D3</w:t>
            </w:r>
          </w:p>
        </w:tc>
        <w:tc>
          <w:tcPr>
            <w:tcW w:w="4077" w:type="dxa"/>
            <w:vAlign w:val="center"/>
          </w:tcPr>
          <w:p>
            <w:pPr>
              <w:jc w:val="center"/>
              <w:rPr>
                <w:color w:val="auto"/>
                <w:sz w:val="21"/>
                <w:szCs w:val="21"/>
              </w:rPr>
            </w:pPr>
            <w:r>
              <w:rPr>
                <w:rFonts w:hAnsi="宋体"/>
                <w:color w:val="auto"/>
                <w:sz w:val="21"/>
                <w:szCs w:val="21"/>
              </w:rPr>
              <w:t>（大嵩河）排污口下游</w:t>
            </w:r>
            <w:r>
              <w:rPr>
                <w:color w:val="auto"/>
                <w:sz w:val="21"/>
                <w:szCs w:val="21"/>
              </w:rPr>
              <w:t>4800m</w:t>
            </w:r>
          </w:p>
        </w:tc>
        <w:tc>
          <w:tcPr>
            <w:tcW w:w="2510" w:type="dxa"/>
            <w:gridSpan w:val="2"/>
            <w:vAlign w:val="center"/>
          </w:tcPr>
          <w:p>
            <w:pPr>
              <w:jc w:val="center"/>
              <w:rPr>
                <w:color w:val="auto"/>
                <w:sz w:val="21"/>
                <w:szCs w:val="21"/>
              </w:rPr>
            </w:pPr>
            <w:r>
              <w:rPr>
                <w:rFonts w:hAnsi="宋体"/>
                <w:color w:val="auto"/>
                <w:sz w:val="21"/>
                <w:szCs w:val="21"/>
              </w:rPr>
              <w:t>大嵩河</w:t>
            </w:r>
          </w:p>
        </w:tc>
      </w:tr>
    </w:tbl>
    <w:p>
      <w:pPr>
        <w:spacing w:line="360" w:lineRule="auto"/>
        <w:ind w:firstLine="482" w:firstLineChars="200"/>
        <w:jc w:val="left"/>
        <w:rPr>
          <w:b/>
          <w:color w:val="auto"/>
          <w:sz w:val="24"/>
          <w:szCs w:val="24"/>
        </w:rPr>
      </w:pPr>
      <w:r>
        <w:rPr>
          <w:rFonts w:hint="eastAsia"/>
          <w:b/>
          <w:color w:val="auto"/>
          <w:sz w:val="24"/>
          <w:szCs w:val="24"/>
        </w:rPr>
        <w:t>2、监测项目</w:t>
      </w:r>
    </w:p>
    <w:p>
      <w:pPr>
        <w:spacing w:line="360" w:lineRule="auto"/>
        <w:ind w:firstLine="480" w:firstLineChars="200"/>
        <w:jc w:val="left"/>
        <w:rPr>
          <w:color w:val="auto"/>
          <w:sz w:val="24"/>
          <w:szCs w:val="24"/>
        </w:rPr>
      </w:pPr>
      <w:r>
        <w:rPr>
          <w:rFonts w:hint="eastAsia"/>
          <w:color w:val="auto"/>
          <w:sz w:val="24"/>
          <w:szCs w:val="24"/>
        </w:rPr>
        <w:t>pH、镉、汞、砷、铜、铅、总铬、锌、镍。</w:t>
      </w:r>
    </w:p>
    <w:p>
      <w:pPr>
        <w:spacing w:line="360" w:lineRule="auto"/>
        <w:ind w:firstLine="482" w:firstLineChars="200"/>
        <w:jc w:val="left"/>
        <w:rPr>
          <w:b/>
          <w:color w:val="auto"/>
          <w:sz w:val="24"/>
          <w:szCs w:val="24"/>
        </w:rPr>
      </w:pPr>
      <w:r>
        <w:rPr>
          <w:rFonts w:hint="eastAsia"/>
          <w:b/>
          <w:color w:val="auto"/>
          <w:sz w:val="24"/>
          <w:szCs w:val="24"/>
        </w:rPr>
        <w:t>3、采样时间和频次</w:t>
      </w:r>
    </w:p>
    <w:p>
      <w:pPr>
        <w:spacing w:line="360" w:lineRule="auto"/>
        <w:ind w:firstLine="480" w:firstLineChars="200"/>
        <w:jc w:val="left"/>
        <w:rPr>
          <w:color w:val="auto"/>
          <w:sz w:val="24"/>
          <w:szCs w:val="24"/>
        </w:rPr>
      </w:pPr>
      <w:r>
        <w:rPr>
          <w:rFonts w:hint="eastAsia"/>
          <w:color w:val="auto"/>
          <w:sz w:val="24"/>
          <w:szCs w:val="24"/>
        </w:rPr>
        <w:t>采样时间为2020年9月25日，取样一次。</w:t>
      </w:r>
    </w:p>
    <w:p>
      <w:pPr>
        <w:spacing w:line="360" w:lineRule="auto"/>
        <w:ind w:firstLine="482" w:firstLineChars="200"/>
        <w:jc w:val="left"/>
        <w:rPr>
          <w:b/>
          <w:color w:val="auto"/>
          <w:sz w:val="24"/>
          <w:szCs w:val="24"/>
        </w:rPr>
      </w:pPr>
      <w:r>
        <w:rPr>
          <w:rFonts w:hint="eastAsia"/>
          <w:b/>
          <w:color w:val="auto"/>
          <w:sz w:val="24"/>
          <w:szCs w:val="24"/>
        </w:rPr>
        <w:t>4、评价标准与评价方法</w:t>
      </w:r>
    </w:p>
    <w:p>
      <w:pPr>
        <w:spacing w:line="360" w:lineRule="auto"/>
        <w:ind w:firstLine="480" w:firstLineChars="200"/>
        <w:jc w:val="left"/>
        <w:rPr>
          <w:color w:val="auto"/>
          <w:sz w:val="24"/>
          <w:szCs w:val="24"/>
        </w:rPr>
      </w:pPr>
      <w:r>
        <w:rPr>
          <w:rFonts w:hint="eastAsia"/>
          <w:color w:val="auto"/>
          <w:sz w:val="24"/>
          <w:szCs w:val="24"/>
        </w:rPr>
        <w:t>河道底泥环境质量标准参照执行《土壤环境质量 农用地土壤污染风险管控标准》（试行）(GB15618-2018)风险筛选值。</w:t>
      </w:r>
    </w:p>
    <w:p>
      <w:pPr>
        <w:spacing w:line="360" w:lineRule="auto"/>
        <w:ind w:firstLine="480" w:firstLineChars="200"/>
        <w:jc w:val="left"/>
        <w:rPr>
          <w:color w:val="auto"/>
          <w:sz w:val="24"/>
          <w:szCs w:val="24"/>
        </w:rPr>
      </w:pPr>
      <w:r>
        <w:rPr>
          <w:rFonts w:hint="eastAsia"/>
          <w:color w:val="auto"/>
          <w:sz w:val="24"/>
          <w:szCs w:val="24"/>
        </w:rPr>
        <w:t>根据实测结果，利用《环境影响评价技术导则 地表水环境》(HJ 2.3-2018)所要求的底泥污染指数法进行评价，具体如下：</w:t>
      </w:r>
    </w:p>
    <w:p>
      <w:pPr>
        <w:spacing w:line="360" w:lineRule="auto"/>
        <w:jc w:val="center"/>
        <w:rPr>
          <w:color w:val="auto"/>
          <w:sz w:val="24"/>
          <w:szCs w:val="24"/>
        </w:rPr>
      </w:pPr>
      <w:r>
        <w:rPr>
          <w:rFonts w:hint="eastAsia"/>
          <w:color w:val="auto"/>
          <w:sz w:val="24"/>
          <w:szCs w:val="24"/>
        </w:rPr>
        <w:t>P</w:t>
      </w:r>
      <w:r>
        <w:rPr>
          <w:rFonts w:hint="eastAsia"/>
          <w:color w:val="auto"/>
          <w:sz w:val="24"/>
          <w:szCs w:val="24"/>
          <w:vertAlign w:val="subscript"/>
        </w:rPr>
        <w:t>i,j</w:t>
      </w:r>
      <w:r>
        <w:rPr>
          <w:rFonts w:hint="eastAsia"/>
          <w:color w:val="auto"/>
          <w:sz w:val="24"/>
          <w:szCs w:val="24"/>
        </w:rPr>
        <w:t>= C</w:t>
      </w:r>
      <w:r>
        <w:rPr>
          <w:rFonts w:hint="eastAsia"/>
          <w:color w:val="auto"/>
          <w:sz w:val="24"/>
          <w:szCs w:val="24"/>
          <w:vertAlign w:val="subscript"/>
        </w:rPr>
        <w:t>i，j</w:t>
      </w:r>
      <w:r>
        <w:rPr>
          <w:rFonts w:hint="eastAsia"/>
          <w:color w:val="auto"/>
          <w:sz w:val="24"/>
          <w:szCs w:val="24"/>
        </w:rPr>
        <w:t>/ C</w:t>
      </w:r>
      <w:r>
        <w:rPr>
          <w:rFonts w:hint="eastAsia"/>
          <w:color w:val="auto"/>
          <w:sz w:val="24"/>
          <w:szCs w:val="24"/>
          <w:vertAlign w:val="subscript"/>
        </w:rPr>
        <w:t>si</w:t>
      </w:r>
    </w:p>
    <w:p>
      <w:pPr>
        <w:spacing w:line="360" w:lineRule="auto"/>
        <w:ind w:firstLine="480" w:firstLineChars="200"/>
        <w:jc w:val="left"/>
        <w:rPr>
          <w:color w:val="auto"/>
          <w:sz w:val="24"/>
          <w:szCs w:val="24"/>
        </w:rPr>
      </w:pPr>
      <w:r>
        <w:rPr>
          <w:rFonts w:hint="eastAsia"/>
          <w:color w:val="auto"/>
          <w:sz w:val="24"/>
          <w:szCs w:val="24"/>
        </w:rPr>
        <w:t>式中：P</w:t>
      </w:r>
      <w:r>
        <w:rPr>
          <w:rFonts w:hint="eastAsia"/>
          <w:color w:val="auto"/>
          <w:sz w:val="24"/>
          <w:szCs w:val="24"/>
          <w:vertAlign w:val="subscript"/>
        </w:rPr>
        <w:t>i,j</w:t>
      </w:r>
      <w:r>
        <w:rPr>
          <w:rFonts w:hint="eastAsia"/>
          <w:color w:val="auto"/>
          <w:sz w:val="24"/>
          <w:szCs w:val="24"/>
        </w:rPr>
        <w:t>—底泥污染因子i的单项污染指数，大于1表明该水质因子超标；</w:t>
      </w:r>
    </w:p>
    <w:p>
      <w:pPr>
        <w:spacing w:line="360" w:lineRule="auto"/>
        <w:ind w:firstLine="480" w:firstLineChars="200"/>
        <w:jc w:val="left"/>
        <w:rPr>
          <w:color w:val="auto"/>
          <w:sz w:val="24"/>
          <w:szCs w:val="24"/>
        </w:rPr>
      </w:pPr>
      <w:r>
        <w:rPr>
          <w:rFonts w:hint="eastAsia"/>
          <w:color w:val="auto"/>
          <w:sz w:val="24"/>
          <w:szCs w:val="24"/>
        </w:rPr>
        <w:t>C</w:t>
      </w:r>
      <w:r>
        <w:rPr>
          <w:rFonts w:hint="eastAsia"/>
          <w:color w:val="auto"/>
          <w:sz w:val="24"/>
          <w:szCs w:val="24"/>
          <w:vertAlign w:val="subscript"/>
        </w:rPr>
        <w:t>i，j</w:t>
      </w:r>
      <w:r>
        <w:rPr>
          <w:rFonts w:hint="eastAsia"/>
          <w:color w:val="auto"/>
          <w:sz w:val="24"/>
          <w:szCs w:val="24"/>
        </w:rPr>
        <w:t>——调查点位污染因子i的实测值，mg/L；</w:t>
      </w:r>
    </w:p>
    <w:p>
      <w:pPr>
        <w:spacing w:line="360" w:lineRule="auto"/>
        <w:ind w:firstLine="480" w:firstLineChars="200"/>
        <w:jc w:val="left"/>
        <w:rPr>
          <w:color w:val="auto"/>
          <w:sz w:val="24"/>
          <w:szCs w:val="24"/>
        </w:rPr>
      </w:pPr>
      <w:r>
        <w:rPr>
          <w:rFonts w:hint="eastAsia"/>
          <w:color w:val="auto"/>
          <w:sz w:val="24"/>
          <w:szCs w:val="24"/>
        </w:rPr>
        <w:t>C</w:t>
      </w:r>
      <w:r>
        <w:rPr>
          <w:rFonts w:hint="eastAsia"/>
          <w:color w:val="auto"/>
          <w:sz w:val="24"/>
          <w:szCs w:val="24"/>
          <w:vertAlign w:val="subscript"/>
        </w:rPr>
        <w:t>si</w:t>
      </w:r>
      <w:r>
        <w:rPr>
          <w:rFonts w:hint="eastAsia"/>
          <w:color w:val="auto"/>
          <w:sz w:val="24"/>
          <w:szCs w:val="24"/>
        </w:rPr>
        <w:t>——评价因子i的评价标准或参考值，mg/L。</w:t>
      </w:r>
    </w:p>
    <w:p>
      <w:pPr>
        <w:spacing w:line="360" w:lineRule="auto"/>
        <w:ind w:firstLine="482" w:firstLineChars="200"/>
        <w:jc w:val="left"/>
        <w:rPr>
          <w:rFonts w:hint="eastAsia"/>
          <w:b/>
          <w:color w:val="auto"/>
          <w:sz w:val="24"/>
          <w:szCs w:val="24"/>
        </w:rPr>
      </w:pPr>
      <w:r>
        <w:rPr>
          <w:rFonts w:hint="eastAsia"/>
          <w:b/>
          <w:color w:val="auto"/>
          <w:sz w:val="24"/>
          <w:szCs w:val="24"/>
        </w:rPr>
        <w:t>5、监测结果与评价</w:t>
      </w:r>
    </w:p>
    <w:p>
      <w:pPr>
        <w:spacing w:line="360" w:lineRule="auto"/>
        <w:ind w:firstLine="482" w:firstLineChars="200"/>
        <w:jc w:val="left"/>
        <w:rPr>
          <w:rFonts w:hint="eastAsia"/>
          <w:b/>
          <w:color w:val="auto"/>
          <w:sz w:val="24"/>
          <w:szCs w:val="24"/>
        </w:rPr>
      </w:pPr>
    </w:p>
    <w:p>
      <w:pPr>
        <w:spacing w:line="360" w:lineRule="auto"/>
        <w:ind w:firstLine="482" w:firstLineChars="200"/>
        <w:jc w:val="left"/>
        <w:rPr>
          <w:rFonts w:hint="eastAsia"/>
          <w:b/>
          <w:color w:val="auto"/>
          <w:sz w:val="24"/>
          <w:szCs w:val="24"/>
        </w:rPr>
      </w:pPr>
    </w:p>
    <w:p>
      <w:pPr>
        <w:spacing w:line="360" w:lineRule="auto"/>
        <w:ind w:firstLine="482" w:firstLineChars="200"/>
        <w:jc w:val="left"/>
        <w:rPr>
          <w:rFonts w:hint="eastAsia"/>
          <w:b/>
          <w:color w:val="auto"/>
          <w:sz w:val="24"/>
          <w:szCs w:val="24"/>
        </w:rPr>
      </w:pPr>
    </w:p>
    <w:p>
      <w:pPr>
        <w:spacing w:line="360" w:lineRule="auto"/>
        <w:jc w:val="center"/>
        <w:rPr>
          <w:b/>
          <w:color w:val="auto"/>
          <w:sz w:val="24"/>
          <w:szCs w:val="24"/>
        </w:rPr>
      </w:pPr>
      <w:r>
        <w:rPr>
          <w:rFonts w:hint="eastAsia"/>
          <w:b/>
          <w:color w:val="auto"/>
          <w:sz w:val="24"/>
          <w:szCs w:val="24"/>
        </w:rPr>
        <w:t>表4-2-15   水体底泥检测统计结果    单位：mg/kg，pH值无量纲</w:t>
      </w:r>
    </w:p>
    <w:tbl>
      <w:tblPr>
        <w:tblStyle w:val="28"/>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869"/>
        <w:gridCol w:w="1785"/>
        <w:gridCol w:w="1785"/>
        <w:gridCol w:w="1452"/>
        <w:gridCol w:w="1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Merge w:val="restart"/>
            <w:vAlign w:val="center"/>
          </w:tcPr>
          <w:p>
            <w:pPr>
              <w:widowControl/>
              <w:adjustRightInd w:val="0"/>
              <w:snapToGrid w:val="0"/>
              <w:jc w:val="center"/>
              <w:rPr>
                <w:b/>
                <w:color w:val="auto"/>
                <w:kern w:val="0"/>
                <w:sz w:val="21"/>
                <w:szCs w:val="21"/>
              </w:rPr>
            </w:pPr>
            <w:r>
              <w:rPr>
                <w:b/>
                <w:color w:val="auto"/>
                <w:kern w:val="0"/>
                <w:sz w:val="21"/>
                <w:szCs w:val="21"/>
              </w:rPr>
              <w:t>检测项目</w:t>
            </w:r>
          </w:p>
        </w:tc>
        <w:tc>
          <w:tcPr>
            <w:tcW w:w="5439" w:type="dxa"/>
            <w:gridSpan w:val="3"/>
            <w:noWrap/>
            <w:vAlign w:val="center"/>
          </w:tcPr>
          <w:p>
            <w:pPr>
              <w:widowControl/>
              <w:adjustRightInd w:val="0"/>
              <w:snapToGrid w:val="0"/>
              <w:jc w:val="center"/>
              <w:rPr>
                <w:b/>
                <w:color w:val="auto"/>
                <w:kern w:val="0"/>
                <w:sz w:val="21"/>
                <w:szCs w:val="21"/>
              </w:rPr>
            </w:pPr>
            <w:r>
              <w:rPr>
                <w:b/>
                <w:color w:val="auto"/>
                <w:kern w:val="0"/>
                <w:sz w:val="21"/>
                <w:szCs w:val="21"/>
              </w:rPr>
              <w:t>单项污染指数</w:t>
            </w:r>
          </w:p>
        </w:tc>
        <w:tc>
          <w:tcPr>
            <w:tcW w:w="2458" w:type="dxa"/>
            <w:gridSpan w:val="2"/>
            <w:noWrap/>
            <w:vAlign w:val="center"/>
          </w:tcPr>
          <w:p>
            <w:pPr>
              <w:widowControl/>
              <w:adjustRightInd w:val="0"/>
              <w:snapToGrid w:val="0"/>
              <w:jc w:val="center"/>
              <w:rPr>
                <w:b/>
                <w:color w:val="auto"/>
                <w:kern w:val="0"/>
                <w:sz w:val="21"/>
                <w:szCs w:val="21"/>
              </w:rPr>
            </w:pPr>
            <w:r>
              <w:rPr>
                <w:b/>
                <w:color w:val="auto"/>
                <w:kern w:val="0"/>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959" w:type="dxa"/>
            <w:vMerge w:val="continue"/>
            <w:vAlign w:val="center"/>
          </w:tcPr>
          <w:p>
            <w:pPr>
              <w:widowControl/>
              <w:adjustRightInd w:val="0"/>
              <w:snapToGrid w:val="0"/>
              <w:jc w:val="center"/>
              <w:rPr>
                <w:b/>
                <w:color w:val="auto"/>
                <w:kern w:val="0"/>
                <w:sz w:val="21"/>
                <w:szCs w:val="21"/>
              </w:rPr>
            </w:pPr>
          </w:p>
        </w:tc>
        <w:tc>
          <w:tcPr>
            <w:tcW w:w="1869" w:type="dxa"/>
            <w:vAlign w:val="center"/>
          </w:tcPr>
          <w:p>
            <w:pPr>
              <w:widowControl/>
              <w:adjustRightInd w:val="0"/>
              <w:snapToGrid w:val="0"/>
              <w:jc w:val="center"/>
              <w:rPr>
                <w:b/>
                <w:color w:val="auto"/>
                <w:kern w:val="0"/>
                <w:sz w:val="21"/>
                <w:szCs w:val="21"/>
              </w:rPr>
            </w:pPr>
            <w:r>
              <w:rPr>
                <w:b/>
                <w:color w:val="auto"/>
                <w:kern w:val="0"/>
                <w:sz w:val="21"/>
                <w:szCs w:val="21"/>
              </w:rPr>
              <w:t>项目所在地河流底泥D1取样点</w:t>
            </w:r>
          </w:p>
        </w:tc>
        <w:tc>
          <w:tcPr>
            <w:tcW w:w="1785" w:type="dxa"/>
            <w:vAlign w:val="center"/>
          </w:tcPr>
          <w:p>
            <w:pPr>
              <w:widowControl/>
              <w:adjustRightInd w:val="0"/>
              <w:snapToGrid w:val="0"/>
              <w:jc w:val="center"/>
              <w:rPr>
                <w:b/>
                <w:color w:val="auto"/>
                <w:kern w:val="0"/>
                <w:sz w:val="21"/>
                <w:szCs w:val="21"/>
              </w:rPr>
            </w:pPr>
            <w:r>
              <w:rPr>
                <w:b/>
                <w:color w:val="auto"/>
                <w:kern w:val="0"/>
                <w:sz w:val="21"/>
                <w:szCs w:val="21"/>
              </w:rPr>
              <w:t>项目所在地河流底泥D2取样点</w:t>
            </w:r>
          </w:p>
        </w:tc>
        <w:tc>
          <w:tcPr>
            <w:tcW w:w="1785" w:type="dxa"/>
            <w:vAlign w:val="center"/>
          </w:tcPr>
          <w:p>
            <w:pPr>
              <w:widowControl/>
              <w:adjustRightInd w:val="0"/>
              <w:snapToGrid w:val="0"/>
              <w:jc w:val="center"/>
              <w:rPr>
                <w:b/>
                <w:color w:val="auto"/>
                <w:kern w:val="0"/>
                <w:sz w:val="21"/>
                <w:szCs w:val="21"/>
              </w:rPr>
            </w:pPr>
            <w:r>
              <w:rPr>
                <w:b/>
                <w:color w:val="auto"/>
                <w:kern w:val="0"/>
                <w:sz w:val="21"/>
                <w:szCs w:val="21"/>
              </w:rPr>
              <w:t>项目所在地河流底泥D3取样点</w:t>
            </w:r>
          </w:p>
        </w:tc>
        <w:tc>
          <w:tcPr>
            <w:tcW w:w="1452" w:type="dxa"/>
            <w:vAlign w:val="center"/>
          </w:tcPr>
          <w:p>
            <w:pPr>
              <w:widowControl/>
              <w:adjustRightInd w:val="0"/>
              <w:snapToGrid w:val="0"/>
              <w:jc w:val="center"/>
              <w:rPr>
                <w:b/>
                <w:color w:val="auto"/>
                <w:kern w:val="0"/>
                <w:sz w:val="21"/>
                <w:szCs w:val="21"/>
              </w:rPr>
            </w:pPr>
            <w:r>
              <w:rPr>
                <w:b/>
                <w:color w:val="auto"/>
                <w:kern w:val="0"/>
                <w:sz w:val="21"/>
                <w:szCs w:val="21"/>
              </w:rPr>
              <w:t>6.5&lt;pH≤7.5</w:t>
            </w:r>
          </w:p>
        </w:tc>
        <w:tc>
          <w:tcPr>
            <w:tcW w:w="1006" w:type="dxa"/>
            <w:vAlign w:val="center"/>
          </w:tcPr>
          <w:p>
            <w:pPr>
              <w:widowControl/>
              <w:adjustRightInd w:val="0"/>
              <w:snapToGrid w:val="0"/>
              <w:jc w:val="center"/>
              <w:rPr>
                <w:b/>
                <w:color w:val="auto"/>
                <w:kern w:val="0"/>
                <w:sz w:val="21"/>
                <w:szCs w:val="21"/>
              </w:rPr>
            </w:pPr>
            <w:r>
              <w:rPr>
                <w:b/>
                <w:color w:val="auto"/>
                <w:kern w:val="0"/>
                <w:sz w:val="21"/>
                <w:szCs w:val="21"/>
              </w:rPr>
              <w:t>pH&gt;7.5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pH</w:t>
            </w:r>
          </w:p>
        </w:tc>
        <w:tc>
          <w:tcPr>
            <w:tcW w:w="1869" w:type="dxa"/>
            <w:noWrap/>
            <w:vAlign w:val="center"/>
          </w:tcPr>
          <w:p>
            <w:pPr>
              <w:widowControl/>
              <w:autoSpaceDE w:val="0"/>
              <w:spacing w:line="240" w:lineRule="atLeast"/>
              <w:jc w:val="center"/>
              <w:textAlignment w:val="center"/>
              <w:rPr>
                <w:color w:val="auto"/>
                <w:kern w:val="0"/>
                <w:sz w:val="21"/>
                <w:szCs w:val="21"/>
              </w:rPr>
            </w:pPr>
            <w:r>
              <w:rPr>
                <w:color w:val="auto"/>
                <w:kern w:val="0"/>
                <w:sz w:val="21"/>
                <w:szCs w:val="21"/>
              </w:rPr>
              <w:t>6.11</w:t>
            </w:r>
          </w:p>
        </w:tc>
        <w:tc>
          <w:tcPr>
            <w:tcW w:w="1785" w:type="dxa"/>
            <w:noWrap/>
            <w:vAlign w:val="center"/>
          </w:tcPr>
          <w:p>
            <w:pPr>
              <w:widowControl/>
              <w:autoSpaceDE w:val="0"/>
              <w:spacing w:line="240" w:lineRule="atLeast"/>
              <w:jc w:val="center"/>
              <w:textAlignment w:val="center"/>
              <w:rPr>
                <w:color w:val="auto"/>
                <w:sz w:val="21"/>
                <w:szCs w:val="21"/>
              </w:rPr>
            </w:pPr>
            <w:r>
              <w:rPr>
                <w:color w:val="auto"/>
                <w:kern w:val="0"/>
                <w:sz w:val="21"/>
                <w:szCs w:val="21"/>
              </w:rPr>
              <w:t>6.20</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6.15</w:t>
            </w:r>
          </w:p>
        </w:tc>
        <w:tc>
          <w:tcPr>
            <w:tcW w:w="2458" w:type="dxa"/>
            <w:gridSpan w:val="2"/>
            <w:noWrap/>
            <w:vAlign w:val="center"/>
          </w:tcPr>
          <w:p>
            <w:pPr>
              <w:widowControl/>
              <w:adjustRightInd w:val="0"/>
              <w:snapToGrid w:val="0"/>
              <w:jc w:val="center"/>
              <w:rPr>
                <w:color w:val="auto"/>
                <w:kern w:val="0"/>
                <w:sz w:val="21"/>
                <w:szCs w:val="21"/>
              </w:rPr>
            </w:pPr>
            <w:r>
              <w:rPr>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镉</w:t>
            </w:r>
          </w:p>
        </w:tc>
        <w:tc>
          <w:tcPr>
            <w:tcW w:w="1869" w:type="dxa"/>
            <w:noWrap/>
            <w:vAlign w:val="center"/>
          </w:tcPr>
          <w:p>
            <w:pPr>
              <w:widowControl/>
              <w:autoSpaceDE w:val="0"/>
              <w:spacing w:line="240" w:lineRule="atLeast"/>
              <w:jc w:val="center"/>
              <w:textAlignment w:val="center"/>
              <w:rPr>
                <w:color w:val="auto"/>
                <w:kern w:val="0"/>
                <w:sz w:val="21"/>
                <w:szCs w:val="21"/>
              </w:rPr>
            </w:pPr>
            <w:r>
              <w:rPr>
                <w:color w:val="auto"/>
                <w:kern w:val="0"/>
                <w:sz w:val="21"/>
                <w:szCs w:val="21"/>
              </w:rPr>
              <w:t>0.11</w:t>
            </w:r>
          </w:p>
        </w:tc>
        <w:tc>
          <w:tcPr>
            <w:tcW w:w="1785" w:type="dxa"/>
            <w:noWrap/>
            <w:vAlign w:val="center"/>
          </w:tcPr>
          <w:p>
            <w:pPr>
              <w:widowControl/>
              <w:autoSpaceDE w:val="0"/>
              <w:spacing w:line="240" w:lineRule="atLeast"/>
              <w:jc w:val="center"/>
              <w:textAlignment w:val="center"/>
              <w:rPr>
                <w:color w:val="auto"/>
                <w:sz w:val="21"/>
                <w:szCs w:val="21"/>
              </w:rPr>
            </w:pPr>
            <w:r>
              <w:rPr>
                <w:color w:val="auto"/>
                <w:kern w:val="0"/>
                <w:sz w:val="21"/>
                <w:szCs w:val="21"/>
              </w:rPr>
              <w:t>0.15</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0.12</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0.3</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汞</w:t>
            </w:r>
          </w:p>
        </w:tc>
        <w:tc>
          <w:tcPr>
            <w:tcW w:w="1869" w:type="dxa"/>
            <w:noWrap/>
            <w:vAlign w:val="center"/>
          </w:tcPr>
          <w:p>
            <w:pPr>
              <w:widowControl/>
              <w:autoSpaceDE w:val="0"/>
              <w:spacing w:line="240" w:lineRule="atLeast"/>
              <w:jc w:val="center"/>
              <w:textAlignment w:val="center"/>
              <w:rPr>
                <w:color w:val="auto"/>
                <w:kern w:val="0"/>
                <w:sz w:val="21"/>
                <w:szCs w:val="21"/>
              </w:rPr>
            </w:pPr>
            <w:r>
              <w:rPr>
                <w:color w:val="auto"/>
                <w:kern w:val="0"/>
                <w:sz w:val="21"/>
                <w:szCs w:val="21"/>
              </w:rPr>
              <w:t>未检出</w:t>
            </w:r>
          </w:p>
        </w:tc>
        <w:tc>
          <w:tcPr>
            <w:tcW w:w="1785" w:type="dxa"/>
            <w:noWrap/>
            <w:vAlign w:val="center"/>
          </w:tcPr>
          <w:p>
            <w:pPr>
              <w:widowControl/>
              <w:autoSpaceDE w:val="0"/>
              <w:spacing w:line="240" w:lineRule="atLeast"/>
              <w:jc w:val="center"/>
              <w:textAlignment w:val="center"/>
              <w:rPr>
                <w:color w:val="auto"/>
                <w:sz w:val="21"/>
                <w:szCs w:val="21"/>
              </w:rPr>
            </w:pPr>
            <w:r>
              <w:rPr>
                <w:color w:val="auto"/>
                <w:kern w:val="0"/>
                <w:sz w:val="21"/>
                <w:szCs w:val="21"/>
              </w:rPr>
              <w:t>未检出</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未检出</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2.4</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砷</w:t>
            </w:r>
          </w:p>
        </w:tc>
        <w:tc>
          <w:tcPr>
            <w:tcW w:w="1869" w:type="dxa"/>
            <w:noWrap/>
            <w:vAlign w:val="center"/>
          </w:tcPr>
          <w:p>
            <w:pPr>
              <w:widowControl/>
              <w:autoSpaceDE w:val="0"/>
              <w:spacing w:line="240" w:lineRule="atLeast"/>
              <w:jc w:val="center"/>
              <w:textAlignment w:val="center"/>
              <w:rPr>
                <w:color w:val="auto"/>
                <w:kern w:val="0"/>
                <w:sz w:val="21"/>
                <w:szCs w:val="21"/>
              </w:rPr>
            </w:pPr>
            <w:r>
              <w:rPr>
                <w:color w:val="auto"/>
                <w:kern w:val="0"/>
                <w:sz w:val="21"/>
                <w:szCs w:val="21"/>
              </w:rPr>
              <w:t>3.4</w:t>
            </w:r>
          </w:p>
        </w:tc>
        <w:tc>
          <w:tcPr>
            <w:tcW w:w="1785" w:type="dxa"/>
            <w:noWrap/>
            <w:vAlign w:val="center"/>
          </w:tcPr>
          <w:p>
            <w:pPr>
              <w:widowControl/>
              <w:autoSpaceDE w:val="0"/>
              <w:spacing w:line="240" w:lineRule="atLeast"/>
              <w:jc w:val="center"/>
              <w:textAlignment w:val="center"/>
              <w:rPr>
                <w:color w:val="auto"/>
                <w:sz w:val="21"/>
                <w:szCs w:val="21"/>
              </w:rPr>
            </w:pPr>
            <w:r>
              <w:rPr>
                <w:color w:val="auto"/>
                <w:kern w:val="0"/>
                <w:sz w:val="21"/>
                <w:szCs w:val="21"/>
              </w:rPr>
              <w:t>4.2</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3.9</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30</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铜</w:t>
            </w:r>
          </w:p>
        </w:tc>
        <w:tc>
          <w:tcPr>
            <w:tcW w:w="1869" w:type="dxa"/>
            <w:noWrap/>
            <w:vAlign w:val="center"/>
          </w:tcPr>
          <w:p>
            <w:pPr>
              <w:widowControl/>
              <w:autoSpaceDE w:val="0"/>
              <w:spacing w:line="240" w:lineRule="atLeast"/>
              <w:jc w:val="center"/>
              <w:textAlignment w:val="center"/>
              <w:rPr>
                <w:color w:val="auto"/>
                <w:kern w:val="0"/>
                <w:sz w:val="21"/>
                <w:szCs w:val="21"/>
              </w:rPr>
            </w:pPr>
            <w:r>
              <w:rPr>
                <w:color w:val="auto"/>
                <w:kern w:val="0"/>
                <w:sz w:val="21"/>
                <w:szCs w:val="21"/>
              </w:rPr>
              <w:t>21.1</w:t>
            </w:r>
          </w:p>
        </w:tc>
        <w:tc>
          <w:tcPr>
            <w:tcW w:w="1785" w:type="dxa"/>
            <w:noWrap/>
            <w:vAlign w:val="center"/>
          </w:tcPr>
          <w:p>
            <w:pPr>
              <w:widowControl/>
              <w:autoSpaceDE w:val="0"/>
              <w:spacing w:line="240" w:lineRule="atLeast"/>
              <w:jc w:val="center"/>
              <w:textAlignment w:val="center"/>
              <w:rPr>
                <w:color w:val="auto"/>
                <w:sz w:val="21"/>
                <w:szCs w:val="21"/>
              </w:rPr>
            </w:pPr>
            <w:r>
              <w:rPr>
                <w:color w:val="auto"/>
                <w:kern w:val="0"/>
                <w:sz w:val="21"/>
                <w:szCs w:val="21"/>
              </w:rPr>
              <w:t>30.2</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35.1</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100</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铅</w:t>
            </w:r>
          </w:p>
        </w:tc>
        <w:tc>
          <w:tcPr>
            <w:tcW w:w="1869" w:type="dxa"/>
            <w:noWrap/>
            <w:vAlign w:val="center"/>
          </w:tcPr>
          <w:p>
            <w:pPr>
              <w:widowControl/>
              <w:autoSpaceDE w:val="0"/>
              <w:spacing w:line="240" w:lineRule="atLeast"/>
              <w:jc w:val="center"/>
              <w:textAlignment w:val="center"/>
              <w:rPr>
                <w:color w:val="auto"/>
                <w:kern w:val="0"/>
                <w:sz w:val="21"/>
                <w:szCs w:val="21"/>
              </w:rPr>
            </w:pPr>
            <w:r>
              <w:rPr>
                <w:color w:val="auto"/>
                <w:kern w:val="0"/>
                <w:sz w:val="21"/>
                <w:szCs w:val="21"/>
              </w:rPr>
              <w:t>5.4</w:t>
            </w:r>
          </w:p>
        </w:tc>
        <w:tc>
          <w:tcPr>
            <w:tcW w:w="1785" w:type="dxa"/>
            <w:noWrap/>
            <w:vAlign w:val="center"/>
          </w:tcPr>
          <w:p>
            <w:pPr>
              <w:widowControl/>
              <w:autoSpaceDE w:val="0"/>
              <w:spacing w:line="240" w:lineRule="atLeast"/>
              <w:jc w:val="center"/>
              <w:textAlignment w:val="center"/>
              <w:rPr>
                <w:color w:val="auto"/>
                <w:sz w:val="21"/>
                <w:szCs w:val="21"/>
              </w:rPr>
            </w:pPr>
            <w:r>
              <w:rPr>
                <w:color w:val="auto"/>
                <w:kern w:val="0"/>
                <w:sz w:val="21"/>
                <w:szCs w:val="21"/>
              </w:rPr>
              <w:t>4.1</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6.0</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120</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锌</w:t>
            </w:r>
          </w:p>
        </w:tc>
        <w:tc>
          <w:tcPr>
            <w:tcW w:w="1869" w:type="dxa"/>
            <w:noWrap/>
            <w:vAlign w:val="center"/>
          </w:tcPr>
          <w:p>
            <w:pPr>
              <w:widowControl/>
              <w:autoSpaceDE w:val="0"/>
              <w:spacing w:line="240" w:lineRule="atLeast"/>
              <w:jc w:val="center"/>
              <w:textAlignment w:val="center"/>
              <w:rPr>
                <w:color w:val="auto"/>
                <w:kern w:val="0"/>
                <w:sz w:val="21"/>
                <w:szCs w:val="21"/>
              </w:rPr>
            </w:pPr>
            <w:r>
              <w:rPr>
                <w:color w:val="auto"/>
                <w:kern w:val="0"/>
                <w:sz w:val="21"/>
                <w:szCs w:val="21"/>
              </w:rPr>
              <w:t>120</w:t>
            </w:r>
          </w:p>
        </w:tc>
        <w:tc>
          <w:tcPr>
            <w:tcW w:w="1785" w:type="dxa"/>
            <w:noWrap/>
            <w:vAlign w:val="center"/>
          </w:tcPr>
          <w:p>
            <w:pPr>
              <w:widowControl/>
              <w:autoSpaceDE w:val="0"/>
              <w:spacing w:line="240" w:lineRule="atLeast"/>
              <w:jc w:val="center"/>
              <w:textAlignment w:val="center"/>
              <w:rPr>
                <w:color w:val="auto"/>
                <w:sz w:val="21"/>
                <w:szCs w:val="21"/>
              </w:rPr>
            </w:pPr>
            <w:r>
              <w:rPr>
                <w:color w:val="auto"/>
                <w:kern w:val="0"/>
                <w:sz w:val="21"/>
                <w:szCs w:val="21"/>
              </w:rPr>
              <w:t>114</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130</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250</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铬</w:t>
            </w:r>
          </w:p>
        </w:tc>
        <w:tc>
          <w:tcPr>
            <w:tcW w:w="1869" w:type="dxa"/>
            <w:noWrap/>
            <w:vAlign w:val="center"/>
          </w:tcPr>
          <w:p>
            <w:pPr>
              <w:widowControl/>
              <w:autoSpaceDE w:val="0"/>
              <w:spacing w:line="240" w:lineRule="atLeast"/>
              <w:jc w:val="center"/>
              <w:textAlignment w:val="center"/>
              <w:rPr>
                <w:color w:val="auto"/>
                <w:sz w:val="21"/>
                <w:szCs w:val="21"/>
              </w:rPr>
            </w:pPr>
            <w:r>
              <w:rPr>
                <w:color w:val="auto"/>
                <w:sz w:val="21"/>
                <w:szCs w:val="21"/>
              </w:rPr>
              <w:t>22.0</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28.0</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64.2</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200</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59" w:type="dxa"/>
            <w:vAlign w:val="center"/>
          </w:tcPr>
          <w:p>
            <w:pPr>
              <w:widowControl/>
              <w:adjustRightInd w:val="0"/>
              <w:snapToGrid w:val="0"/>
              <w:jc w:val="center"/>
              <w:rPr>
                <w:color w:val="auto"/>
                <w:kern w:val="0"/>
                <w:sz w:val="21"/>
                <w:szCs w:val="21"/>
              </w:rPr>
            </w:pPr>
            <w:r>
              <w:rPr>
                <w:color w:val="auto"/>
                <w:kern w:val="0"/>
                <w:sz w:val="21"/>
                <w:szCs w:val="21"/>
              </w:rPr>
              <w:t>镍</w:t>
            </w:r>
          </w:p>
        </w:tc>
        <w:tc>
          <w:tcPr>
            <w:tcW w:w="1869" w:type="dxa"/>
            <w:noWrap/>
            <w:vAlign w:val="center"/>
          </w:tcPr>
          <w:p>
            <w:pPr>
              <w:widowControl/>
              <w:autoSpaceDE w:val="0"/>
              <w:spacing w:line="240" w:lineRule="atLeast"/>
              <w:jc w:val="center"/>
              <w:textAlignment w:val="center"/>
              <w:rPr>
                <w:color w:val="auto"/>
                <w:sz w:val="21"/>
                <w:szCs w:val="21"/>
              </w:rPr>
            </w:pPr>
            <w:r>
              <w:rPr>
                <w:color w:val="auto"/>
                <w:sz w:val="21"/>
                <w:szCs w:val="21"/>
              </w:rPr>
              <w:t>13.1</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16.2</w:t>
            </w:r>
          </w:p>
        </w:tc>
        <w:tc>
          <w:tcPr>
            <w:tcW w:w="1785" w:type="dxa"/>
            <w:noWrap/>
            <w:vAlign w:val="center"/>
          </w:tcPr>
          <w:p>
            <w:pPr>
              <w:widowControl/>
              <w:autoSpaceDE w:val="0"/>
              <w:spacing w:line="240" w:lineRule="atLeast"/>
              <w:jc w:val="center"/>
              <w:textAlignment w:val="center"/>
              <w:rPr>
                <w:color w:val="auto"/>
                <w:sz w:val="21"/>
                <w:szCs w:val="21"/>
              </w:rPr>
            </w:pPr>
            <w:r>
              <w:rPr>
                <w:color w:val="auto"/>
                <w:sz w:val="21"/>
                <w:szCs w:val="21"/>
              </w:rPr>
              <w:t>20.5</w:t>
            </w:r>
          </w:p>
        </w:tc>
        <w:tc>
          <w:tcPr>
            <w:tcW w:w="1452" w:type="dxa"/>
            <w:noWrap/>
            <w:vAlign w:val="center"/>
          </w:tcPr>
          <w:p>
            <w:pPr>
              <w:widowControl/>
              <w:adjustRightInd w:val="0"/>
              <w:snapToGrid w:val="0"/>
              <w:jc w:val="center"/>
              <w:rPr>
                <w:color w:val="auto"/>
                <w:kern w:val="0"/>
                <w:sz w:val="21"/>
                <w:szCs w:val="21"/>
              </w:rPr>
            </w:pPr>
            <w:r>
              <w:rPr>
                <w:color w:val="auto"/>
                <w:kern w:val="0"/>
                <w:sz w:val="21"/>
                <w:szCs w:val="21"/>
              </w:rPr>
              <w:t>100</w:t>
            </w:r>
          </w:p>
        </w:tc>
        <w:tc>
          <w:tcPr>
            <w:tcW w:w="1006" w:type="dxa"/>
            <w:noWrap/>
            <w:vAlign w:val="center"/>
          </w:tcPr>
          <w:p>
            <w:pPr>
              <w:widowControl/>
              <w:adjustRightInd w:val="0"/>
              <w:snapToGrid w:val="0"/>
              <w:jc w:val="center"/>
              <w:rPr>
                <w:color w:val="auto"/>
                <w:kern w:val="0"/>
                <w:sz w:val="21"/>
                <w:szCs w:val="21"/>
              </w:rPr>
            </w:pPr>
            <w:r>
              <w:rPr>
                <w:color w:val="auto"/>
                <w:kern w:val="0"/>
                <w:sz w:val="21"/>
                <w:szCs w:val="21"/>
              </w:rPr>
              <w:t>190</w:t>
            </w:r>
          </w:p>
        </w:tc>
      </w:tr>
    </w:tbl>
    <w:p>
      <w:pPr>
        <w:spacing w:line="360" w:lineRule="auto"/>
        <w:ind w:firstLine="480" w:firstLineChars="200"/>
        <w:jc w:val="left"/>
        <w:rPr>
          <w:color w:val="auto"/>
          <w:sz w:val="24"/>
          <w:szCs w:val="24"/>
        </w:rPr>
      </w:pPr>
      <w:r>
        <w:rPr>
          <w:rFonts w:hint="eastAsia"/>
          <w:color w:val="auto"/>
          <w:sz w:val="24"/>
          <w:szCs w:val="24"/>
        </w:rPr>
        <w:t>根据统计结果，各监测点位各监测因子的单项污染指数均小于1，因此各监测点的各监测指标均能满足《土壤环境质量 农用地土壤污染风险管控标准》（试行）(GB15618-2018)风险筛选值。</w:t>
      </w:r>
    </w:p>
    <w:p>
      <w:pPr>
        <w:pStyle w:val="4"/>
        <w:rPr>
          <w:color w:val="auto"/>
        </w:rPr>
      </w:pPr>
      <w:bookmarkStart w:id="130" w:name="_Toc26276852"/>
      <w:r>
        <w:rPr>
          <w:rFonts w:hint="eastAsia"/>
          <w:color w:val="auto"/>
        </w:rPr>
        <w:t>4.2.7生态环境质量现状调查</w:t>
      </w:r>
      <w:bookmarkEnd w:id="130"/>
    </w:p>
    <w:p>
      <w:pPr>
        <w:pStyle w:val="5"/>
        <w:rPr>
          <w:color w:val="auto"/>
        </w:rPr>
      </w:pPr>
      <w:r>
        <w:rPr>
          <w:rFonts w:hint="eastAsia"/>
          <w:color w:val="auto"/>
        </w:rPr>
        <w:t>4.2.7.1项目所在地生态功能区划</w:t>
      </w:r>
    </w:p>
    <w:p>
      <w:pPr>
        <w:spacing w:line="360" w:lineRule="auto"/>
        <w:ind w:firstLine="482" w:firstLineChars="200"/>
        <w:rPr>
          <w:b/>
          <w:color w:val="auto"/>
          <w:sz w:val="24"/>
          <w:szCs w:val="24"/>
        </w:rPr>
      </w:pPr>
      <w:r>
        <w:rPr>
          <w:rFonts w:hint="eastAsia"/>
          <w:b/>
          <w:color w:val="auto"/>
          <w:sz w:val="24"/>
          <w:szCs w:val="24"/>
        </w:rPr>
        <w:t>1、广东省生态功能区划</w:t>
      </w:r>
    </w:p>
    <w:p>
      <w:pPr>
        <w:spacing w:line="360" w:lineRule="auto"/>
        <w:ind w:firstLine="480" w:firstLineChars="200"/>
        <w:rPr>
          <w:color w:val="auto"/>
          <w:sz w:val="24"/>
          <w:szCs w:val="24"/>
        </w:rPr>
      </w:pPr>
      <w:r>
        <w:rPr>
          <w:rFonts w:hint="eastAsia"/>
          <w:color w:val="auto"/>
          <w:sz w:val="24"/>
          <w:szCs w:val="24"/>
        </w:rPr>
        <w:t>根据生态环境敏感性、生态服务功能重要性和区域社会经济发展差异性等，把全省陆域和沿海海域划分为6个生态区、23个生态亚区和51个生态功能区。项目所在区域涉及一级功能区为广东中部山地丘陵南亚热带季风常绿阔叶林水土保持生态区；二级功能区为梅州河谷农业与水土保持生态功能亚区；三级生态功能区为梅州河谷农业与水土保持生态功能区。</w:t>
      </w:r>
    </w:p>
    <w:p>
      <w:pPr>
        <w:spacing w:line="360" w:lineRule="auto"/>
        <w:ind w:firstLine="482" w:firstLineChars="200"/>
        <w:rPr>
          <w:b/>
          <w:color w:val="auto"/>
          <w:sz w:val="24"/>
          <w:szCs w:val="24"/>
        </w:rPr>
      </w:pPr>
      <w:r>
        <w:rPr>
          <w:rFonts w:hint="eastAsia"/>
          <w:b/>
          <w:color w:val="auto"/>
          <w:sz w:val="24"/>
          <w:szCs w:val="24"/>
        </w:rPr>
        <w:t>2、广东省生态功能区划与本项目位置关系</w:t>
      </w:r>
    </w:p>
    <w:p>
      <w:pPr>
        <w:spacing w:line="360" w:lineRule="auto"/>
        <w:ind w:firstLine="480" w:firstLineChars="200"/>
        <w:rPr>
          <w:color w:val="auto"/>
          <w:sz w:val="24"/>
          <w:szCs w:val="24"/>
        </w:rPr>
      </w:pPr>
      <w:r>
        <w:rPr>
          <w:rFonts w:hint="eastAsia"/>
          <w:color w:val="auto"/>
          <w:sz w:val="24"/>
          <w:szCs w:val="24"/>
        </w:rPr>
        <w:t>在生态功能分区的基础上，结合生态保护、资源合理开发利用和社会经济可持续发展的需要，全省陆域划分为陆域严格控制区、有限开发区、集约利用区。</w:t>
      </w:r>
    </w:p>
    <w:p>
      <w:pPr>
        <w:spacing w:line="360" w:lineRule="auto"/>
        <w:ind w:firstLine="480" w:firstLineChars="200"/>
        <w:rPr>
          <w:color w:val="auto"/>
          <w:sz w:val="24"/>
          <w:szCs w:val="24"/>
        </w:rPr>
      </w:pPr>
      <w:r>
        <w:rPr>
          <w:rFonts w:hint="eastAsia"/>
          <w:color w:val="auto"/>
          <w:sz w:val="24"/>
          <w:szCs w:val="24"/>
        </w:rPr>
        <w:t xml:space="preserve">（1）严格控制区 </w:t>
      </w:r>
    </w:p>
    <w:p>
      <w:pPr>
        <w:spacing w:line="360" w:lineRule="auto"/>
        <w:ind w:firstLine="480" w:firstLineChars="200"/>
        <w:rPr>
          <w:color w:val="auto"/>
          <w:sz w:val="24"/>
          <w:szCs w:val="24"/>
        </w:rPr>
      </w:pPr>
      <w:r>
        <w:rPr>
          <w:rFonts w:hint="eastAsia"/>
          <w:color w:val="auto"/>
          <w:sz w:val="24"/>
          <w:szCs w:val="24"/>
        </w:rPr>
        <w:t xml:space="preserve">陆域严格控制区总面积 32320 平方公里，占全省陆地面积的 18.0%。包括两类区域，一是自然保护区、典型原生生态系统、珍稀物种栖息地、集中式饮用水源地及后备水源地等具有重大生态服务功能价值的区域；二是水土流失极敏感区、重要湿地区、生物迁徙洄游通道与产卵索饵繁殖区等生态环境极敏感区域。 </w:t>
      </w:r>
    </w:p>
    <w:p>
      <w:pPr>
        <w:spacing w:line="360" w:lineRule="auto"/>
        <w:ind w:firstLine="480" w:firstLineChars="200"/>
        <w:rPr>
          <w:color w:val="auto"/>
          <w:sz w:val="24"/>
          <w:szCs w:val="24"/>
        </w:rPr>
      </w:pPr>
      <w:r>
        <w:rPr>
          <w:rFonts w:hint="eastAsia"/>
          <w:color w:val="auto"/>
          <w:sz w:val="24"/>
          <w:szCs w:val="24"/>
        </w:rPr>
        <w:t>陆域及近岸海域严格控制区内禁止所有与环境保护和生态建设无关的开发活动。陆域严格控制区内要开展天然林保护和生态公益林建设，有效保护原生生态系统、珍稀频危动植物及其生境。</w:t>
      </w:r>
    </w:p>
    <w:p>
      <w:pPr>
        <w:spacing w:line="360" w:lineRule="auto"/>
        <w:ind w:firstLine="480" w:firstLineChars="200"/>
        <w:rPr>
          <w:color w:val="auto"/>
          <w:sz w:val="24"/>
          <w:szCs w:val="24"/>
        </w:rPr>
      </w:pPr>
      <w:r>
        <w:rPr>
          <w:rFonts w:hint="eastAsia"/>
          <w:color w:val="auto"/>
          <w:sz w:val="24"/>
          <w:szCs w:val="24"/>
        </w:rPr>
        <w:t>根据图2-5-5，本项目不涉及广东省生态功能严格控制区。</w:t>
      </w:r>
    </w:p>
    <w:p>
      <w:pPr>
        <w:spacing w:line="360" w:lineRule="auto"/>
        <w:ind w:firstLine="480" w:firstLineChars="200"/>
        <w:rPr>
          <w:color w:val="auto"/>
          <w:sz w:val="24"/>
          <w:szCs w:val="24"/>
        </w:rPr>
      </w:pPr>
      <w:r>
        <w:rPr>
          <w:rFonts w:hint="eastAsia"/>
          <w:color w:val="auto"/>
          <w:sz w:val="24"/>
          <w:szCs w:val="24"/>
        </w:rPr>
        <w:t xml:space="preserve">（2）有限开发区 </w:t>
      </w:r>
    </w:p>
    <w:p>
      <w:pPr>
        <w:spacing w:line="360" w:lineRule="auto"/>
        <w:ind w:firstLine="480" w:firstLineChars="200"/>
        <w:rPr>
          <w:color w:val="auto"/>
          <w:sz w:val="24"/>
          <w:szCs w:val="24"/>
        </w:rPr>
      </w:pPr>
      <w:r>
        <w:rPr>
          <w:rFonts w:hint="eastAsia"/>
          <w:color w:val="auto"/>
          <w:sz w:val="24"/>
          <w:szCs w:val="24"/>
        </w:rPr>
        <w:t>陆域有限开发区总面积 85480 平方公里，占全省陆地面积的 47.5%。包括三类区域，一是重要水土保持区、水源涵养区等重要生态功能控制区；二是城市间森林生态系统保存良好的山地等城市群绿岛生态缓冲区；三是山地丘陵疏林地等生态功能保育区。陆域及近岸海域有限开发区内可进行适度的开发利用，但必须保证开发利用不会导致环境质量的下降和生态功能的损害，同时要采取积极措施促进区域生态功能的改善和提高。陆域有限开发区内有重点保护水源涵养区的生态环境，严格控制水土流失。海域有限开发区内要重点推行科学养殖技术，合理控制养殖密度和规模，滨海旅游区要严格划定边界，并建立完善的管理体系。</w:t>
      </w:r>
    </w:p>
    <w:p>
      <w:pPr>
        <w:spacing w:line="360" w:lineRule="auto"/>
        <w:ind w:firstLine="480" w:firstLineChars="200"/>
        <w:rPr>
          <w:color w:val="auto"/>
          <w:sz w:val="24"/>
          <w:szCs w:val="24"/>
        </w:rPr>
      </w:pPr>
      <w:r>
        <w:rPr>
          <w:rFonts w:hint="eastAsia"/>
          <w:color w:val="auto"/>
          <w:sz w:val="24"/>
          <w:szCs w:val="24"/>
        </w:rPr>
        <w:t>根据图2-5-5，本项目不涉及广东省生态功能有限开发区。</w:t>
      </w:r>
    </w:p>
    <w:p>
      <w:pPr>
        <w:spacing w:line="360" w:lineRule="auto"/>
        <w:ind w:firstLine="480" w:firstLineChars="200"/>
        <w:rPr>
          <w:color w:val="auto"/>
          <w:sz w:val="24"/>
          <w:szCs w:val="24"/>
        </w:rPr>
      </w:pPr>
      <w:r>
        <w:rPr>
          <w:rFonts w:hint="eastAsia"/>
          <w:color w:val="auto"/>
          <w:sz w:val="24"/>
          <w:szCs w:val="24"/>
        </w:rPr>
        <w:t xml:space="preserve">（3）集约利用区 </w:t>
      </w:r>
    </w:p>
    <w:p>
      <w:pPr>
        <w:spacing w:line="360" w:lineRule="auto"/>
        <w:ind w:firstLine="480" w:firstLineChars="200"/>
        <w:rPr>
          <w:color w:val="auto"/>
          <w:sz w:val="24"/>
          <w:szCs w:val="24"/>
        </w:rPr>
      </w:pPr>
      <w:r>
        <w:rPr>
          <w:rFonts w:hint="eastAsia"/>
          <w:color w:val="auto"/>
          <w:sz w:val="24"/>
          <w:szCs w:val="24"/>
        </w:rPr>
        <w:t xml:space="preserve">陆域集约利用区总面积约 62000 平方公里，占全省陆地面积的 34.5%。包括农业开发区和城镇开发区两类区域。 </w:t>
      </w:r>
    </w:p>
    <w:p>
      <w:pPr>
        <w:spacing w:line="360" w:lineRule="auto"/>
        <w:ind w:firstLine="480" w:firstLineChars="200"/>
        <w:rPr>
          <w:color w:val="auto"/>
          <w:sz w:val="24"/>
          <w:szCs w:val="24"/>
        </w:rPr>
      </w:pPr>
      <w:r>
        <w:rPr>
          <w:rFonts w:hint="eastAsia"/>
          <w:color w:val="auto"/>
          <w:sz w:val="24"/>
          <w:szCs w:val="24"/>
        </w:rPr>
        <w:t xml:space="preserve">农业开发区内要加强生态农业建设、农业清洁生产和基本农田保护，降低化肥和农药施用强度，控制农业面源污染。城镇开发区内要强化规划指导，限制占用生态用地，加强城市绿地系统建设。近岸海域集约利用区内要严格按照近岸海域功能区的范围和功能定位进行有序开发，合理控制围海造地，科学调整工业产业结构和规模，加强治污力度，避免开发建设对周围海域环境产生严重影响。 </w:t>
      </w:r>
    </w:p>
    <w:p>
      <w:pPr>
        <w:spacing w:line="360" w:lineRule="auto"/>
        <w:ind w:firstLine="480" w:firstLineChars="200"/>
        <w:rPr>
          <w:color w:val="auto"/>
          <w:sz w:val="24"/>
          <w:szCs w:val="24"/>
        </w:rPr>
      </w:pPr>
      <w:r>
        <w:rPr>
          <w:rFonts w:hint="eastAsia"/>
          <w:color w:val="auto"/>
          <w:sz w:val="24"/>
          <w:szCs w:val="24"/>
        </w:rPr>
        <w:t>本项目位于集约利用区，项目所在生态环境功能区见图2-5-5。</w:t>
      </w:r>
    </w:p>
    <w:p>
      <w:pPr>
        <w:pStyle w:val="5"/>
        <w:rPr>
          <w:color w:val="auto"/>
        </w:rPr>
      </w:pPr>
      <w:r>
        <w:rPr>
          <w:rFonts w:hint="eastAsia"/>
          <w:color w:val="auto"/>
        </w:rPr>
        <w:t>4.2.7.2生态环境现状调查</w:t>
      </w:r>
    </w:p>
    <w:p>
      <w:pPr>
        <w:spacing w:line="360" w:lineRule="auto"/>
        <w:ind w:firstLine="482" w:firstLineChars="200"/>
        <w:rPr>
          <w:b/>
          <w:color w:val="auto"/>
          <w:sz w:val="24"/>
          <w:szCs w:val="24"/>
        </w:rPr>
      </w:pPr>
      <w:r>
        <w:rPr>
          <w:rFonts w:hint="eastAsia"/>
          <w:b/>
          <w:color w:val="auto"/>
          <w:sz w:val="24"/>
          <w:szCs w:val="24"/>
        </w:rPr>
        <w:t>1、调查方法</w:t>
      </w:r>
    </w:p>
    <w:p>
      <w:pPr>
        <w:spacing w:line="360" w:lineRule="auto"/>
        <w:ind w:firstLine="480" w:firstLineChars="200"/>
        <w:rPr>
          <w:color w:val="auto"/>
          <w:sz w:val="24"/>
          <w:szCs w:val="24"/>
        </w:rPr>
      </w:pPr>
      <w:r>
        <w:rPr>
          <w:rFonts w:hint="eastAsia"/>
          <w:color w:val="auto"/>
          <w:sz w:val="24"/>
          <w:szCs w:val="24"/>
        </w:rPr>
        <w:t>资料收集和植被样方现场调查相结合。</w:t>
      </w:r>
    </w:p>
    <w:p>
      <w:pPr>
        <w:spacing w:line="360" w:lineRule="auto"/>
        <w:ind w:firstLine="482" w:firstLineChars="200"/>
        <w:rPr>
          <w:b/>
          <w:color w:val="auto"/>
          <w:sz w:val="24"/>
          <w:szCs w:val="24"/>
        </w:rPr>
      </w:pPr>
      <w:r>
        <w:rPr>
          <w:rFonts w:hint="eastAsia"/>
          <w:b/>
          <w:color w:val="auto"/>
          <w:sz w:val="24"/>
          <w:szCs w:val="24"/>
        </w:rPr>
        <w:t>2、项目占地范围内用地现状</w:t>
      </w:r>
    </w:p>
    <w:p>
      <w:pPr>
        <w:spacing w:line="360" w:lineRule="auto"/>
        <w:ind w:firstLine="480" w:firstLineChars="200"/>
        <w:rPr>
          <w:color w:val="auto"/>
          <w:sz w:val="24"/>
          <w:szCs w:val="24"/>
        </w:rPr>
      </w:pPr>
      <w:r>
        <w:rPr>
          <w:rFonts w:hint="eastAsia"/>
          <w:color w:val="auto"/>
          <w:sz w:val="24"/>
          <w:szCs w:val="24"/>
        </w:rPr>
        <w:t>根据现场踏勘，占地范围原始地貌单元主要为残剥丘陵，地势起伏较大，项目占地范围内没有基本农田保护区分布，地块内东北侧和东南侧用地现状为林地，西侧、西南侧和西北侧用地现状为鱼塘、菜地等。</w:t>
      </w:r>
    </w:p>
    <w:p>
      <w:pPr>
        <w:spacing w:line="360" w:lineRule="auto"/>
        <w:ind w:firstLine="482" w:firstLineChars="200"/>
        <w:rPr>
          <w:b/>
          <w:color w:val="auto"/>
          <w:sz w:val="24"/>
          <w:szCs w:val="24"/>
        </w:rPr>
      </w:pPr>
      <w:r>
        <w:rPr>
          <w:rFonts w:hint="eastAsia"/>
          <w:b/>
          <w:color w:val="auto"/>
          <w:sz w:val="24"/>
          <w:szCs w:val="24"/>
        </w:rPr>
        <w:t>3、陆生生态现状调查</w:t>
      </w:r>
    </w:p>
    <w:p>
      <w:pPr>
        <w:spacing w:line="360" w:lineRule="auto"/>
        <w:ind w:firstLine="480" w:firstLineChars="200"/>
        <w:rPr>
          <w:color w:val="auto"/>
          <w:sz w:val="24"/>
          <w:szCs w:val="24"/>
        </w:rPr>
      </w:pPr>
      <w:r>
        <w:rPr>
          <w:rFonts w:hint="eastAsia"/>
          <w:color w:val="auto"/>
          <w:sz w:val="24"/>
          <w:szCs w:val="24"/>
        </w:rPr>
        <w:t>（1）现状植被类型</w:t>
      </w:r>
    </w:p>
    <w:p>
      <w:pPr>
        <w:spacing w:line="360" w:lineRule="auto"/>
        <w:ind w:firstLine="480" w:firstLineChars="200"/>
        <w:rPr>
          <w:color w:val="auto"/>
          <w:sz w:val="24"/>
          <w:szCs w:val="24"/>
        </w:rPr>
      </w:pPr>
      <w:r>
        <w:rPr>
          <w:rFonts w:hint="eastAsia"/>
          <w:color w:val="auto"/>
          <w:sz w:val="24"/>
          <w:szCs w:val="24"/>
        </w:rPr>
        <w:t>经现场调查，项目所在区域植被由于人类长期活动的影响，原生林已不复存在，项目东北侧低丘山坡以次生人工林为主，植物种类多为桉树、落羽杉、竹林等，群落结构简单，种类贫乏。项目西侧、西南侧和西北侧洼地以农业植被等农田生态系统为主，主要分布有鱼塘、菜地等。项目东南侧低丘山坡以次生人工林为主，植物种类多为松树等，群落结构简单，种类贫乏。路边、菜地间和村边间或种植树木，多以路边树、护村林木等小片人工林零星分布，间有蕉树、龙眼、木瓜等。</w:t>
      </w:r>
    </w:p>
    <w:p>
      <w:pPr>
        <w:spacing w:line="360" w:lineRule="auto"/>
        <w:ind w:firstLine="480" w:firstLineChars="200"/>
        <w:rPr>
          <w:color w:val="auto"/>
          <w:sz w:val="24"/>
          <w:szCs w:val="24"/>
        </w:rPr>
      </w:pPr>
      <w:r>
        <w:rPr>
          <w:rFonts w:hint="eastAsia"/>
          <w:color w:val="auto"/>
          <w:sz w:val="24"/>
          <w:szCs w:val="24"/>
        </w:rPr>
        <w:t>（2）植物样方调查</w:t>
      </w:r>
    </w:p>
    <w:p>
      <w:pPr>
        <w:spacing w:line="360" w:lineRule="auto"/>
        <w:ind w:firstLine="480" w:firstLineChars="200"/>
        <w:rPr>
          <w:color w:val="auto"/>
          <w:sz w:val="24"/>
          <w:szCs w:val="24"/>
        </w:rPr>
      </w:pPr>
      <w:r>
        <w:rPr>
          <w:rFonts w:hint="eastAsia"/>
          <w:color w:val="auto"/>
          <w:sz w:val="24"/>
          <w:szCs w:val="24"/>
        </w:rPr>
        <w:t>为了进一步了解评价区内植被群落分布、数量等情况，在资料收集的基础上，与现场开展植被样方调查。</w:t>
      </w:r>
    </w:p>
    <w:p>
      <w:pPr>
        <w:spacing w:line="360" w:lineRule="auto"/>
        <w:ind w:firstLine="480" w:firstLineChars="200"/>
        <w:rPr>
          <w:color w:val="auto"/>
          <w:sz w:val="24"/>
          <w:szCs w:val="24"/>
        </w:rPr>
      </w:pPr>
      <w:r>
        <w:rPr>
          <w:rFonts w:hint="eastAsia"/>
          <w:color w:val="auto"/>
          <w:sz w:val="24"/>
          <w:szCs w:val="24"/>
        </w:rPr>
        <w:t>①调查方法与原则</w:t>
      </w:r>
    </w:p>
    <w:p>
      <w:pPr>
        <w:spacing w:line="360" w:lineRule="auto"/>
        <w:ind w:firstLine="480" w:firstLineChars="200"/>
        <w:rPr>
          <w:color w:val="auto"/>
          <w:sz w:val="24"/>
          <w:szCs w:val="24"/>
        </w:rPr>
      </w:pPr>
      <w:r>
        <w:rPr>
          <w:rFonts w:hint="eastAsia"/>
          <w:color w:val="auto"/>
          <w:sz w:val="24"/>
          <w:szCs w:val="24"/>
        </w:rPr>
        <w:t>在工程用地内进行现场踏勘，选择有代表性的区域设置样地，以能较全面反映样方所在地的基本群落特征为原则，样方大小的确定以抽样植物的大小和密度为基础。</w:t>
      </w:r>
    </w:p>
    <w:p>
      <w:pPr>
        <w:spacing w:line="360" w:lineRule="auto"/>
        <w:ind w:firstLine="480" w:firstLineChars="200"/>
        <w:rPr>
          <w:color w:val="auto"/>
          <w:sz w:val="24"/>
          <w:szCs w:val="24"/>
        </w:rPr>
      </w:pPr>
      <w:r>
        <w:rPr>
          <w:rFonts w:hint="eastAsia"/>
          <w:color w:val="auto"/>
          <w:sz w:val="24"/>
          <w:szCs w:val="24"/>
        </w:rPr>
        <w:t>根据调查区域的状况，本评价设定样方面积约100m</w:t>
      </w:r>
      <w:r>
        <w:rPr>
          <w:rFonts w:hint="eastAsia"/>
          <w:color w:val="auto"/>
          <w:sz w:val="24"/>
          <w:szCs w:val="24"/>
          <w:vertAlign w:val="superscript"/>
        </w:rPr>
        <w:t>2</w:t>
      </w:r>
      <w:r>
        <w:rPr>
          <w:rFonts w:hint="eastAsia"/>
          <w:color w:val="auto"/>
          <w:sz w:val="24"/>
          <w:szCs w:val="24"/>
        </w:rPr>
        <w:t>。记录样方的基本情况，包括样地的郁闭度、海拔、坡度、坡向、优势种群等。调查样方中的乔木、灌木以及草本。对乔木物种调查其植物种类、树高、胸径、冠幅等；对灌木植物及藤本植物，记录其植物物种、株高、覆盖度等；对草本植物，记录其植物种类、高度、丛数和覆盖度等。</w:t>
      </w:r>
    </w:p>
    <w:p>
      <w:pPr>
        <w:spacing w:line="360" w:lineRule="auto"/>
        <w:ind w:firstLine="480" w:firstLineChars="200"/>
        <w:rPr>
          <w:color w:val="auto"/>
          <w:sz w:val="24"/>
          <w:szCs w:val="24"/>
        </w:rPr>
      </w:pPr>
      <w:r>
        <w:rPr>
          <w:rFonts w:hint="eastAsia"/>
          <w:color w:val="auto"/>
          <w:sz w:val="24"/>
          <w:szCs w:val="24"/>
        </w:rPr>
        <w:t>②样方点选取</w:t>
      </w:r>
    </w:p>
    <w:p>
      <w:pPr>
        <w:spacing w:line="360" w:lineRule="auto"/>
        <w:ind w:firstLine="480" w:firstLineChars="200"/>
        <w:rPr>
          <w:rFonts w:hint="eastAsia"/>
          <w:color w:val="auto"/>
          <w:sz w:val="24"/>
          <w:szCs w:val="24"/>
        </w:rPr>
      </w:pPr>
      <w:r>
        <w:rPr>
          <w:rFonts w:hint="eastAsia"/>
          <w:color w:val="auto"/>
          <w:sz w:val="24"/>
          <w:szCs w:val="24"/>
        </w:rPr>
        <w:t>根据初步踏勘，在评价区内选取1个样方点，开展植被调查，具体见表4-2-16，选取样方点位置见图4-2-3。</w:t>
      </w:r>
    </w:p>
    <w:p>
      <w:pPr>
        <w:spacing w:line="360" w:lineRule="auto"/>
        <w:ind w:firstLine="480" w:firstLineChars="200"/>
        <w:rPr>
          <w:rFonts w:hint="eastAsia"/>
          <w:color w:val="auto"/>
          <w:sz w:val="24"/>
          <w:szCs w:val="24"/>
        </w:rPr>
      </w:pPr>
    </w:p>
    <w:p>
      <w:pPr>
        <w:spacing w:line="360" w:lineRule="auto"/>
        <w:ind w:firstLine="480" w:firstLineChars="200"/>
        <w:rPr>
          <w:rFonts w:hint="eastAsia"/>
          <w:color w:val="auto"/>
          <w:sz w:val="24"/>
          <w:szCs w:val="24"/>
        </w:rPr>
      </w:pPr>
    </w:p>
    <w:p>
      <w:pPr>
        <w:spacing w:line="360" w:lineRule="auto"/>
        <w:jc w:val="center"/>
        <w:rPr>
          <w:b/>
          <w:color w:val="auto"/>
          <w:sz w:val="24"/>
          <w:szCs w:val="24"/>
        </w:rPr>
      </w:pPr>
      <w:r>
        <w:rPr>
          <w:rFonts w:hint="eastAsia"/>
          <w:b/>
          <w:color w:val="auto"/>
          <w:sz w:val="24"/>
          <w:szCs w:val="24"/>
        </w:rPr>
        <w:t>表4-2-16   植物样方点选取情况</w:t>
      </w:r>
    </w:p>
    <w:tbl>
      <w:tblPr>
        <w:tblStyle w:val="28"/>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722"/>
        <w:gridCol w:w="1506"/>
        <w:gridCol w:w="2019"/>
        <w:gridCol w:w="1686"/>
        <w:gridCol w:w="1227"/>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40" w:hRule="atLeast"/>
          <w:jc w:val="center"/>
        </w:trPr>
        <w:tc>
          <w:tcPr>
            <w:tcW w:w="722" w:type="dxa"/>
            <w:tcBorders>
              <w:top w:val="single" w:color="auto" w:sz="4" w:space="0"/>
              <w:left w:val="single" w:color="auto" w:sz="4" w:space="0"/>
              <w:bottom w:val="single" w:color="auto" w:sz="4" w:space="0"/>
              <w:right w:val="single" w:color="auto" w:sz="4" w:space="0"/>
            </w:tcBorders>
            <w:tcMar>
              <w:top w:w="85" w:type="dxa"/>
              <w:left w:w="28" w:type="dxa"/>
              <w:bottom w:w="85" w:type="dxa"/>
              <w:right w:w="28" w:type="dxa"/>
            </w:tcMar>
            <w:vAlign w:val="center"/>
          </w:tcPr>
          <w:p>
            <w:pPr>
              <w:adjustRightInd w:val="0"/>
              <w:snapToGrid w:val="0"/>
              <w:jc w:val="center"/>
              <w:textAlignment w:val="baseline"/>
              <w:rPr>
                <w:b/>
                <w:bCs/>
                <w:color w:val="auto"/>
                <w:sz w:val="21"/>
                <w:szCs w:val="21"/>
              </w:rPr>
            </w:pPr>
            <w:r>
              <w:rPr>
                <w:rFonts w:hAnsi="宋体"/>
                <w:b/>
                <w:bCs/>
                <w:color w:val="auto"/>
                <w:sz w:val="21"/>
                <w:szCs w:val="21"/>
              </w:rPr>
              <w:t>编号</w:t>
            </w:r>
          </w:p>
        </w:tc>
        <w:tc>
          <w:tcPr>
            <w:tcW w:w="1506" w:type="dxa"/>
            <w:tcBorders>
              <w:top w:val="single" w:color="auto" w:sz="4" w:space="0"/>
              <w:left w:val="nil"/>
              <w:bottom w:val="single" w:color="auto" w:sz="4" w:space="0"/>
              <w:right w:val="single" w:color="auto" w:sz="4" w:space="0"/>
            </w:tcBorders>
            <w:tcMar>
              <w:top w:w="85" w:type="dxa"/>
              <w:left w:w="28" w:type="dxa"/>
              <w:bottom w:w="85" w:type="dxa"/>
              <w:right w:w="28" w:type="dxa"/>
            </w:tcMar>
            <w:vAlign w:val="center"/>
          </w:tcPr>
          <w:p>
            <w:pPr>
              <w:adjustRightInd w:val="0"/>
              <w:snapToGrid w:val="0"/>
              <w:jc w:val="center"/>
              <w:textAlignment w:val="baseline"/>
              <w:rPr>
                <w:b/>
                <w:bCs/>
                <w:color w:val="auto"/>
                <w:sz w:val="21"/>
                <w:szCs w:val="21"/>
              </w:rPr>
            </w:pPr>
            <w:r>
              <w:rPr>
                <w:rFonts w:hAnsi="宋体"/>
                <w:b/>
                <w:bCs/>
                <w:color w:val="auto"/>
                <w:sz w:val="21"/>
                <w:szCs w:val="21"/>
              </w:rPr>
              <w:t>样方名称</w:t>
            </w:r>
          </w:p>
        </w:tc>
        <w:tc>
          <w:tcPr>
            <w:tcW w:w="201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b/>
                <w:bCs/>
                <w:color w:val="auto"/>
                <w:sz w:val="21"/>
                <w:szCs w:val="21"/>
              </w:rPr>
            </w:pPr>
            <w:r>
              <w:rPr>
                <w:rFonts w:hAnsi="宋体"/>
                <w:b/>
                <w:bCs/>
                <w:color w:val="auto"/>
                <w:sz w:val="21"/>
                <w:szCs w:val="21"/>
              </w:rPr>
              <w:t>中心经纬度</w:t>
            </w:r>
          </w:p>
        </w:tc>
        <w:tc>
          <w:tcPr>
            <w:tcW w:w="168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b/>
                <w:bCs/>
                <w:color w:val="auto"/>
                <w:sz w:val="21"/>
                <w:szCs w:val="21"/>
              </w:rPr>
            </w:pPr>
            <w:r>
              <w:rPr>
                <w:rFonts w:hAnsi="宋体"/>
                <w:b/>
                <w:bCs/>
                <w:color w:val="auto"/>
                <w:sz w:val="21"/>
                <w:szCs w:val="21"/>
              </w:rPr>
              <w:t>样方面积</w:t>
            </w:r>
            <w:r>
              <w:rPr>
                <w:b/>
                <w:bCs/>
                <w:color w:val="auto"/>
                <w:sz w:val="21"/>
                <w:szCs w:val="21"/>
              </w:rPr>
              <w:t>m</w:t>
            </w:r>
            <w:r>
              <w:rPr>
                <w:b/>
                <w:bCs/>
                <w:color w:val="auto"/>
                <w:sz w:val="21"/>
                <w:szCs w:val="21"/>
                <w:vertAlign w:val="superscript"/>
              </w:rPr>
              <w:t>2</w:t>
            </w:r>
          </w:p>
        </w:tc>
        <w:tc>
          <w:tcPr>
            <w:tcW w:w="1227"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b/>
                <w:bCs/>
                <w:color w:val="auto"/>
                <w:sz w:val="21"/>
                <w:szCs w:val="21"/>
              </w:rPr>
            </w:pPr>
            <w:r>
              <w:rPr>
                <w:rFonts w:hAnsi="宋体"/>
                <w:b/>
                <w:bCs/>
                <w:color w:val="auto"/>
                <w:sz w:val="21"/>
                <w:szCs w:val="21"/>
              </w:rPr>
              <w:t>土地现状</w:t>
            </w:r>
          </w:p>
        </w:tc>
        <w:tc>
          <w:tcPr>
            <w:tcW w:w="2047"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b/>
                <w:bCs/>
                <w:color w:val="auto"/>
                <w:sz w:val="21"/>
                <w:szCs w:val="21"/>
              </w:rPr>
            </w:pPr>
            <w:r>
              <w:rPr>
                <w:rFonts w:hAnsi="宋体"/>
                <w:b/>
                <w:bCs/>
                <w:color w:val="auto"/>
                <w:sz w:val="21"/>
                <w:szCs w:val="21"/>
              </w:rPr>
              <w:t>生态特征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340" w:hRule="atLeast"/>
          <w:jc w:val="center"/>
        </w:trPr>
        <w:tc>
          <w:tcPr>
            <w:tcW w:w="722" w:type="dxa"/>
            <w:tcBorders>
              <w:top w:val="single" w:color="auto" w:sz="4" w:space="0"/>
              <w:left w:val="single" w:color="auto" w:sz="4" w:space="0"/>
              <w:bottom w:val="single" w:color="auto" w:sz="4" w:space="0"/>
              <w:right w:val="single" w:color="auto" w:sz="4" w:space="0"/>
            </w:tcBorders>
            <w:tcMar>
              <w:top w:w="85" w:type="dxa"/>
              <w:left w:w="28" w:type="dxa"/>
              <w:bottom w:w="85" w:type="dxa"/>
              <w:right w:w="28" w:type="dxa"/>
            </w:tcMar>
            <w:vAlign w:val="center"/>
          </w:tcPr>
          <w:p>
            <w:pPr>
              <w:adjustRightInd w:val="0"/>
              <w:snapToGrid w:val="0"/>
              <w:jc w:val="center"/>
              <w:textAlignment w:val="baseline"/>
              <w:rPr>
                <w:color w:val="auto"/>
                <w:sz w:val="21"/>
                <w:szCs w:val="21"/>
              </w:rPr>
            </w:pPr>
            <w:r>
              <w:rPr>
                <w:color w:val="auto"/>
                <w:sz w:val="21"/>
                <w:szCs w:val="21"/>
              </w:rPr>
              <w:t>1#</w:t>
            </w:r>
          </w:p>
        </w:tc>
        <w:tc>
          <w:tcPr>
            <w:tcW w:w="1506" w:type="dxa"/>
            <w:tcBorders>
              <w:top w:val="single" w:color="auto" w:sz="4" w:space="0"/>
              <w:left w:val="nil"/>
              <w:bottom w:val="single" w:color="auto" w:sz="4" w:space="0"/>
              <w:right w:val="single" w:color="auto" w:sz="4" w:space="0"/>
            </w:tcBorders>
            <w:tcMar>
              <w:top w:w="85" w:type="dxa"/>
              <w:left w:w="28" w:type="dxa"/>
              <w:bottom w:w="85" w:type="dxa"/>
              <w:right w:w="28" w:type="dxa"/>
            </w:tcMar>
            <w:vAlign w:val="center"/>
          </w:tcPr>
          <w:p>
            <w:pPr>
              <w:adjustRightInd w:val="0"/>
              <w:snapToGrid w:val="0"/>
              <w:jc w:val="center"/>
              <w:textAlignment w:val="baseline"/>
              <w:rPr>
                <w:color w:val="auto"/>
                <w:sz w:val="21"/>
                <w:szCs w:val="21"/>
              </w:rPr>
            </w:pPr>
            <w:r>
              <w:rPr>
                <w:rFonts w:hAnsi="宋体"/>
                <w:color w:val="auto"/>
                <w:sz w:val="21"/>
                <w:szCs w:val="21"/>
              </w:rPr>
              <w:t>东南角样方</w:t>
            </w:r>
          </w:p>
        </w:tc>
        <w:tc>
          <w:tcPr>
            <w:tcW w:w="201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23.9359N</w:t>
            </w:r>
            <w:r>
              <w:rPr>
                <w:rFonts w:hAnsi="宋体"/>
                <w:color w:val="auto"/>
                <w:sz w:val="21"/>
                <w:szCs w:val="21"/>
              </w:rPr>
              <w:t>，</w:t>
            </w:r>
            <w:r>
              <w:rPr>
                <w:color w:val="auto"/>
                <w:sz w:val="21"/>
                <w:szCs w:val="21"/>
              </w:rPr>
              <w:t>115.837</w:t>
            </w:r>
            <w:r>
              <w:rPr>
                <w:rFonts w:hint="eastAsia"/>
                <w:color w:val="auto"/>
                <w:sz w:val="21"/>
                <w:szCs w:val="21"/>
              </w:rPr>
              <w:t>5</w:t>
            </w:r>
            <w:r>
              <w:rPr>
                <w:color w:val="auto"/>
                <w:sz w:val="21"/>
                <w:szCs w:val="21"/>
              </w:rPr>
              <w:t>E</w:t>
            </w:r>
          </w:p>
        </w:tc>
        <w:tc>
          <w:tcPr>
            <w:tcW w:w="168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10×10=100</w:t>
            </w:r>
          </w:p>
        </w:tc>
        <w:tc>
          <w:tcPr>
            <w:tcW w:w="1227"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林地</w:t>
            </w:r>
          </w:p>
        </w:tc>
        <w:tc>
          <w:tcPr>
            <w:tcW w:w="2047"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毛竹</w:t>
            </w:r>
            <w:r>
              <w:rPr>
                <w:color w:val="auto"/>
                <w:sz w:val="21"/>
                <w:szCs w:val="21"/>
              </w:rPr>
              <w:t>—</w:t>
            </w:r>
            <w:r>
              <w:rPr>
                <w:rFonts w:hAnsi="宋体"/>
                <w:color w:val="auto"/>
                <w:sz w:val="21"/>
                <w:szCs w:val="21"/>
              </w:rPr>
              <w:t>罗伞树</w:t>
            </w:r>
            <w:r>
              <w:rPr>
                <w:color w:val="auto"/>
                <w:sz w:val="21"/>
                <w:szCs w:val="21"/>
              </w:rPr>
              <w:t>+</w:t>
            </w:r>
            <w:r>
              <w:rPr>
                <w:rFonts w:hAnsi="宋体"/>
                <w:color w:val="auto"/>
                <w:sz w:val="21"/>
                <w:szCs w:val="21"/>
              </w:rPr>
              <w:t>马缨丹</w:t>
            </w:r>
            <w:r>
              <w:rPr>
                <w:color w:val="auto"/>
                <w:sz w:val="21"/>
                <w:szCs w:val="21"/>
              </w:rPr>
              <w:t>—</w:t>
            </w:r>
            <w:r>
              <w:rPr>
                <w:rFonts w:hAnsi="宋体"/>
                <w:color w:val="auto"/>
                <w:sz w:val="21"/>
                <w:szCs w:val="21"/>
              </w:rPr>
              <w:t>荻群落</w:t>
            </w:r>
          </w:p>
        </w:tc>
      </w:tr>
    </w:tbl>
    <w:p>
      <w:pPr>
        <w:spacing w:line="360" w:lineRule="auto"/>
        <w:ind w:firstLine="480" w:firstLineChars="200"/>
        <w:jc w:val="left"/>
        <w:rPr>
          <w:color w:val="auto"/>
          <w:sz w:val="24"/>
          <w:szCs w:val="24"/>
        </w:rPr>
      </w:pPr>
      <w:r>
        <w:rPr>
          <w:rFonts w:hint="eastAsia"/>
          <w:color w:val="auto"/>
          <w:sz w:val="24"/>
          <w:szCs w:val="24"/>
        </w:rPr>
        <w:t>③物样方调查结果统计</w:t>
      </w:r>
    </w:p>
    <w:p>
      <w:pPr>
        <w:spacing w:line="360" w:lineRule="auto"/>
        <w:ind w:firstLine="480" w:firstLineChars="200"/>
        <w:jc w:val="left"/>
        <w:rPr>
          <w:color w:val="auto"/>
          <w:sz w:val="24"/>
          <w:szCs w:val="24"/>
        </w:rPr>
      </w:pPr>
      <w:r>
        <w:rPr>
          <w:rFonts w:hint="eastAsia"/>
          <w:color w:val="auto"/>
          <w:sz w:val="24"/>
          <w:szCs w:val="24"/>
        </w:rPr>
        <w:t>评价单位于2019年3月5日在建设用地区域内开展了样方调查，统计结果如下。</w:t>
      </w:r>
    </w:p>
    <w:p>
      <w:pPr>
        <w:spacing w:line="360" w:lineRule="auto"/>
        <w:ind w:firstLine="480" w:firstLineChars="200"/>
        <w:jc w:val="left"/>
        <w:rPr>
          <w:color w:val="auto"/>
          <w:sz w:val="24"/>
          <w:szCs w:val="24"/>
        </w:rPr>
      </w:pPr>
      <w:r>
        <w:rPr>
          <w:rFonts w:hint="eastAsia"/>
          <w:color w:val="auto"/>
          <w:sz w:val="24"/>
          <w:szCs w:val="24"/>
        </w:rPr>
        <w:t>1#东北角样方：本样方位于项目东北角坡地，样方面积约100m</w:t>
      </w:r>
      <w:r>
        <w:rPr>
          <w:rFonts w:hint="eastAsia"/>
          <w:color w:val="auto"/>
          <w:sz w:val="24"/>
          <w:szCs w:val="24"/>
          <w:vertAlign w:val="superscript"/>
        </w:rPr>
        <w:t>2</w:t>
      </w:r>
      <w:r>
        <w:rPr>
          <w:rFonts w:hint="eastAsia"/>
          <w:color w:val="auto"/>
          <w:sz w:val="24"/>
          <w:szCs w:val="24"/>
        </w:rPr>
        <w:t>。该处植被结构简单，物种较少，为人工林木，共有植物11科14种，其中乔木有毛竹、落羽杉、小叶桉；灌木主要有接骨木、马缨丹、罗伞树、桃金娘；藤本主要有厚藤、鸡屎藤；草本主要有荻、里白、马兰、露兜簕、五爪金龙。特征群落为：毛竹—罗伞树+马缨丹—荻。</w:t>
      </w:r>
    </w:p>
    <w:p>
      <w:pPr>
        <w:spacing w:line="360" w:lineRule="auto"/>
        <w:jc w:val="center"/>
        <w:rPr>
          <w:b/>
          <w:color w:val="auto"/>
          <w:sz w:val="24"/>
          <w:szCs w:val="24"/>
        </w:rPr>
      </w:pPr>
      <w:r>
        <w:rPr>
          <w:rFonts w:hint="eastAsia"/>
          <w:b/>
          <w:color w:val="auto"/>
          <w:sz w:val="24"/>
          <w:szCs w:val="24"/>
        </w:rPr>
        <w:t>表4-2-17   工程用地区域陆地植物样方实录（1#样方）</w:t>
      </w:r>
    </w:p>
    <w:tbl>
      <w:tblPr>
        <w:tblStyle w:val="28"/>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68" w:type="dxa"/>
          <w:left w:w="108" w:type="dxa"/>
          <w:bottom w:w="68" w:type="dxa"/>
          <w:right w:w="108" w:type="dxa"/>
        </w:tblCellMar>
      </w:tblPr>
      <w:tblGrid>
        <w:gridCol w:w="1165"/>
        <w:gridCol w:w="1085"/>
        <w:gridCol w:w="2439"/>
        <w:gridCol w:w="1244"/>
        <w:gridCol w:w="936"/>
        <w:gridCol w:w="1170"/>
        <w:gridCol w:w="1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4" w:hRule="atLeast"/>
          <w:jc w:val="center"/>
        </w:trPr>
        <w:tc>
          <w:tcPr>
            <w:tcW w:w="11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样方号</w:t>
            </w:r>
          </w:p>
        </w:tc>
        <w:tc>
          <w:tcPr>
            <w:tcW w:w="8122" w:type="dxa"/>
            <w:gridSpan w:val="6"/>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w:t>
            </w:r>
            <w:r>
              <w:rPr>
                <w:rFonts w:hAnsi="宋体"/>
                <w:color w:val="auto"/>
                <w:sz w:val="21"/>
                <w:szCs w:val="21"/>
              </w:rPr>
              <w:t>样方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4" w:hRule="atLeast"/>
          <w:jc w:val="center"/>
        </w:trPr>
        <w:tc>
          <w:tcPr>
            <w:tcW w:w="11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时间</w:t>
            </w:r>
          </w:p>
        </w:tc>
        <w:tc>
          <w:tcPr>
            <w:tcW w:w="8122" w:type="dxa"/>
            <w:gridSpan w:val="6"/>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int="eastAsia"/>
                <w:color w:val="auto"/>
                <w:sz w:val="21"/>
                <w:szCs w:val="21"/>
              </w:rPr>
              <w:t>2019</w:t>
            </w:r>
            <w:r>
              <w:rPr>
                <w:rFonts w:hAnsi="宋体"/>
                <w:color w:val="auto"/>
                <w:sz w:val="21"/>
                <w:szCs w:val="21"/>
              </w:rPr>
              <w:t>年</w:t>
            </w:r>
            <w:r>
              <w:rPr>
                <w:rFonts w:hint="eastAsia" w:hAnsi="宋体"/>
                <w:color w:val="auto"/>
                <w:sz w:val="21"/>
                <w:szCs w:val="21"/>
              </w:rPr>
              <w:t>3</w:t>
            </w:r>
            <w:r>
              <w:rPr>
                <w:rFonts w:hAnsi="宋体"/>
                <w:color w:val="auto"/>
                <w:sz w:val="21"/>
                <w:szCs w:val="21"/>
              </w:rPr>
              <w:t>月</w:t>
            </w:r>
            <w:r>
              <w:rPr>
                <w:color w:val="auto"/>
                <w:sz w:val="21"/>
                <w:szCs w:val="21"/>
              </w:rPr>
              <w:t>5</w:t>
            </w:r>
            <w:r>
              <w:rPr>
                <w:rFonts w:hAnsi="宋体"/>
                <w:color w:val="auto"/>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4" w:hRule="atLeast"/>
          <w:jc w:val="center"/>
        </w:trPr>
        <w:tc>
          <w:tcPr>
            <w:tcW w:w="11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位置</w:t>
            </w:r>
          </w:p>
        </w:tc>
        <w:tc>
          <w:tcPr>
            <w:tcW w:w="8122" w:type="dxa"/>
            <w:gridSpan w:val="6"/>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23.9359N</w:t>
            </w:r>
            <w:r>
              <w:rPr>
                <w:rFonts w:hAnsi="宋体"/>
                <w:color w:val="auto"/>
                <w:sz w:val="21"/>
                <w:szCs w:val="21"/>
              </w:rPr>
              <w:t>，</w:t>
            </w:r>
            <w:r>
              <w:rPr>
                <w:color w:val="auto"/>
                <w:sz w:val="21"/>
                <w:szCs w:val="21"/>
              </w:rPr>
              <w:t>115.837</w:t>
            </w:r>
            <w:r>
              <w:rPr>
                <w:rFonts w:hint="eastAsia"/>
                <w:color w:val="auto"/>
                <w:sz w:val="21"/>
                <w:szCs w:val="21"/>
              </w:rPr>
              <w:t>5</w:t>
            </w:r>
            <w:r>
              <w:rPr>
                <w:color w:val="auto"/>
                <w:sz w:val="21"/>
                <w:szCs w:val="21"/>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2" w:hRule="atLeast"/>
          <w:jc w:val="center"/>
        </w:trPr>
        <w:tc>
          <w:tcPr>
            <w:tcW w:w="11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样方大小</w:t>
            </w:r>
          </w:p>
        </w:tc>
        <w:tc>
          <w:tcPr>
            <w:tcW w:w="8122" w:type="dxa"/>
            <w:gridSpan w:val="6"/>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10×10=100m</w:t>
            </w:r>
            <w:r>
              <w:rPr>
                <w:color w:val="auto"/>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2" w:hRule="atLeast"/>
          <w:jc w:val="center"/>
        </w:trPr>
        <w:tc>
          <w:tcPr>
            <w:tcW w:w="11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类型</w:t>
            </w: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植物名</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拉丁名</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rPr>
                <w:color w:val="auto"/>
                <w:sz w:val="21"/>
                <w:szCs w:val="21"/>
              </w:rPr>
            </w:pPr>
            <w:r>
              <w:rPr>
                <w:rFonts w:hAnsi="宋体"/>
                <w:color w:val="auto"/>
                <w:sz w:val="21"/>
                <w:szCs w:val="21"/>
              </w:rPr>
              <w:t>棵数</w:t>
            </w:r>
          </w:p>
          <w:p>
            <w:pPr>
              <w:adjustRightInd w:val="0"/>
              <w:snapToGrid w:val="0"/>
              <w:jc w:val="center"/>
              <w:textAlignment w:val="baseline"/>
              <w:rPr>
                <w:color w:val="auto"/>
                <w:sz w:val="21"/>
                <w:szCs w:val="21"/>
              </w:rPr>
            </w:pPr>
            <w:r>
              <w:rPr>
                <w:rFonts w:hAnsi="宋体"/>
                <w:color w:val="auto"/>
                <w:sz w:val="21"/>
                <w:szCs w:val="21"/>
              </w:rPr>
              <w:t>（棵）</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rPr>
                <w:color w:val="auto"/>
                <w:sz w:val="21"/>
                <w:szCs w:val="21"/>
              </w:rPr>
            </w:pPr>
            <w:r>
              <w:rPr>
                <w:rFonts w:hAnsi="宋体"/>
                <w:color w:val="auto"/>
                <w:sz w:val="21"/>
                <w:szCs w:val="21"/>
              </w:rPr>
              <w:t>平均胸径</w:t>
            </w:r>
          </w:p>
          <w:p>
            <w:pPr>
              <w:adjustRightInd w:val="0"/>
              <w:snapToGrid w:val="0"/>
              <w:jc w:val="center"/>
              <w:textAlignment w:val="baseline"/>
              <w:rPr>
                <w:color w:val="auto"/>
                <w:sz w:val="21"/>
                <w:szCs w:val="21"/>
              </w:rPr>
            </w:pPr>
            <w:r>
              <w:rPr>
                <w:rFonts w:hAnsi="宋体"/>
                <w:color w:val="auto"/>
                <w:sz w:val="21"/>
                <w:szCs w:val="21"/>
              </w:rPr>
              <w:t>（</w:t>
            </w:r>
            <w:r>
              <w:rPr>
                <w:color w:val="auto"/>
                <w:sz w:val="21"/>
                <w:szCs w:val="21"/>
              </w:rPr>
              <w:t>cm</w:t>
            </w:r>
            <w:r>
              <w:rPr>
                <w:rFonts w:hAnsi="宋体"/>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rPr>
                <w:color w:val="auto"/>
                <w:sz w:val="21"/>
                <w:szCs w:val="21"/>
              </w:rPr>
            </w:pPr>
            <w:r>
              <w:rPr>
                <w:rFonts w:hAnsi="宋体"/>
                <w:color w:val="auto"/>
                <w:sz w:val="21"/>
                <w:szCs w:val="21"/>
              </w:rPr>
              <w:t>平均高度</w:t>
            </w:r>
          </w:p>
          <w:p>
            <w:pPr>
              <w:adjustRightInd w:val="0"/>
              <w:snapToGrid w:val="0"/>
              <w:jc w:val="center"/>
              <w:textAlignment w:val="baseline"/>
              <w:rPr>
                <w:color w:val="auto"/>
                <w:sz w:val="21"/>
                <w:szCs w:val="21"/>
              </w:rPr>
            </w:pPr>
            <w:r>
              <w:rPr>
                <w:rFonts w:hAnsi="宋体"/>
                <w:color w:val="auto"/>
                <w:sz w:val="21"/>
                <w:szCs w:val="21"/>
              </w:rPr>
              <w:t>（</w:t>
            </w:r>
            <w:r>
              <w:rPr>
                <w:color w:val="auto"/>
                <w:sz w:val="21"/>
                <w:szCs w:val="21"/>
              </w:rPr>
              <w:t>m</w:t>
            </w:r>
            <w:r>
              <w:rPr>
                <w:rFonts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2" w:hRule="atLeast"/>
          <w:jc w:val="center"/>
        </w:trPr>
        <w:tc>
          <w:tcPr>
            <w:tcW w:w="1165" w:type="dxa"/>
            <w:vMerge w:val="restart"/>
            <w:tcBorders>
              <w:top w:val="single" w:color="auto" w:sz="4" w:space="0"/>
              <w:left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乔木</w:t>
            </w: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毛竹</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Phyllostachys heterocycla (Carr.) Mitford cv. Pubescens</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禾本科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10</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12</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487" w:hRule="atLeast"/>
          <w:jc w:val="center"/>
        </w:trPr>
        <w:tc>
          <w:tcPr>
            <w:tcW w:w="1165" w:type="dxa"/>
            <w:vMerge w:val="continue"/>
            <w:tcBorders>
              <w:left w:val="single" w:color="auto" w:sz="4" w:space="0"/>
              <w:right w:val="single" w:color="auto" w:sz="4" w:space="0"/>
            </w:tcBorders>
            <w:vAlign w:val="center"/>
          </w:tcPr>
          <w:p>
            <w:pPr>
              <w:adjustRightInd w:val="0"/>
              <w:snapToGrid w:val="0"/>
              <w:jc w:val="center"/>
              <w:textAlignment w:val="baseline"/>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落羽杉</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Taxodiumdistichum(L.)Rich.</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杉科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5</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35</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2" w:hRule="atLeast"/>
          <w:jc w:val="center"/>
        </w:trPr>
        <w:tc>
          <w:tcPr>
            <w:tcW w:w="1165" w:type="dxa"/>
            <w:vMerge w:val="continue"/>
            <w:tcBorders>
              <w:left w:val="single" w:color="auto" w:sz="4" w:space="0"/>
              <w:bottom w:val="single" w:color="auto" w:sz="4" w:space="0"/>
              <w:right w:val="single" w:color="auto" w:sz="4" w:space="0"/>
            </w:tcBorders>
            <w:vAlign w:val="center"/>
          </w:tcPr>
          <w:p>
            <w:pPr>
              <w:adjustRightInd w:val="0"/>
              <w:snapToGrid w:val="0"/>
              <w:jc w:val="center"/>
              <w:textAlignment w:val="baseline"/>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小叶桉</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color w:val="auto"/>
              </w:rPr>
              <w:fldChar w:fldCharType="begin"/>
            </w:r>
            <w:r>
              <w:rPr>
                <w:color w:val="auto"/>
              </w:rPr>
              <w:instrText xml:space="preserve"> HYPERLINK "https://baike.sogou.com/lemma/ShowInnerLink.htm?lemmaId=69259275&amp;ss_c=ssc.citiao.link" \t "_blank" </w:instrText>
            </w:r>
            <w:r>
              <w:rPr>
                <w:color w:val="auto"/>
              </w:rPr>
              <w:fldChar w:fldCharType="separate"/>
            </w:r>
            <w:r>
              <w:rPr>
                <w:i/>
                <w:iCs/>
                <w:color w:val="auto"/>
                <w:sz w:val="21"/>
                <w:szCs w:val="21"/>
              </w:rPr>
              <w:t>Eucalyptus</w:t>
            </w:r>
            <w:r>
              <w:rPr>
                <w:i/>
                <w:iCs/>
                <w:color w:val="auto"/>
                <w:sz w:val="21"/>
                <w:szCs w:val="21"/>
              </w:rPr>
              <w:fldChar w:fldCharType="end"/>
            </w:r>
            <w:r>
              <w:rPr>
                <w:i/>
                <w:iCs/>
                <w:color w:val="auto"/>
                <w:sz w:val="21"/>
                <w:szCs w:val="21"/>
              </w:rPr>
              <w:t> exserta F. V. Muell.</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桃金娘科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2</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30</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0" w:hRule="atLeast"/>
          <w:jc w:val="center"/>
        </w:trPr>
        <w:tc>
          <w:tcPr>
            <w:tcW w:w="1165" w:type="dxa"/>
            <w:vMerge w:val="restart"/>
            <w:tcBorders>
              <w:top w:val="nil"/>
              <w:left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灌木</w:t>
            </w: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接骨木</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Sambucus williamsii</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忍冬科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3</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0" w:hRule="atLeast"/>
          <w:jc w:val="center"/>
        </w:trPr>
        <w:tc>
          <w:tcPr>
            <w:tcW w:w="1165" w:type="dxa"/>
            <w:vMerge w:val="continue"/>
            <w:tcBorders>
              <w:left w:val="single" w:color="auto" w:sz="4" w:space="0"/>
              <w:right w:val="single" w:color="auto" w:sz="4" w:space="0"/>
            </w:tcBorders>
            <w:vAlign w:val="center"/>
          </w:tcPr>
          <w:p>
            <w:pPr>
              <w:adjustRightInd w:val="0"/>
              <w:snapToGrid w:val="0"/>
              <w:jc w:val="center"/>
              <w:textAlignment w:val="baseline"/>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马櫻丹</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Lantana camara</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马鞭草科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9</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0" w:hRule="atLeast"/>
          <w:jc w:val="center"/>
        </w:trPr>
        <w:tc>
          <w:tcPr>
            <w:tcW w:w="1165" w:type="dxa"/>
            <w:vMerge w:val="continue"/>
            <w:tcBorders>
              <w:left w:val="single" w:color="auto" w:sz="4" w:space="0"/>
              <w:right w:val="single" w:color="auto" w:sz="4" w:space="0"/>
            </w:tcBorders>
            <w:vAlign w:val="center"/>
          </w:tcPr>
          <w:p>
            <w:pPr>
              <w:adjustRightInd w:val="0"/>
              <w:snapToGrid w:val="0"/>
              <w:jc w:val="center"/>
              <w:textAlignment w:val="baseline"/>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罗伞树</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Ardisia quinquegona Bl.</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紫金牛科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5</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0" w:hRule="atLeast"/>
          <w:jc w:val="center"/>
        </w:trPr>
        <w:tc>
          <w:tcPr>
            <w:tcW w:w="1165" w:type="dxa"/>
            <w:vMerge w:val="continue"/>
            <w:tcBorders>
              <w:left w:val="single" w:color="auto" w:sz="4" w:space="0"/>
              <w:bottom w:val="single" w:color="auto" w:sz="4" w:space="0"/>
              <w:right w:val="single" w:color="auto" w:sz="4" w:space="0"/>
            </w:tcBorders>
            <w:vAlign w:val="center"/>
          </w:tcPr>
          <w:p>
            <w:pPr>
              <w:widowControl/>
              <w:adjustRightInd w:val="0"/>
              <w:snapToGrid w:val="0"/>
              <w:jc w:val="center"/>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桃金娘</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Rhodomyrtus tomentosa</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桃金娘科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2</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0" w:hRule="atLeast"/>
          <w:jc w:val="center"/>
        </w:trPr>
        <w:tc>
          <w:tcPr>
            <w:tcW w:w="1165" w:type="dxa"/>
            <w:vMerge w:val="restart"/>
            <w:tcBorders>
              <w:top w:val="nil"/>
              <w:left w:val="single" w:color="auto" w:sz="4" w:space="0"/>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藤本</w:t>
            </w: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厚藤</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Ipomoea pes-caprae (Linn.) R. Brown</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旋花科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3</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291" w:hRule="atLeast"/>
          <w:jc w:val="center"/>
        </w:trPr>
        <w:tc>
          <w:tcPr>
            <w:tcW w:w="116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center"/>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鸡屎藤</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Herba Paederiae</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茜草科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2</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40" w:hRule="atLeast"/>
          <w:jc w:val="center"/>
        </w:trPr>
        <w:tc>
          <w:tcPr>
            <w:tcW w:w="1165" w:type="dxa"/>
            <w:vMerge w:val="restart"/>
            <w:tcBorders>
              <w:top w:val="nil"/>
              <w:left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草本</w:t>
            </w: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荻</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color w:val="auto"/>
                <w:sz w:val="21"/>
                <w:szCs w:val="21"/>
                <w:shd w:val="clear" w:color="auto" w:fill="FFFFFF"/>
              </w:rPr>
              <w:t>Triarrherca sacchariflora</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禾本科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40" w:hRule="atLeast"/>
          <w:jc w:val="center"/>
        </w:trPr>
        <w:tc>
          <w:tcPr>
            <w:tcW w:w="1165" w:type="dxa"/>
            <w:vMerge w:val="continue"/>
            <w:tcBorders>
              <w:left w:val="single" w:color="auto" w:sz="4" w:space="0"/>
              <w:right w:val="single" w:color="auto" w:sz="4" w:space="0"/>
            </w:tcBorders>
            <w:vAlign w:val="center"/>
          </w:tcPr>
          <w:p>
            <w:pPr>
              <w:adjustRightInd w:val="0"/>
              <w:snapToGrid w:val="0"/>
              <w:jc w:val="center"/>
              <w:textAlignment w:val="baseline"/>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里白</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color w:val="auto"/>
                <w:sz w:val="21"/>
                <w:szCs w:val="21"/>
                <w:shd w:val="clear" w:color="auto" w:fill="FFFFFF"/>
              </w:rPr>
              <w:t>Hicriopteris glauca</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里白科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40" w:hRule="atLeast"/>
          <w:jc w:val="center"/>
        </w:trPr>
        <w:tc>
          <w:tcPr>
            <w:tcW w:w="1165" w:type="dxa"/>
            <w:vMerge w:val="continue"/>
            <w:tcBorders>
              <w:left w:val="single" w:color="auto" w:sz="4" w:space="0"/>
              <w:right w:val="single" w:color="auto" w:sz="4" w:space="0"/>
            </w:tcBorders>
            <w:vAlign w:val="center"/>
          </w:tcPr>
          <w:p>
            <w:pPr>
              <w:widowControl/>
              <w:adjustRightInd w:val="0"/>
              <w:snapToGrid w:val="0"/>
              <w:jc w:val="center"/>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马兰</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color w:val="auto"/>
                <w:sz w:val="21"/>
                <w:szCs w:val="21"/>
                <w:shd w:val="clear" w:color="auto" w:fill="FFFFFF"/>
              </w:rPr>
              <w:t>Kalimeris indica (L.)</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菊科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127" w:hRule="atLeast"/>
          <w:jc w:val="center"/>
        </w:trPr>
        <w:tc>
          <w:tcPr>
            <w:tcW w:w="1165" w:type="dxa"/>
            <w:vMerge w:val="continue"/>
            <w:tcBorders>
              <w:left w:val="single" w:color="auto" w:sz="4" w:space="0"/>
              <w:right w:val="single" w:color="auto" w:sz="4" w:space="0"/>
            </w:tcBorders>
            <w:vAlign w:val="center"/>
          </w:tcPr>
          <w:p>
            <w:pPr>
              <w:widowControl/>
              <w:adjustRightInd w:val="0"/>
              <w:snapToGrid w:val="0"/>
              <w:jc w:val="center"/>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露兜簕</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Pandanus tectorius Soland</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露兜树科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8" w:type="dxa"/>
            <w:left w:w="108" w:type="dxa"/>
            <w:bottom w:w="68" w:type="dxa"/>
            <w:right w:w="108" w:type="dxa"/>
          </w:tblCellMar>
        </w:tblPrEx>
        <w:trPr>
          <w:trHeight w:val="340" w:hRule="atLeast"/>
          <w:jc w:val="center"/>
        </w:trPr>
        <w:tc>
          <w:tcPr>
            <w:tcW w:w="1165" w:type="dxa"/>
            <w:vMerge w:val="continue"/>
            <w:tcBorders>
              <w:left w:val="single" w:color="auto" w:sz="4" w:space="0"/>
              <w:bottom w:val="single" w:color="auto" w:sz="4" w:space="0"/>
              <w:right w:val="single" w:color="auto" w:sz="4" w:space="0"/>
            </w:tcBorders>
            <w:vAlign w:val="center"/>
          </w:tcPr>
          <w:p>
            <w:pPr>
              <w:widowControl/>
              <w:adjustRightInd w:val="0"/>
              <w:snapToGrid w:val="0"/>
              <w:jc w:val="center"/>
              <w:rPr>
                <w:color w:val="auto"/>
                <w:sz w:val="21"/>
                <w:szCs w:val="21"/>
              </w:rPr>
            </w:pPr>
          </w:p>
        </w:tc>
        <w:tc>
          <w:tcPr>
            <w:tcW w:w="1085"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五爪金龙</w:t>
            </w:r>
          </w:p>
        </w:tc>
        <w:tc>
          <w:tcPr>
            <w:tcW w:w="2439"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i/>
                <w:iCs/>
                <w:color w:val="auto"/>
                <w:sz w:val="21"/>
                <w:szCs w:val="21"/>
              </w:rPr>
            </w:pPr>
            <w:r>
              <w:rPr>
                <w:i/>
                <w:iCs/>
                <w:color w:val="auto"/>
                <w:sz w:val="21"/>
                <w:szCs w:val="21"/>
              </w:rPr>
              <w:t>Ipomoea cairica(L.)Sweet</w:t>
            </w:r>
          </w:p>
        </w:tc>
        <w:tc>
          <w:tcPr>
            <w:tcW w:w="1244"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rFonts w:hAnsi="宋体"/>
                <w:color w:val="auto"/>
                <w:sz w:val="21"/>
                <w:szCs w:val="21"/>
              </w:rPr>
              <w:t>旋花科</w:t>
            </w:r>
          </w:p>
        </w:tc>
        <w:tc>
          <w:tcPr>
            <w:tcW w:w="936"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w:t>
            </w:r>
          </w:p>
        </w:tc>
        <w:tc>
          <w:tcPr>
            <w:tcW w:w="1248" w:type="dxa"/>
            <w:tcBorders>
              <w:top w:val="single" w:color="auto" w:sz="4" w:space="0"/>
              <w:left w:val="nil"/>
              <w:bottom w:val="single" w:color="auto" w:sz="4" w:space="0"/>
              <w:right w:val="single" w:color="auto" w:sz="4" w:space="0"/>
            </w:tcBorders>
            <w:vAlign w:val="center"/>
          </w:tcPr>
          <w:p>
            <w:pPr>
              <w:adjustRightInd w:val="0"/>
              <w:snapToGrid w:val="0"/>
              <w:jc w:val="center"/>
              <w:textAlignment w:val="baseline"/>
              <w:rPr>
                <w:color w:val="auto"/>
                <w:sz w:val="21"/>
                <w:szCs w:val="21"/>
              </w:rPr>
            </w:pPr>
            <w:r>
              <w:rPr>
                <w:color w:val="auto"/>
                <w:sz w:val="21"/>
                <w:szCs w:val="21"/>
              </w:rPr>
              <w:t>0.2</w:t>
            </w:r>
          </w:p>
        </w:tc>
      </w:tr>
    </w:tbl>
    <w:p>
      <w:pPr>
        <w:pStyle w:val="5"/>
        <w:rPr>
          <w:color w:val="auto"/>
        </w:rPr>
      </w:pPr>
      <w:r>
        <w:rPr>
          <w:rFonts w:hint="eastAsia"/>
          <w:color w:val="auto"/>
        </w:rPr>
        <w:t>4.2.7.3动物资源</w:t>
      </w:r>
    </w:p>
    <w:p>
      <w:pPr>
        <w:spacing w:line="360" w:lineRule="auto"/>
        <w:ind w:firstLine="480" w:firstLineChars="200"/>
        <w:rPr>
          <w:color w:val="auto"/>
          <w:sz w:val="24"/>
          <w:szCs w:val="24"/>
        </w:rPr>
      </w:pPr>
      <w:r>
        <w:rPr>
          <w:rFonts w:hint="eastAsia"/>
          <w:color w:val="auto"/>
          <w:sz w:val="24"/>
          <w:szCs w:val="24"/>
        </w:rPr>
        <w:t>评价区域野生动物资源贫乏，区划上属东洋界华南区，具有典型的华南区系种类。根据有关资料，项目所在区域的动物种类主要有昆虫类、爬行类和鸟类、昆虫等。目前，本区域未发现受国家保护的珍稀濒危动物和国家重点保护野生动物。</w:t>
      </w:r>
    </w:p>
    <w:p>
      <w:pPr>
        <w:spacing w:line="360" w:lineRule="auto"/>
        <w:ind w:firstLine="482" w:firstLineChars="200"/>
        <w:rPr>
          <w:b/>
          <w:color w:val="auto"/>
          <w:sz w:val="24"/>
          <w:szCs w:val="24"/>
        </w:rPr>
      </w:pPr>
      <w:r>
        <w:rPr>
          <w:rFonts w:hint="eastAsia"/>
          <w:b/>
          <w:color w:val="auto"/>
          <w:sz w:val="24"/>
          <w:szCs w:val="24"/>
        </w:rPr>
        <w:t>1、主要物种</w:t>
      </w:r>
    </w:p>
    <w:p>
      <w:pPr>
        <w:spacing w:line="360" w:lineRule="auto"/>
        <w:ind w:firstLine="480" w:firstLineChars="200"/>
        <w:rPr>
          <w:color w:val="auto"/>
          <w:sz w:val="24"/>
          <w:szCs w:val="24"/>
        </w:rPr>
      </w:pPr>
      <w:r>
        <w:rPr>
          <w:rFonts w:hint="eastAsia"/>
          <w:color w:val="auto"/>
          <w:sz w:val="24"/>
          <w:szCs w:val="24"/>
        </w:rPr>
        <w:t>（1）昆虫</w:t>
      </w:r>
    </w:p>
    <w:p>
      <w:pPr>
        <w:spacing w:line="360" w:lineRule="auto"/>
        <w:ind w:firstLine="480" w:firstLineChars="200"/>
        <w:rPr>
          <w:color w:val="auto"/>
          <w:sz w:val="24"/>
          <w:szCs w:val="24"/>
        </w:rPr>
      </w:pPr>
      <w:r>
        <w:rPr>
          <w:rFonts w:hint="eastAsia"/>
          <w:color w:val="auto"/>
          <w:sz w:val="24"/>
          <w:szCs w:val="24"/>
        </w:rPr>
        <w:t>昆虫是生物界种类极多，分布极广泛的一大类生物，在建设项目分布的昆虫亦多种多样。其主要的种类有车蝗（Gastrimaegus marmoratus）、蟋蟀（Gryllulus species）、椿蟓、大螳螂（Hierodula species）、黄翅大白蚁（Macrotermes formosanus）、拟黑蝉（Cryptotympana mimica）、斑点黑蝉（Gaeana maculata）、黄斑大蚊（Ctenophora flavibasis）、麻蝇（Sarcophaga species）、家蝇（Musca domestica）、猫节头蚤（Ctenocephalides felis）、金龟子（Anomala cupripes）、大刀螳（Tenodera aridifolia）、红晴（Crocothemis servilia Drury）等等。</w:t>
      </w:r>
    </w:p>
    <w:p>
      <w:pPr>
        <w:spacing w:line="360" w:lineRule="auto"/>
        <w:ind w:firstLine="480" w:firstLineChars="200"/>
        <w:rPr>
          <w:color w:val="auto"/>
          <w:sz w:val="24"/>
          <w:szCs w:val="24"/>
        </w:rPr>
      </w:pPr>
      <w:r>
        <w:rPr>
          <w:rFonts w:hint="eastAsia"/>
          <w:color w:val="auto"/>
          <w:sz w:val="24"/>
          <w:szCs w:val="24"/>
        </w:rPr>
        <w:t>（2）爬行动物</w:t>
      </w:r>
    </w:p>
    <w:p>
      <w:pPr>
        <w:spacing w:line="360" w:lineRule="auto"/>
        <w:ind w:firstLine="480" w:firstLineChars="200"/>
        <w:rPr>
          <w:color w:val="auto"/>
          <w:sz w:val="24"/>
          <w:szCs w:val="24"/>
        </w:rPr>
      </w:pPr>
      <w:r>
        <w:rPr>
          <w:rFonts w:hint="eastAsia"/>
          <w:color w:val="auto"/>
          <w:sz w:val="24"/>
          <w:szCs w:val="24"/>
        </w:rPr>
        <w:t>壁虎（Gekko chinensis Gray）、石龙子（Eumeces chinensis Gray）、四线石龙子（Eumeces quadrilineatus）、草游蛇（Natrix stolata）等。</w:t>
      </w:r>
    </w:p>
    <w:p>
      <w:pPr>
        <w:spacing w:line="360" w:lineRule="auto"/>
        <w:ind w:firstLine="480" w:firstLineChars="200"/>
        <w:rPr>
          <w:color w:val="auto"/>
          <w:sz w:val="24"/>
          <w:szCs w:val="24"/>
        </w:rPr>
      </w:pPr>
      <w:r>
        <w:rPr>
          <w:rFonts w:hint="eastAsia"/>
          <w:color w:val="auto"/>
          <w:sz w:val="24"/>
          <w:szCs w:val="24"/>
        </w:rPr>
        <w:t>（3）鸟类</w:t>
      </w:r>
    </w:p>
    <w:p>
      <w:pPr>
        <w:spacing w:line="360" w:lineRule="auto"/>
        <w:ind w:firstLine="480" w:firstLineChars="200"/>
        <w:rPr>
          <w:color w:val="auto"/>
          <w:sz w:val="24"/>
          <w:szCs w:val="24"/>
        </w:rPr>
      </w:pPr>
      <w:r>
        <w:rPr>
          <w:rFonts w:hint="eastAsia"/>
          <w:color w:val="auto"/>
          <w:sz w:val="24"/>
          <w:szCs w:val="24"/>
        </w:rPr>
        <w:t>四声杜鹃（Cuculus micropterus Gould）、普通翠鸟（Alcedo atthis）、家燕（Hirundo rustica Linnaeus）、麻雀等。</w:t>
      </w:r>
    </w:p>
    <w:p>
      <w:pPr>
        <w:spacing w:line="360" w:lineRule="auto"/>
        <w:ind w:firstLine="480" w:firstLineChars="200"/>
        <w:rPr>
          <w:color w:val="auto"/>
          <w:sz w:val="24"/>
          <w:szCs w:val="24"/>
        </w:rPr>
      </w:pPr>
      <w:r>
        <w:rPr>
          <w:rFonts w:hint="eastAsia"/>
          <w:color w:val="auto"/>
          <w:sz w:val="24"/>
          <w:szCs w:val="24"/>
        </w:rPr>
        <w:t>（4）哺乳动物</w:t>
      </w:r>
    </w:p>
    <w:p>
      <w:pPr>
        <w:spacing w:line="360" w:lineRule="auto"/>
        <w:ind w:firstLine="480" w:firstLineChars="200"/>
        <w:rPr>
          <w:color w:val="auto"/>
          <w:sz w:val="24"/>
          <w:szCs w:val="24"/>
        </w:rPr>
      </w:pPr>
      <w:r>
        <w:rPr>
          <w:rFonts w:hint="eastAsia"/>
          <w:color w:val="auto"/>
          <w:sz w:val="24"/>
          <w:szCs w:val="24"/>
        </w:rPr>
        <w:t>褐家鼠（Rattus norvegicus Berkenhout）、小家鼠（Mus musculus Linnaeus）等。</w:t>
      </w:r>
    </w:p>
    <w:p>
      <w:pPr>
        <w:spacing w:line="360" w:lineRule="auto"/>
        <w:ind w:firstLine="480" w:firstLineChars="200"/>
        <w:rPr>
          <w:color w:val="auto"/>
          <w:sz w:val="24"/>
          <w:szCs w:val="24"/>
        </w:rPr>
      </w:pPr>
      <w:r>
        <w:rPr>
          <w:rFonts w:hint="eastAsia"/>
          <w:color w:val="auto"/>
          <w:sz w:val="24"/>
          <w:szCs w:val="24"/>
        </w:rPr>
        <w:t>（5）两栖动物</w:t>
      </w:r>
    </w:p>
    <w:p>
      <w:pPr>
        <w:spacing w:line="360" w:lineRule="auto"/>
        <w:ind w:firstLine="480" w:firstLineChars="200"/>
        <w:rPr>
          <w:color w:val="auto"/>
          <w:sz w:val="24"/>
          <w:szCs w:val="24"/>
        </w:rPr>
      </w:pPr>
      <w:r>
        <w:rPr>
          <w:rFonts w:hint="eastAsia"/>
          <w:color w:val="auto"/>
          <w:sz w:val="24"/>
          <w:szCs w:val="24"/>
        </w:rPr>
        <w:t>黑眶蟾蜍（Bufo melanostictus Schneider）、斑腿树蛙（Rhacophorus leucomystax）、花姬蛙（Microhyla pulchra）、花狭口蛙（Kaloula pulchra Gray）、石蛤（Paa spinosa）、竹蛙、树蛙（Polypedates dugritei）、虎纹蛙（田鸡）（Rana tigrina rugulosa）、雨蛙（Hyla chinensis）等。</w:t>
      </w:r>
    </w:p>
    <w:p>
      <w:pPr>
        <w:spacing w:line="360" w:lineRule="auto"/>
        <w:ind w:firstLine="482" w:firstLineChars="200"/>
        <w:rPr>
          <w:b/>
          <w:color w:val="auto"/>
          <w:sz w:val="24"/>
          <w:szCs w:val="24"/>
        </w:rPr>
      </w:pPr>
      <w:r>
        <w:rPr>
          <w:rFonts w:hint="eastAsia"/>
          <w:b/>
          <w:color w:val="auto"/>
          <w:sz w:val="24"/>
          <w:szCs w:val="24"/>
        </w:rPr>
        <w:t>2、动物分布</w:t>
      </w:r>
    </w:p>
    <w:p>
      <w:pPr>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r>
        <w:rPr>
          <w:rFonts w:hint="eastAsia"/>
          <w:color w:val="auto"/>
          <w:sz w:val="24"/>
          <w:szCs w:val="24"/>
        </w:rPr>
        <w:t>项目工程区原始地貌单元主要为残剥丘陵，场地现状地形为原始地貌，地势起伏较大，野生动物没有明显的垂直分布现象。因此，影响野生动物部分的主要因素是生境状况。根据评价范围内现有的生态景观和生态要素，可将其分为：林地、园地两大生境。尽管动物在觅食、交配繁殖、躲避敌害中常常扩大活动范围，出现在不同生境中，但由于各种动物具有各自特殊的生活习性，使其对生态环境表现出明显的选择性。因此，每种生境中动物的主要组成是相对稳定的。</w:t>
      </w:r>
    </w:p>
    <w:p>
      <w:pPr>
        <w:spacing w:line="360" w:lineRule="auto"/>
        <w:jc w:val="center"/>
        <w:rPr>
          <w:color w:val="auto"/>
          <w:sz w:val="24"/>
          <w:szCs w:val="24"/>
        </w:rPr>
      </w:pPr>
      <w:r>
        <w:rPr>
          <w:color w:val="auto"/>
          <w:sz w:val="24"/>
          <w:szCs w:val="24"/>
        </w:rPr>
        <w:drawing>
          <wp:inline distT="0" distB="0" distL="0" distR="0">
            <wp:extent cx="5278120" cy="5814060"/>
            <wp:effectExtent l="1905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42" cstate="print"/>
                    <a:srcRect/>
                    <a:stretch>
                      <a:fillRect/>
                    </a:stretch>
                  </pic:blipFill>
                  <pic:spPr>
                    <a:xfrm>
                      <a:off x="0" y="0"/>
                      <a:ext cx="5278120" cy="5814490"/>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图4-2-1   大气、噪声、土壤、地下水监测点位图</w:t>
      </w:r>
    </w:p>
    <w:p>
      <w:pPr>
        <w:spacing w:line="360" w:lineRule="auto"/>
        <w:jc w:val="center"/>
        <w:rPr>
          <w:b/>
          <w:color w:val="auto"/>
          <w:sz w:val="24"/>
          <w:szCs w:val="24"/>
        </w:rPr>
      </w:pPr>
      <w:r>
        <w:rPr>
          <w:color w:val="auto"/>
        </w:rPr>
        <w:drawing>
          <wp:inline distT="0" distB="0" distL="0" distR="0">
            <wp:extent cx="5278120" cy="6104890"/>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43" cstate="print"/>
                    <a:srcRect/>
                    <a:stretch>
                      <a:fillRect/>
                    </a:stretch>
                  </pic:blipFill>
                  <pic:spPr>
                    <a:xfrm>
                      <a:off x="0" y="0"/>
                      <a:ext cx="5278120" cy="6105358"/>
                    </a:xfrm>
                    <a:prstGeom prst="rect">
                      <a:avLst/>
                    </a:prstGeom>
                    <a:noFill/>
                    <a:ln w="9525">
                      <a:noFill/>
                      <a:miter lim="800000"/>
                      <a:headEnd/>
                      <a:tailEnd/>
                    </a:ln>
                  </pic:spPr>
                </pic:pic>
              </a:graphicData>
            </a:graphic>
          </wp:inline>
        </w:drawing>
      </w:r>
    </w:p>
    <w:p>
      <w:pPr>
        <w:spacing w:line="360" w:lineRule="auto"/>
        <w:jc w:val="center"/>
        <w:rPr>
          <w:b/>
          <w:color w:val="auto"/>
          <w:sz w:val="24"/>
          <w:szCs w:val="24"/>
        </w:rPr>
        <w:sectPr>
          <w:pgSz w:w="11906" w:h="16838"/>
          <w:pgMar w:top="1440" w:right="1797" w:bottom="1440" w:left="1797" w:header="851" w:footer="992" w:gutter="0"/>
          <w:cols w:space="425" w:num="1"/>
          <w:docGrid w:type="lines" w:linePitch="312" w:charSpace="0"/>
        </w:sectPr>
      </w:pPr>
      <w:r>
        <w:rPr>
          <w:rFonts w:hint="eastAsia"/>
          <w:b/>
          <w:color w:val="auto"/>
          <w:sz w:val="24"/>
          <w:szCs w:val="24"/>
        </w:rPr>
        <w:t>图4-2-2   地表水监测断面及底泥监测点位示意图</w:t>
      </w:r>
    </w:p>
    <w:p>
      <w:pPr>
        <w:spacing w:line="360" w:lineRule="auto"/>
        <w:jc w:val="center"/>
        <w:rPr>
          <w:b/>
          <w:color w:val="auto"/>
          <w:sz w:val="24"/>
          <w:szCs w:val="24"/>
        </w:rPr>
      </w:pPr>
      <w:r>
        <w:rPr>
          <w:b/>
          <w:color w:val="auto"/>
          <w:sz w:val="24"/>
          <w:szCs w:val="24"/>
        </w:rPr>
        <w:drawing>
          <wp:inline distT="0" distB="0" distL="0" distR="0">
            <wp:extent cx="6911975" cy="4951730"/>
            <wp:effectExtent l="19050" t="0" r="315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noChangeArrowheads="1"/>
                    </pic:cNvPicPr>
                  </pic:nvPicPr>
                  <pic:blipFill>
                    <a:blip r:embed="rId44" cstate="print"/>
                    <a:srcRect/>
                    <a:stretch>
                      <a:fillRect/>
                    </a:stretch>
                  </pic:blipFill>
                  <pic:spPr>
                    <a:xfrm>
                      <a:off x="0" y="0"/>
                      <a:ext cx="6912000" cy="4952312"/>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图4-2-3   植物样方点选取情况</w:t>
      </w:r>
    </w:p>
    <w:p>
      <w:pPr>
        <w:rPr>
          <w:color w:val="auto"/>
        </w:rPr>
        <w:sectPr>
          <w:pgSz w:w="16838" w:h="11906" w:orient="landscape"/>
          <w:pgMar w:top="1797" w:right="1440" w:bottom="1797" w:left="1440" w:header="851" w:footer="992" w:gutter="0"/>
          <w:cols w:space="425" w:num="1"/>
          <w:docGrid w:type="lines" w:linePitch="312" w:charSpace="0"/>
        </w:sectPr>
      </w:pPr>
    </w:p>
    <w:p>
      <w:pPr>
        <w:pStyle w:val="2"/>
        <w:rPr>
          <w:color w:val="auto"/>
        </w:rPr>
      </w:pPr>
      <w:bookmarkStart w:id="131" w:name="_Toc17050"/>
      <w:bookmarkStart w:id="132" w:name="_Toc26276853"/>
      <w:r>
        <w:rPr>
          <w:rFonts w:hint="eastAsia"/>
          <w:color w:val="auto"/>
        </w:rPr>
        <w:t>5环境影响预测与评价</w:t>
      </w:r>
      <w:bookmarkEnd w:id="131"/>
      <w:bookmarkEnd w:id="132"/>
    </w:p>
    <w:p>
      <w:pPr>
        <w:pStyle w:val="3"/>
        <w:rPr>
          <w:color w:val="auto"/>
        </w:rPr>
      </w:pPr>
      <w:bookmarkStart w:id="133" w:name="_Toc26276854"/>
      <w:bookmarkStart w:id="134" w:name="_Toc11743"/>
      <w:r>
        <w:rPr>
          <w:rFonts w:hint="eastAsia"/>
          <w:color w:val="auto"/>
        </w:rPr>
        <w:t>5.1施工期环境影响分析</w:t>
      </w:r>
      <w:bookmarkEnd w:id="133"/>
      <w:bookmarkEnd w:id="134"/>
    </w:p>
    <w:p>
      <w:pPr>
        <w:spacing w:line="360" w:lineRule="auto"/>
        <w:ind w:firstLine="480" w:firstLineChars="200"/>
        <w:rPr>
          <w:color w:val="auto"/>
          <w:sz w:val="24"/>
          <w:szCs w:val="24"/>
        </w:rPr>
      </w:pPr>
      <w:r>
        <w:rPr>
          <w:rFonts w:hint="eastAsia"/>
          <w:color w:val="auto"/>
          <w:sz w:val="24"/>
          <w:szCs w:val="24"/>
        </w:rPr>
        <w:t>本项目建设施工期污染源主要是施工机械噪声、施工扬尘、施工废水和建筑垃圾。分析工程施工期的环境影响并提出相应的污染防治措施和管理要求，可使项目建设造成的不利影响降到最低限度。</w:t>
      </w:r>
    </w:p>
    <w:p>
      <w:pPr>
        <w:pStyle w:val="4"/>
        <w:rPr>
          <w:color w:val="auto"/>
        </w:rPr>
      </w:pPr>
      <w:bookmarkStart w:id="135" w:name="_Toc26276855"/>
      <w:r>
        <w:rPr>
          <w:rFonts w:hint="eastAsia"/>
          <w:color w:val="auto"/>
        </w:rPr>
        <w:t>5.1.1施工期大气环境影响分析</w:t>
      </w:r>
      <w:bookmarkEnd w:id="135"/>
    </w:p>
    <w:p>
      <w:pPr>
        <w:spacing w:line="360" w:lineRule="auto"/>
        <w:ind w:firstLine="482" w:firstLineChars="200"/>
        <w:rPr>
          <w:b/>
          <w:color w:val="auto"/>
          <w:sz w:val="24"/>
          <w:szCs w:val="24"/>
        </w:rPr>
      </w:pPr>
      <w:r>
        <w:rPr>
          <w:rFonts w:hint="eastAsia"/>
          <w:b/>
          <w:color w:val="auto"/>
          <w:sz w:val="24"/>
          <w:szCs w:val="24"/>
        </w:rPr>
        <w:t>1、施工扬尘</w:t>
      </w:r>
    </w:p>
    <w:p>
      <w:pPr>
        <w:spacing w:line="360" w:lineRule="auto"/>
        <w:ind w:firstLine="480" w:firstLineChars="200"/>
        <w:rPr>
          <w:color w:val="auto"/>
          <w:sz w:val="24"/>
          <w:szCs w:val="24"/>
        </w:rPr>
      </w:pPr>
      <w:r>
        <w:rPr>
          <w:rFonts w:hint="eastAsia"/>
          <w:color w:val="auto"/>
          <w:sz w:val="24"/>
          <w:szCs w:val="24"/>
        </w:rPr>
        <w:t>施工期场地扬尘污染主要来源于基础开挖、土石方填挖及材料装卸、物料堆放等环节，</w:t>
      </w:r>
      <w:r>
        <w:rPr>
          <w:rFonts w:hAnsi="宋体"/>
          <w:color w:val="auto"/>
          <w:sz w:val="24"/>
        </w:rPr>
        <w:t>施工期扬尘量主要跟风力、风速、地面的积尘量、所经车辆流量、行驶速度等因素有关，也与施工过程中的文明程度有关，其中风速直接影响到扬尘的传输距离。扬尘由于大小、比重不同，在大气中的停留时间和空间分布也不同。扬尘在受重力、浮力和气流运动的作用，可以发生沉降、上升和扩散，因此在施工场地时常可以看到尘土飞扬的现象。在自然风作用下，道路产生的扬尘一般影响范围在</w:t>
      </w:r>
      <w:r>
        <w:rPr>
          <w:color w:val="auto"/>
          <w:sz w:val="24"/>
        </w:rPr>
        <w:t>100m</w:t>
      </w:r>
      <w:r>
        <w:rPr>
          <w:rFonts w:hAnsi="宋体"/>
          <w:color w:val="auto"/>
          <w:sz w:val="24"/>
        </w:rPr>
        <w:t>以内。为了尽量抑制扬尘产生，需定时洒水和清扫。如果在施工期间对车辆行驶的路面实施只洒水不清扫，可使扬尘量减少</w:t>
      </w:r>
      <w:r>
        <w:rPr>
          <w:color w:val="auto"/>
          <w:sz w:val="24"/>
        </w:rPr>
        <w:t>70%~80%</w:t>
      </w:r>
      <w:r>
        <w:rPr>
          <w:rFonts w:hAnsi="宋体"/>
          <w:color w:val="auto"/>
          <w:sz w:val="24"/>
        </w:rPr>
        <w:t>，若清扫后洒水，抑尘效率能达</w:t>
      </w:r>
      <w:r>
        <w:rPr>
          <w:color w:val="auto"/>
          <w:sz w:val="24"/>
        </w:rPr>
        <w:t>90%</w:t>
      </w:r>
      <w:r>
        <w:rPr>
          <w:rFonts w:hAnsi="宋体"/>
          <w:color w:val="auto"/>
          <w:sz w:val="24"/>
        </w:rPr>
        <w:t>以上，其抑尘效果是显而易见的。洒水抑尘的试验结果见下表。</w:t>
      </w:r>
    </w:p>
    <w:p>
      <w:pPr>
        <w:adjustRightInd w:val="0"/>
        <w:snapToGrid w:val="0"/>
        <w:jc w:val="center"/>
        <w:rPr>
          <w:b/>
          <w:color w:val="auto"/>
          <w:sz w:val="24"/>
          <w:szCs w:val="24"/>
        </w:rPr>
      </w:pPr>
      <w:r>
        <w:rPr>
          <w:rFonts w:hint="eastAsia" w:hAnsi="宋体"/>
          <w:b/>
          <w:color w:val="auto"/>
          <w:sz w:val="24"/>
          <w:szCs w:val="24"/>
        </w:rPr>
        <w:t xml:space="preserve">表5-1-1   </w:t>
      </w:r>
      <w:r>
        <w:rPr>
          <w:rFonts w:hAnsi="宋体"/>
          <w:b/>
          <w:color w:val="auto"/>
          <w:sz w:val="24"/>
          <w:szCs w:val="24"/>
        </w:rPr>
        <w:t>施工场地洒水抑尘试验结果</w:t>
      </w:r>
    </w:p>
    <w:tbl>
      <w:tblPr>
        <w:tblStyle w:val="28"/>
        <w:tblW w:w="84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1383"/>
        <w:gridCol w:w="1383"/>
        <w:gridCol w:w="1383"/>
        <w:gridCol w:w="1383"/>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912" w:type="dxa"/>
            <w:gridSpan w:val="2"/>
            <w:vAlign w:val="center"/>
          </w:tcPr>
          <w:p>
            <w:pPr>
              <w:pStyle w:val="56"/>
              <w:spacing w:line="240" w:lineRule="auto"/>
              <w:rPr>
                <w:b/>
                <w:color w:val="auto"/>
              </w:rPr>
            </w:pPr>
            <w:r>
              <w:rPr>
                <w:rFonts w:hAnsi="宋体"/>
                <w:b/>
                <w:color w:val="auto"/>
              </w:rPr>
              <w:t>距离（</w:t>
            </w:r>
            <w:r>
              <w:rPr>
                <w:b/>
                <w:color w:val="auto"/>
              </w:rPr>
              <w:t>m</w:t>
            </w:r>
            <w:r>
              <w:rPr>
                <w:rFonts w:hAnsi="宋体"/>
                <w:b/>
                <w:color w:val="auto"/>
              </w:rPr>
              <w:t>）</w:t>
            </w:r>
          </w:p>
        </w:tc>
        <w:tc>
          <w:tcPr>
            <w:tcW w:w="1383" w:type="dxa"/>
            <w:vAlign w:val="center"/>
          </w:tcPr>
          <w:p>
            <w:pPr>
              <w:pStyle w:val="56"/>
              <w:spacing w:line="240" w:lineRule="auto"/>
              <w:rPr>
                <w:b/>
                <w:color w:val="auto"/>
              </w:rPr>
            </w:pPr>
            <w:r>
              <w:rPr>
                <w:b/>
                <w:color w:val="auto"/>
              </w:rPr>
              <w:t>5</w:t>
            </w:r>
          </w:p>
        </w:tc>
        <w:tc>
          <w:tcPr>
            <w:tcW w:w="1383" w:type="dxa"/>
            <w:vAlign w:val="center"/>
          </w:tcPr>
          <w:p>
            <w:pPr>
              <w:pStyle w:val="56"/>
              <w:spacing w:line="240" w:lineRule="auto"/>
              <w:rPr>
                <w:b/>
                <w:color w:val="auto"/>
              </w:rPr>
            </w:pPr>
            <w:r>
              <w:rPr>
                <w:b/>
                <w:color w:val="auto"/>
              </w:rPr>
              <w:t>20</w:t>
            </w:r>
          </w:p>
        </w:tc>
        <w:tc>
          <w:tcPr>
            <w:tcW w:w="1383" w:type="dxa"/>
            <w:vAlign w:val="center"/>
          </w:tcPr>
          <w:p>
            <w:pPr>
              <w:pStyle w:val="56"/>
              <w:spacing w:line="240" w:lineRule="auto"/>
              <w:rPr>
                <w:b/>
                <w:color w:val="auto"/>
              </w:rPr>
            </w:pPr>
            <w:r>
              <w:rPr>
                <w:b/>
                <w:color w:val="auto"/>
              </w:rPr>
              <w:t>50</w:t>
            </w:r>
          </w:p>
        </w:tc>
        <w:tc>
          <w:tcPr>
            <w:tcW w:w="1383" w:type="dxa"/>
            <w:vAlign w:val="center"/>
          </w:tcPr>
          <w:p>
            <w:pPr>
              <w:pStyle w:val="56"/>
              <w:spacing w:line="240" w:lineRule="auto"/>
              <w:rPr>
                <w:b/>
                <w:color w:val="auto"/>
              </w:rPr>
            </w:pPr>
            <w:r>
              <w:rPr>
                <w:b/>
                <w:color w:val="auto"/>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529" w:type="dxa"/>
            <w:vMerge w:val="restart"/>
            <w:vAlign w:val="center"/>
          </w:tcPr>
          <w:p>
            <w:pPr>
              <w:pStyle w:val="56"/>
              <w:spacing w:line="240" w:lineRule="auto"/>
              <w:rPr>
                <w:color w:val="auto"/>
              </w:rPr>
            </w:pPr>
            <w:r>
              <w:rPr>
                <w:color w:val="auto"/>
              </w:rPr>
              <w:t>TSP</w:t>
            </w:r>
            <w:r>
              <w:rPr>
                <w:rFonts w:hAnsi="宋体"/>
                <w:color w:val="auto"/>
              </w:rPr>
              <w:t>小时浓度（</w:t>
            </w:r>
            <w:r>
              <w:rPr>
                <w:color w:val="auto"/>
              </w:rPr>
              <w:t>mg/m</w:t>
            </w:r>
            <w:r>
              <w:rPr>
                <w:color w:val="auto"/>
                <w:vertAlign w:val="superscript"/>
              </w:rPr>
              <w:t>3</w:t>
            </w:r>
            <w:r>
              <w:rPr>
                <w:rFonts w:hAnsi="宋体"/>
                <w:color w:val="auto"/>
              </w:rPr>
              <w:t>）</w:t>
            </w:r>
          </w:p>
        </w:tc>
        <w:tc>
          <w:tcPr>
            <w:tcW w:w="1383" w:type="dxa"/>
            <w:vAlign w:val="center"/>
          </w:tcPr>
          <w:p>
            <w:pPr>
              <w:pStyle w:val="56"/>
              <w:spacing w:line="240" w:lineRule="auto"/>
              <w:rPr>
                <w:color w:val="auto"/>
              </w:rPr>
            </w:pPr>
            <w:r>
              <w:rPr>
                <w:rFonts w:hAnsi="宋体"/>
                <w:color w:val="auto"/>
              </w:rPr>
              <w:t>不洒水</w:t>
            </w:r>
          </w:p>
        </w:tc>
        <w:tc>
          <w:tcPr>
            <w:tcW w:w="1383" w:type="dxa"/>
            <w:vAlign w:val="center"/>
          </w:tcPr>
          <w:p>
            <w:pPr>
              <w:pStyle w:val="54"/>
              <w:spacing w:line="240" w:lineRule="auto"/>
              <w:rPr>
                <w:color w:val="auto"/>
                <w:szCs w:val="22"/>
              </w:rPr>
            </w:pPr>
            <w:r>
              <w:rPr>
                <w:color w:val="auto"/>
                <w:szCs w:val="22"/>
              </w:rPr>
              <w:t>10.14</w:t>
            </w:r>
          </w:p>
        </w:tc>
        <w:tc>
          <w:tcPr>
            <w:tcW w:w="1383" w:type="dxa"/>
            <w:vAlign w:val="center"/>
          </w:tcPr>
          <w:p>
            <w:pPr>
              <w:pStyle w:val="54"/>
              <w:spacing w:line="240" w:lineRule="auto"/>
              <w:rPr>
                <w:color w:val="auto"/>
                <w:szCs w:val="22"/>
              </w:rPr>
            </w:pPr>
            <w:r>
              <w:rPr>
                <w:color w:val="auto"/>
                <w:szCs w:val="22"/>
              </w:rPr>
              <w:t>2.89</w:t>
            </w:r>
          </w:p>
        </w:tc>
        <w:tc>
          <w:tcPr>
            <w:tcW w:w="1383" w:type="dxa"/>
            <w:vAlign w:val="center"/>
          </w:tcPr>
          <w:p>
            <w:pPr>
              <w:pStyle w:val="54"/>
              <w:spacing w:line="240" w:lineRule="auto"/>
              <w:rPr>
                <w:color w:val="auto"/>
                <w:szCs w:val="22"/>
              </w:rPr>
            </w:pPr>
            <w:r>
              <w:rPr>
                <w:color w:val="auto"/>
                <w:szCs w:val="22"/>
              </w:rPr>
              <w:t>1.15</w:t>
            </w:r>
          </w:p>
        </w:tc>
        <w:tc>
          <w:tcPr>
            <w:tcW w:w="1383" w:type="dxa"/>
            <w:vAlign w:val="center"/>
          </w:tcPr>
          <w:p>
            <w:pPr>
              <w:pStyle w:val="54"/>
              <w:spacing w:line="240" w:lineRule="auto"/>
              <w:rPr>
                <w:color w:val="auto"/>
                <w:szCs w:val="22"/>
              </w:rPr>
            </w:pPr>
            <w:r>
              <w:rPr>
                <w:color w:val="auto"/>
                <w:szCs w:val="22"/>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9" w:type="dxa"/>
            <w:vMerge w:val="continue"/>
            <w:vAlign w:val="center"/>
          </w:tcPr>
          <w:p>
            <w:pPr>
              <w:pStyle w:val="56"/>
              <w:spacing w:line="240" w:lineRule="auto"/>
              <w:rPr>
                <w:color w:val="auto"/>
              </w:rPr>
            </w:pPr>
          </w:p>
        </w:tc>
        <w:tc>
          <w:tcPr>
            <w:tcW w:w="1383" w:type="dxa"/>
            <w:vAlign w:val="center"/>
          </w:tcPr>
          <w:p>
            <w:pPr>
              <w:pStyle w:val="56"/>
              <w:spacing w:line="240" w:lineRule="auto"/>
              <w:rPr>
                <w:color w:val="auto"/>
              </w:rPr>
            </w:pPr>
            <w:r>
              <w:rPr>
                <w:rFonts w:hAnsi="宋体"/>
                <w:color w:val="auto"/>
              </w:rPr>
              <w:t>洒水</w:t>
            </w:r>
          </w:p>
        </w:tc>
        <w:tc>
          <w:tcPr>
            <w:tcW w:w="1383" w:type="dxa"/>
            <w:vAlign w:val="center"/>
          </w:tcPr>
          <w:p>
            <w:pPr>
              <w:pStyle w:val="54"/>
              <w:spacing w:line="240" w:lineRule="auto"/>
              <w:rPr>
                <w:color w:val="auto"/>
                <w:szCs w:val="22"/>
              </w:rPr>
            </w:pPr>
            <w:r>
              <w:rPr>
                <w:color w:val="auto"/>
                <w:szCs w:val="22"/>
              </w:rPr>
              <w:t>2.01</w:t>
            </w:r>
          </w:p>
        </w:tc>
        <w:tc>
          <w:tcPr>
            <w:tcW w:w="1383" w:type="dxa"/>
            <w:vAlign w:val="center"/>
          </w:tcPr>
          <w:p>
            <w:pPr>
              <w:pStyle w:val="54"/>
              <w:spacing w:line="240" w:lineRule="auto"/>
              <w:rPr>
                <w:color w:val="auto"/>
                <w:szCs w:val="22"/>
              </w:rPr>
            </w:pPr>
            <w:r>
              <w:rPr>
                <w:color w:val="auto"/>
                <w:szCs w:val="22"/>
              </w:rPr>
              <w:t>1.40</w:t>
            </w:r>
          </w:p>
        </w:tc>
        <w:tc>
          <w:tcPr>
            <w:tcW w:w="1383" w:type="dxa"/>
            <w:vAlign w:val="center"/>
          </w:tcPr>
          <w:p>
            <w:pPr>
              <w:pStyle w:val="54"/>
              <w:spacing w:line="240" w:lineRule="auto"/>
              <w:rPr>
                <w:color w:val="auto"/>
                <w:szCs w:val="22"/>
              </w:rPr>
            </w:pPr>
            <w:r>
              <w:rPr>
                <w:color w:val="auto"/>
                <w:szCs w:val="22"/>
              </w:rPr>
              <w:t>0.67</w:t>
            </w:r>
          </w:p>
        </w:tc>
        <w:tc>
          <w:tcPr>
            <w:tcW w:w="1383" w:type="dxa"/>
            <w:vAlign w:val="center"/>
          </w:tcPr>
          <w:p>
            <w:pPr>
              <w:pStyle w:val="54"/>
              <w:spacing w:line="240" w:lineRule="auto"/>
              <w:rPr>
                <w:color w:val="auto"/>
                <w:szCs w:val="22"/>
              </w:rPr>
            </w:pPr>
            <w:r>
              <w:rPr>
                <w:color w:val="auto"/>
                <w:szCs w:val="22"/>
              </w:rPr>
              <w:t>0.60</w:t>
            </w:r>
          </w:p>
        </w:tc>
      </w:tr>
    </w:tbl>
    <w:p>
      <w:pPr>
        <w:spacing w:line="360" w:lineRule="auto"/>
        <w:ind w:firstLine="480" w:firstLineChars="200"/>
        <w:rPr>
          <w:color w:val="auto"/>
          <w:sz w:val="24"/>
          <w:szCs w:val="24"/>
        </w:rPr>
      </w:pPr>
      <w:r>
        <w:rPr>
          <w:rFonts w:hAnsi="宋体"/>
          <w:color w:val="auto"/>
          <w:sz w:val="24"/>
        </w:rPr>
        <w:t>施工阶段除动力扬尘外还会产生堆场扬尘。当料堆表面含水率大于</w:t>
      </w:r>
      <w:r>
        <w:rPr>
          <w:color w:val="auto"/>
          <w:sz w:val="24"/>
        </w:rPr>
        <w:t>6%</w:t>
      </w:r>
      <w:r>
        <w:rPr>
          <w:rFonts w:hAnsi="宋体"/>
          <w:color w:val="auto"/>
          <w:sz w:val="24"/>
        </w:rPr>
        <w:t>，扬尘对周围环境的影响将大大减少，提高表面含水率能对料堆风吹起尘起到很大的抑制作用。因此在选择建材堆放、转运的场地时，首先应避开人群流动较为集中的场地。对易产生扬尘的物资，如水泥、黄砂等，不要在开阔地或露天堆放，遇到大风天气应避免作业，运输时尽量避免敞开式运输。如对黄砂等不得不敞开堆放时，则应对其进行洒水提高表面含水率，以起到抑尘效果。</w:t>
      </w:r>
    </w:p>
    <w:p>
      <w:pPr>
        <w:spacing w:line="360" w:lineRule="auto"/>
        <w:ind w:firstLine="482" w:firstLineChars="200"/>
        <w:jc w:val="left"/>
        <w:rPr>
          <w:rFonts w:hAnsi="宋体"/>
          <w:b/>
          <w:color w:val="auto"/>
          <w:sz w:val="24"/>
        </w:rPr>
      </w:pPr>
      <w:r>
        <w:rPr>
          <w:rFonts w:hint="eastAsia"/>
          <w:b/>
          <w:color w:val="auto"/>
          <w:sz w:val="24"/>
        </w:rPr>
        <w:t>2、</w:t>
      </w:r>
      <w:r>
        <w:rPr>
          <w:rFonts w:hAnsi="宋体"/>
          <w:b/>
          <w:color w:val="auto"/>
          <w:sz w:val="24"/>
        </w:rPr>
        <w:t>施工机械及设备废气</w:t>
      </w:r>
    </w:p>
    <w:p>
      <w:pPr>
        <w:spacing w:line="360" w:lineRule="auto"/>
        <w:ind w:firstLine="480" w:firstLineChars="200"/>
        <w:jc w:val="left"/>
        <w:rPr>
          <w:rFonts w:hAnsi="宋体"/>
          <w:color w:val="auto"/>
          <w:sz w:val="24"/>
        </w:rPr>
      </w:pPr>
      <w:r>
        <w:rPr>
          <w:rFonts w:hAnsi="宋体"/>
          <w:color w:val="auto"/>
          <w:sz w:val="24"/>
        </w:rPr>
        <w:t>本项目施工过程用到的施工机械及运输车辆，大都以柴油为燃料，会产生一定量的燃油废气，主要污染物包括</w:t>
      </w:r>
      <w:r>
        <w:rPr>
          <w:color w:val="auto"/>
          <w:sz w:val="24"/>
        </w:rPr>
        <w:t>CO</w:t>
      </w:r>
      <w:r>
        <w:rPr>
          <w:rFonts w:hAnsi="宋体"/>
          <w:color w:val="auto"/>
          <w:sz w:val="24"/>
        </w:rPr>
        <w:t>、</w:t>
      </w:r>
      <w:r>
        <w:rPr>
          <w:color w:val="auto"/>
          <w:sz w:val="24"/>
        </w:rPr>
        <w:t>NO</w:t>
      </w:r>
      <w:r>
        <w:rPr>
          <w:color w:val="auto"/>
          <w:sz w:val="24"/>
          <w:vertAlign w:val="subscript"/>
        </w:rPr>
        <w:t>x</w:t>
      </w:r>
      <w:r>
        <w:rPr>
          <w:rFonts w:hAnsi="宋体"/>
          <w:color w:val="auto"/>
          <w:sz w:val="24"/>
        </w:rPr>
        <w:t>、</w:t>
      </w:r>
      <w:r>
        <w:rPr>
          <w:color w:val="auto"/>
          <w:sz w:val="24"/>
        </w:rPr>
        <w:t>THC</w:t>
      </w:r>
      <w:r>
        <w:rPr>
          <w:rFonts w:hAnsi="宋体"/>
          <w:color w:val="auto"/>
          <w:sz w:val="24"/>
        </w:rPr>
        <w:t>等，其影响范围在施工场地及运输道路沿途。随着施工强度的加大，燃油废气的产生量将增加，但是燃油废气属于间歇性排放源，排放量不大，影响范围有限。本项目施工期设置的临时围挡可以对施工废气起到一定的阻隔作用，而且项目地势较为开阔、空气流通性较好，有利于污染物质的扩散。</w:t>
      </w:r>
    </w:p>
    <w:p>
      <w:pPr>
        <w:spacing w:line="360" w:lineRule="auto"/>
        <w:ind w:firstLine="482" w:firstLineChars="200"/>
        <w:jc w:val="left"/>
        <w:rPr>
          <w:rFonts w:hAnsi="宋体"/>
          <w:b/>
          <w:color w:val="auto"/>
          <w:sz w:val="24"/>
        </w:rPr>
      </w:pPr>
      <w:r>
        <w:rPr>
          <w:rFonts w:hint="eastAsia" w:hAnsi="宋体"/>
          <w:b/>
          <w:color w:val="auto"/>
          <w:sz w:val="24"/>
        </w:rPr>
        <w:t>3、管道连接产生的焊接废气</w:t>
      </w:r>
    </w:p>
    <w:p>
      <w:pPr>
        <w:spacing w:line="360" w:lineRule="auto"/>
        <w:ind w:firstLine="480" w:firstLineChars="200"/>
        <w:jc w:val="left"/>
        <w:rPr>
          <w:color w:val="auto"/>
          <w:sz w:val="24"/>
          <w:szCs w:val="24"/>
        </w:rPr>
      </w:pPr>
      <w:r>
        <w:rPr>
          <w:rFonts w:hint="eastAsia"/>
          <w:color w:val="auto"/>
          <w:sz w:val="24"/>
          <w:szCs w:val="24"/>
        </w:rPr>
        <w:t>管道连接过程会产生焊接烟气。本项目管网接口焊接的位置较为分散，且项目截污干管及尾水排放干管沿线场地开阔，自然通风良好，焊接烟气通过自然沉降、大气稀释、扩散，可得到有效控制。</w:t>
      </w:r>
    </w:p>
    <w:p>
      <w:pPr>
        <w:spacing w:line="360" w:lineRule="auto"/>
        <w:ind w:firstLine="482" w:firstLineChars="200"/>
        <w:jc w:val="left"/>
        <w:rPr>
          <w:b/>
          <w:color w:val="auto"/>
          <w:sz w:val="24"/>
          <w:szCs w:val="24"/>
        </w:rPr>
      </w:pPr>
      <w:r>
        <w:rPr>
          <w:rFonts w:hint="eastAsia"/>
          <w:b/>
          <w:color w:val="auto"/>
          <w:sz w:val="24"/>
          <w:szCs w:val="24"/>
        </w:rPr>
        <w:t>4、装修废气</w:t>
      </w:r>
    </w:p>
    <w:p>
      <w:pPr>
        <w:spacing w:line="360" w:lineRule="auto"/>
        <w:ind w:firstLine="480" w:firstLineChars="200"/>
        <w:jc w:val="left"/>
        <w:rPr>
          <w:color w:val="auto"/>
          <w:sz w:val="24"/>
          <w:szCs w:val="24"/>
        </w:rPr>
      </w:pPr>
      <w:r>
        <w:rPr>
          <w:rFonts w:hint="eastAsia"/>
          <w:color w:val="auto"/>
          <w:sz w:val="24"/>
          <w:szCs w:val="24"/>
        </w:rPr>
        <w:t>装修材料在装修过程中会释放一些有害的化学物质，属无组织排放，量较少。项目仅在施工期后期进行建筑装修，装修废气排放周期短，且作业点分散。通过加强室内的通风换气，待装修结束完成后，装修过程产生的废气对大气环境造成的影响轻微。</w:t>
      </w:r>
    </w:p>
    <w:p>
      <w:pPr>
        <w:spacing w:line="360" w:lineRule="auto"/>
        <w:ind w:firstLine="480" w:firstLineChars="200"/>
        <w:jc w:val="left"/>
        <w:rPr>
          <w:color w:val="auto"/>
          <w:sz w:val="24"/>
          <w:szCs w:val="24"/>
        </w:rPr>
      </w:pPr>
      <w:r>
        <w:rPr>
          <w:rFonts w:hint="eastAsia"/>
          <w:color w:val="auto"/>
          <w:sz w:val="24"/>
          <w:szCs w:val="24"/>
        </w:rPr>
        <w:t>综上所述，项目施工期将会对项目所在地以及周边的敏感点环境空气质量造成一定影响，随着施工期的结束对周边环境影响也会结束。因此，项目施工期不会对项目所在地环境空气质量造成明显影响。</w:t>
      </w:r>
    </w:p>
    <w:p>
      <w:pPr>
        <w:pStyle w:val="4"/>
        <w:rPr>
          <w:color w:val="auto"/>
        </w:rPr>
      </w:pPr>
      <w:bookmarkStart w:id="136" w:name="_Toc26276856"/>
      <w:r>
        <w:rPr>
          <w:rFonts w:hint="eastAsia"/>
          <w:color w:val="auto"/>
        </w:rPr>
        <w:t>5.1.2施工期地表水环境影响分析</w:t>
      </w:r>
      <w:bookmarkEnd w:id="136"/>
    </w:p>
    <w:p>
      <w:pPr>
        <w:spacing w:line="360" w:lineRule="auto"/>
        <w:ind w:firstLine="480" w:firstLineChars="200"/>
        <w:rPr>
          <w:color w:val="auto"/>
          <w:sz w:val="24"/>
          <w:szCs w:val="24"/>
        </w:rPr>
      </w:pPr>
      <w:r>
        <w:rPr>
          <w:rFonts w:hint="eastAsia"/>
          <w:color w:val="auto"/>
          <w:sz w:val="24"/>
          <w:szCs w:val="24"/>
        </w:rPr>
        <w:t>施工期间对附近地表水体的水质影响主要发生在施工初期的场地平整、污水池构筑、挖土埋管和混凝土养护阶段。废水类型有施工废水、地下坑泥浆水、雨水径流以及施工人员的生活污水。施工废水主要是施工机械的清洗水和混凝土养护浇水；地下坑泥浆水为挖掘地基时由地下渗出的地下水；雨水径流为下大暴雨时产生的地面径流；生活污水来自于施工人员吃饭、洗衣、洗澡和粪便等。施工废水含有的污染物是石油类和SS；地下坑泥浆水主要是SS，浓度较高；雨水径流中有杂物、垃圾和SS；生活污水主要是 COD</w:t>
      </w:r>
      <w:r>
        <w:rPr>
          <w:rFonts w:hint="eastAsia"/>
          <w:color w:val="auto"/>
          <w:sz w:val="24"/>
          <w:szCs w:val="24"/>
          <w:vertAlign w:val="subscript"/>
        </w:rPr>
        <w:t>Cr</w:t>
      </w:r>
      <w:r>
        <w:rPr>
          <w:rFonts w:hint="eastAsia"/>
          <w:color w:val="auto"/>
          <w:sz w:val="24"/>
          <w:szCs w:val="24"/>
        </w:rPr>
        <w:t>、BOD</w:t>
      </w:r>
      <w:r>
        <w:rPr>
          <w:rFonts w:hint="eastAsia"/>
          <w:color w:val="auto"/>
          <w:sz w:val="24"/>
          <w:szCs w:val="24"/>
          <w:vertAlign w:val="subscript"/>
        </w:rPr>
        <w:t>5</w:t>
      </w:r>
      <w:r>
        <w:rPr>
          <w:rFonts w:hint="eastAsia"/>
          <w:color w:val="auto"/>
          <w:sz w:val="24"/>
          <w:szCs w:val="24"/>
        </w:rPr>
        <w:t>、NH</w:t>
      </w:r>
      <w:r>
        <w:rPr>
          <w:rFonts w:hint="eastAsia"/>
          <w:color w:val="auto"/>
          <w:sz w:val="24"/>
          <w:szCs w:val="24"/>
          <w:vertAlign w:val="subscript"/>
        </w:rPr>
        <w:t>3</w:t>
      </w:r>
      <w:r>
        <w:rPr>
          <w:rFonts w:hint="eastAsia"/>
          <w:color w:val="auto"/>
          <w:sz w:val="24"/>
          <w:szCs w:val="24"/>
        </w:rPr>
        <w:t>-N等。</w:t>
      </w:r>
    </w:p>
    <w:p>
      <w:pPr>
        <w:spacing w:line="360" w:lineRule="auto"/>
        <w:ind w:firstLine="480" w:firstLineChars="200"/>
        <w:rPr>
          <w:color w:val="auto"/>
          <w:sz w:val="24"/>
          <w:szCs w:val="24"/>
        </w:rPr>
      </w:pPr>
      <w:r>
        <w:rPr>
          <w:rFonts w:hint="eastAsia"/>
          <w:color w:val="auto"/>
          <w:sz w:val="24"/>
          <w:szCs w:val="24"/>
        </w:rPr>
        <w:t>因此，本工程施工期应尽量避开雨季，如确因工程需要无法避开时，应优化施工工艺，合理安排施工工期，缩短施工时间，尽可能减小水土流失量。在有地面径流处，挖土施工时，应先修建排水沟，以减小径流对施工场地的冲刷作用。同时，把水土保持工程措施与水土保持生物措施结合起来，有效减少施工区域的水土流失。</w:t>
      </w:r>
    </w:p>
    <w:p>
      <w:pPr>
        <w:spacing w:line="360" w:lineRule="auto"/>
        <w:ind w:firstLine="480" w:firstLineChars="200"/>
        <w:rPr>
          <w:color w:val="auto"/>
          <w:sz w:val="24"/>
          <w:szCs w:val="24"/>
        </w:rPr>
      </w:pPr>
      <w:r>
        <w:rPr>
          <w:rFonts w:hint="eastAsia"/>
          <w:color w:val="auto"/>
          <w:sz w:val="24"/>
          <w:szCs w:val="24"/>
        </w:rPr>
        <w:t>对于施工废水、地下坑泥浆水、雨水径流，主要的成分是垃圾杂物和SS，直接排入污水管道，会堵塞下水道；直接排河会增加河水的浑浊度，使水环境受到污染。施工过程中产生的泥浆水应根据不同的量设置不同大小的沉淀池，施工废水、地下坑泥浆水、雨水径流经过沉淀池处理，上清液作为普通废水排出，沉淀物可作为低洼地的填土，但不能与生活垃圾混放，以减少对当地地表水的影响。本项目施工期不设生活营地，</w:t>
      </w:r>
      <w:r>
        <w:rPr>
          <w:rFonts w:hint="eastAsia" w:hAnsi="宋体"/>
          <w:color w:val="auto"/>
          <w:sz w:val="24"/>
          <w:lang w:val="zh-CN"/>
        </w:rPr>
        <w:t>施工人员食宿利用周边村庄的配套设施解决，施工人员洗手、如厕可利用地块内设置的临时公厕解决。施工期生活污水经化粪池厌氧消化处理后，用于附近林地灌溉。</w:t>
      </w:r>
    </w:p>
    <w:p>
      <w:pPr>
        <w:spacing w:line="360" w:lineRule="auto"/>
        <w:ind w:firstLine="480" w:firstLineChars="200"/>
        <w:rPr>
          <w:color w:val="auto"/>
          <w:sz w:val="24"/>
          <w:szCs w:val="24"/>
        </w:rPr>
      </w:pPr>
      <w:r>
        <w:rPr>
          <w:rFonts w:hint="eastAsia"/>
          <w:color w:val="auto"/>
          <w:sz w:val="24"/>
          <w:szCs w:val="24"/>
        </w:rPr>
        <w:t>综上所述，本项目施工期废水对周围地表水环境影响较小。</w:t>
      </w:r>
    </w:p>
    <w:p>
      <w:pPr>
        <w:pStyle w:val="4"/>
        <w:rPr>
          <w:color w:val="auto"/>
        </w:rPr>
      </w:pPr>
      <w:bookmarkStart w:id="137" w:name="_Toc26276857"/>
      <w:r>
        <w:rPr>
          <w:rFonts w:hint="eastAsia"/>
          <w:color w:val="auto"/>
        </w:rPr>
        <w:t>5.1.3施工期声环境影响分析</w:t>
      </w:r>
      <w:bookmarkEnd w:id="137"/>
    </w:p>
    <w:p>
      <w:pPr>
        <w:spacing w:line="360" w:lineRule="auto"/>
        <w:ind w:firstLine="480" w:firstLineChars="200"/>
        <w:rPr>
          <w:color w:val="auto"/>
          <w:sz w:val="24"/>
          <w:szCs w:val="24"/>
        </w:rPr>
      </w:pPr>
      <w:r>
        <w:rPr>
          <w:rFonts w:hint="eastAsia"/>
          <w:color w:val="auto"/>
          <w:sz w:val="24"/>
          <w:szCs w:val="24"/>
        </w:rPr>
        <w:t>施工期噪声主要分为机械噪声、施工作业噪声和施工车辆噪声。本项目机械噪声主要由施工机械所造成，如挖土机、搅拌机等，多为点声源；施工作业噪声主要是一些零星敲打声、装卸车辆的撞击声及施工车辆噪声。</w:t>
      </w:r>
    </w:p>
    <w:p>
      <w:pPr>
        <w:spacing w:line="360" w:lineRule="auto"/>
        <w:ind w:firstLine="480" w:firstLineChars="200"/>
        <w:jc w:val="left"/>
        <w:rPr>
          <w:color w:val="auto"/>
          <w:sz w:val="24"/>
          <w:szCs w:val="24"/>
        </w:rPr>
      </w:pPr>
      <w:r>
        <w:rPr>
          <w:rFonts w:hint="eastAsia"/>
          <w:color w:val="auto"/>
          <w:sz w:val="24"/>
          <w:szCs w:val="24"/>
        </w:rPr>
        <w:t>鉴于施工噪声的复杂性及其影响的区域性和阶段性，本环评针对不同施工阶段计算出不同施工设备的噪声污染范围，以便施工单位在施工时结合实际情况采取适当的噪声污染防治措施。</w:t>
      </w:r>
    </w:p>
    <w:p>
      <w:pPr>
        <w:spacing w:line="360" w:lineRule="auto"/>
        <w:ind w:firstLine="480" w:firstLineChars="200"/>
        <w:jc w:val="left"/>
        <w:rPr>
          <w:color w:val="auto"/>
          <w:sz w:val="24"/>
          <w:szCs w:val="24"/>
        </w:rPr>
      </w:pPr>
      <w:r>
        <w:rPr>
          <w:rFonts w:hint="eastAsia"/>
          <w:color w:val="auto"/>
          <w:sz w:val="24"/>
          <w:szCs w:val="24"/>
        </w:rPr>
        <w:t>施工噪声可近似视为点声源处理，根据点声源噪声衰减模式，估算出离声源不同距离处的噪声值，预测模式如下：</w:t>
      </w:r>
    </w:p>
    <w:p>
      <w:pPr>
        <w:spacing w:line="360" w:lineRule="auto"/>
        <w:jc w:val="center"/>
        <w:rPr>
          <w:color w:val="auto"/>
          <w:sz w:val="24"/>
          <w:szCs w:val="24"/>
        </w:rPr>
      </w:pPr>
      <w:r>
        <w:rPr>
          <w:rFonts w:hint="eastAsia"/>
          <w:color w:val="auto"/>
          <w:sz w:val="24"/>
          <w:szCs w:val="24"/>
        </w:rPr>
        <w:drawing>
          <wp:inline distT="0" distB="0" distL="0" distR="0">
            <wp:extent cx="1708150" cy="466090"/>
            <wp:effectExtent l="19050" t="0" r="635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45" cstate="print"/>
                    <a:srcRect/>
                    <a:stretch>
                      <a:fillRect/>
                    </a:stretch>
                  </pic:blipFill>
                  <pic:spPr>
                    <a:xfrm>
                      <a:off x="0" y="0"/>
                      <a:ext cx="1708150" cy="466090"/>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式中： L</w:t>
      </w:r>
      <w:r>
        <w:rPr>
          <w:rFonts w:hint="eastAsia"/>
          <w:color w:val="auto"/>
          <w:sz w:val="24"/>
          <w:szCs w:val="24"/>
          <w:vertAlign w:val="subscript"/>
        </w:rPr>
        <w:t>i</w:t>
      </w:r>
      <w:r>
        <w:rPr>
          <w:rFonts w:hint="eastAsia"/>
          <w:color w:val="auto"/>
          <w:sz w:val="24"/>
          <w:szCs w:val="24"/>
        </w:rPr>
        <w:t>—距声源R</w:t>
      </w:r>
      <w:r>
        <w:rPr>
          <w:rFonts w:hint="eastAsia"/>
          <w:color w:val="auto"/>
          <w:sz w:val="24"/>
          <w:szCs w:val="24"/>
          <w:vertAlign w:val="subscript"/>
        </w:rPr>
        <w:t xml:space="preserve">i </w:t>
      </w:r>
      <w:r>
        <w:rPr>
          <w:rFonts w:hint="eastAsia"/>
          <w:color w:val="auto"/>
          <w:sz w:val="24"/>
          <w:szCs w:val="24"/>
        </w:rPr>
        <w:t>米处的施工噪声预测值，dB（A）；</w:t>
      </w:r>
    </w:p>
    <w:p>
      <w:pPr>
        <w:spacing w:line="360" w:lineRule="auto"/>
        <w:ind w:firstLine="480" w:firstLineChars="200"/>
        <w:jc w:val="left"/>
        <w:rPr>
          <w:color w:val="auto"/>
          <w:sz w:val="24"/>
          <w:szCs w:val="24"/>
        </w:rPr>
      </w:pPr>
      <w:r>
        <w:rPr>
          <w:rFonts w:hint="eastAsia"/>
          <w:color w:val="auto"/>
          <w:sz w:val="24"/>
          <w:szCs w:val="24"/>
        </w:rPr>
        <w:t>L</w:t>
      </w:r>
      <w:r>
        <w:rPr>
          <w:rFonts w:hint="eastAsia"/>
          <w:color w:val="auto"/>
          <w:sz w:val="24"/>
          <w:szCs w:val="24"/>
          <w:vertAlign w:val="subscript"/>
        </w:rPr>
        <w:t>0</w:t>
      </w:r>
      <w:r>
        <w:rPr>
          <w:rFonts w:hint="eastAsia"/>
          <w:color w:val="auto"/>
          <w:sz w:val="24"/>
          <w:szCs w:val="24"/>
        </w:rPr>
        <w:t>—距声源R</w:t>
      </w:r>
      <w:r>
        <w:rPr>
          <w:rFonts w:hint="eastAsia"/>
          <w:color w:val="auto"/>
          <w:sz w:val="24"/>
          <w:szCs w:val="24"/>
          <w:vertAlign w:val="subscript"/>
        </w:rPr>
        <w:t>0</w:t>
      </w:r>
      <w:r>
        <w:rPr>
          <w:rFonts w:hint="eastAsia"/>
          <w:color w:val="auto"/>
          <w:sz w:val="24"/>
          <w:szCs w:val="24"/>
        </w:rPr>
        <w:t xml:space="preserve"> 米处的施工噪声级，dB（A）；</w:t>
      </w:r>
    </w:p>
    <w:p>
      <w:pPr>
        <w:spacing w:line="360" w:lineRule="auto"/>
        <w:ind w:firstLine="480" w:firstLineChars="200"/>
        <w:jc w:val="left"/>
        <w:rPr>
          <w:color w:val="auto"/>
          <w:sz w:val="24"/>
          <w:szCs w:val="24"/>
        </w:rPr>
      </w:pPr>
      <w:r>
        <w:rPr>
          <w:rFonts w:hint="eastAsia"/>
          <w:color w:val="auto"/>
          <w:sz w:val="24"/>
          <w:szCs w:val="24"/>
        </w:rPr>
        <w:t>△L—障碍物、植被、空气等产生的附加衰减量。</w:t>
      </w:r>
    </w:p>
    <w:p>
      <w:pPr>
        <w:spacing w:line="360" w:lineRule="auto"/>
        <w:ind w:firstLine="480" w:firstLineChars="200"/>
        <w:jc w:val="left"/>
        <w:rPr>
          <w:color w:val="auto"/>
          <w:sz w:val="24"/>
          <w:szCs w:val="24"/>
        </w:rPr>
      </w:pPr>
      <w:r>
        <w:rPr>
          <w:rFonts w:hint="eastAsia"/>
          <w:color w:val="auto"/>
          <w:sz w:val="24"/>
          <w:szCs w:val="24"/>
        </w:rPr>
        <w:t>对于多台施工机械同时作业时对某个预测点的影响，按下式进行声级叠加：</w:t>
      </w:r>
    </w:p>
    <w:p>
      <w:pPr>
        <w:spacing w:line="360" w:lineRule="auto"/>
        <w:jc w:val="center"/>
        <w:rPr>
          <w:color w:val="auto"/>
          <w:sz w:val="24"/>
          <w:szCs w:val="24"/>
        </w:rPr>
      </w:pPr>
      <w:r>
        <w:rPr>
          <w:rFonts w:hint="eastAsia"/>
          <w:color w:val="auto"/>
          <w:sz w:val="24"/>
          <w:szCs w:val="24"/>
        </w:rPr>
        <w:drawing>
          <wp:inline distT="0" distB="0" distL="0" distR="0">
            <wp:extent cx="1380490" cy="457200"/>
            <wp:effectExtent l="1905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46" cstate="print"/>
                    <a:srcRect/>
                    <a:stretch>
                      <a:fillRect/>
                    </a:stretch>
                  </pic:blipFill>
                  <pic:spPr>
                    <a:xfrm>
                      <a:off x="0" y="0"/>
                      <a:ext cx="1380490" cy="457200"/>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根据前述的预测方法和预测模式，对施工过程中各种设备噪声影响范围进行计算，本项目主要施工机械的噪声预测结果见下表。</w:t>
      </w:r>
    </w:p>
    <w:p>
      <w:pPr>
        <w:spacing w:line="360" w:lineRule="auto"/>
        <w:jc w:val="center"/>
        <w:rPr>
          <w:b/>
          <w:color w:val="auto"/>
          <w:sz w:val="24"/>
          <w:szCs w:val="24"/>
        </w:rPr>
      </w:pPr>
      <w:r>
        <w:rPr>
          <w:rFonts w:hint="eastAsia"/>
          <w:b/>
          <w:color w:val="auto"/>
          <w:sz w:val="24"/>
          <w:szCs w:val="24"/>
        </w:rPr>
        <w:t>表5-1-2    主要施工机械不同距离处的噪声级 单位：dB(A)</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844"/>
        <w:gridCol w:w="684"/>
        <w:gridCol w:w="601"/>
        <w:gridCol w:w="707"/>
        <w:gridCol w:w="685"/>
        <w:gridCol w:w="601"/>
        <w:gridCol w:w="706"/>
        <w:gridCol w:w="707"/>
        <w:gridCol w:w="706"/>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b/>
                <w:color w:val="auto"/>
                <w:sz w:val="21"/>
                <w:szCs w:val="21"/>
              </w:rPr>
            </w:pPr>
            <w:r>
              <w:rPr>
                <w:rFonts w:hint="eastAsia"/>
                <w:b/>
                <w:color w:val="auto"/>
                <w:sz w:val="21"/>
                <w:szCs w:val="21"/>
              </w:rPr>
              <w:t>机械类型</w:t>
            </w:r>
          </w:p>
        </w:tc>
        <w:tc>
          <w:tcPr>
            <w:tcW w:w="844" w:type="dxa"/>
            <w:vAlign w:val="center"/>
          </w:tcPr>
          <w:p>
            <w:pPr>
              <w:jc w:val="center"/>
              <w:rPr>
                <w:b/>
                <w:color w:val="auto"/>
                <w:sz w:val="21"/>
                <w:szCs w:val="21"/>
              </w:rPr>
            </w:pPr>
            <w:r>
              <w:rPr>
                <w:rFonts w:hint="eastAsia"/>
                <w:b/>
                <w:color w:val="auto"/>
                <w:sz w:val="21"/>
                <w:szCs w:val="21"/>
              </w:rPr>
              <w:t>1m</w:t>
            </w:r>
          </w:p>
        </w:tc>
        <w:tc>
          <w:tcPr>
            <w:tcW w:w="684" w:type="dxa"/>
            <w:vAlign w:val="center"/>
          </w:tcPr>
          <w:p>
            <w:pPr>
              <w:jc w:val="center"/>
              <w:rPr>
                <w:b/>
                <w:color w:val="auto"/>
                <w:sz w:val="21"/>
                <w:szCs w:val="21"/>
              </w:rPr>
            </w:pPr>
            <w:r>
              <w:rPr>
                <w:rFonts w:hint="eastAsia"/>
                <w:b/>
                <w:color w:val="auto"/>
                <w:sz w:val="21"/>
                <w:szCs w:val="21"/>
              </w:rPr>
              <w:t>5m</w:t>
            </w:r>
          </w:p>
        </w:tc>
        <w:tc>
          <w:tcPr>
            <w:tcW w:w="601" w:type="dxa"/>
            <w:vAlign w:val="center"/>
          </w:tcPr>
          <w:p>
            <w:pPr>
              <w:jc w:val="center"/>
              <w:rPr>
                <w:b/>
                <w:color w:val="auto"/>
                <w:sz w:val="21"/>
                <w:szCs w:val="21"/>
              </w:rPr>
            </w:pPr>
            <w:r>
              <w:rPr>
                <w:rFonts w:hint="eastAsia"/>
                <w:b/>
                <w:color w:val="auto"/>
                <w:sz w:val="21"/>
                <w:szCs w:val="21"/>
              </w:rPr>
              <w:t>10m</w:t>
            </w:r>
          </w:p>
        </w:tc>
        <w:tc>
          <w:tcPr>
            <w:tcW w:w="707" w:type="dxa"/>
            <w:vAlign w:val="center"/>
          </w:tcPr>
          <w:p>
            <w:pPr>
              <w:jc w:val="center"/>
              <w:rPr>
                <w:b/>
                <w:color w:val="auto"/>
                <w:sz w:val="21"/>
                <w:szCs w:val="21"/>
              </w:rPr>
            </w:pPr>
            <w:r>
              <w:rPr>
                <w:rFonts w:hint="eastAsia"/>
                <w:b/>
                <w:color w:val="auto"/>
                <w:sz w:val="21"/>
                <w:szCs w:val="21"/>
              </w:rPr>
              <w:t>20m</w:t>
            </w:r>
          </w:p>
        </w:tc>
        <w:tc>
          <w:tcPr>
            <w:tcW w:w="685" w:type="dxa"/>
            <w:vAlign w:val="center"/>
          </w:tcPr>
          <w:p>
            <w:pPr>
              <w:jc w:val="center"/>
              <w:rPr>
                <w:b/>
                <w:color w:val="auto"/>
                <w:sz w:val="21"/>
                <w:szCs w:val="21"/>
              </w:rPr>
            </w:pPr>
            <w:r>
              <w:rPr>
                <w:rFonts w:hint="eastAsia"/>
                <w:b/>
                <w:color w:val="auto"/>
                <w:sz w:val="21"/>
                <w:szCs w:val="21"/>
              </w:rPr>
              <w:t>40m</w:t>
            </w:r>
          </w:p>
        </w:tc>
        <w:tc>
          <w:tcPr>
            <w:tcW w:w="601" w:type="dxa"/>
            <w:vAlign w:val="center"/>
          </w:tcPr>
          <w:p>
            <w:pPr>
              <w:jc w:val="center"/>
              <w:rPr>
                <w:b/>
                <w:color w:val="auto"/>
                <w:sz w:val="21"/>
                <w:szCs w:val="21"/>
              </w:rPr>
            </w:pPr>
            <w:r>
              <w:rPr>
                <w:rFonts w:hint="eastAsia"/>
                <w:b/>
                <w:color w:val="auto"/>
                <w:sz w:val="21"/>
                <w:szCs w:val="21"/>
              </w:rPr>
              <w:t>60m</w:t>
            </w:r>
          </w:p>
        </w:tc>
        <w:tc>
          <w:tcPr>
            <w:tcW w:w="706" w:type="dxa"/>
            <w:vAlign w:val="center"/>
          </w:tcPr>
          <w:p>
            <w:pPr>
              <w:jc w:val="center"/>
              <w:rPr>
                <w:b/>
                <w:color w:val="auto"/>
                <w:sz w:val="21"/>
                <w:szCs w:val="21"/>
              </w:rPr>
            </w:pPr>
            <w:r>
              <w:rPr>
                <w:rFonts w:hint="eastAsia"/>
                <w:b/>
                <w:color w:val="auto"/>
                <w:sz w:val="21"/>
                <w:szCs w:val="21"/>
              </w:rPr>
              <w:t>80m</w:t>
            </w:r>
          </w:p>
        </w:tc>
        <w:tc>
          <w:tcPr>
            <w:tcW w:w="707" w:type="dxa"/>
            <w:vAlign w:val="center"/>
          </w:tcPr>
          <w:p>
            <w:pPr>
              <w:jc w:val="center"/>
              <w:rPr>
                <w:b/>
                <w:color w:val="auto"/>
                <w:sz w:val="21"/>
                <w:szCs w:val="21"/>
              </w:rPr>
            </w:pPr>
            <w:r>
              <w:rPr>
                <w:rFonts w:hint="eastAsia"/>
                <w:b/>
                <w:color w:val="auto"/>
                <w:sz w:val="21"/>
                <w:szCs w:val="21"/>
              </w:rPr>
              <w:t>100m</w:t>
            </w:r>
          </w:p>
        </w:tc>
        <w:tc>
          <w:tcPr>
            <w:tcW w:w="706" w:type="dxa"/>
            <w:vAlign w:val="center"/>
          </w:tcPr>
          <w:p>
            <w:pPr>
              <w:jc w:val="center"/>
              <w:rPr>
                <w:b/>
                <w:color w:val="auto"/>
                <w:sz w:val="21"/>
                <w:szCs w:val="21"/>
              </w:rPr>
            </w:pPr>
            <w:r>
              <w:rPr>
                <w:rFonts w:hint="eastAsia"/>
                <w:b/>
                <w:color w:val="auto"/>
                <w:sz w:val="21"/>
                <w:szCs w:val="21"/>
              </w:rPr>
              <w:t>150m</w:t>
            </w:r>
          </w:p>
        </w:tc>
        <w:tc>
          <w:tcPr>
            <w:tcW w:w="774" w:type="dxa"/>
            <w:vAlign w:val="center"/>
          </w:tcPr>
          <w:p>
            <w:pPr>
              <w:jc w:val="center"/>
              <w:rPr>
                <w:b/>
                <w:color w:val="auto"/>
                <w:sz w:val="21"/>
                <w:szCs w:val="21"/>
              </w:rPr>
            </w:pPr>
            <w:r>
              <w:rPr>
                <w:rFonts w:hint="eastAsia"/>
                <w:b/>
                <w:color w:val="auto"/>
                <w:sz w:val="21"/>
                <w:szCs w:val="21"/>
              </w:rPr>
              <w:t>200m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自卸汽车</w:t>
            </w:r>
          </w:p>
        </w:tc>
        <w:tc>
          <w:tcPr>
            <w:tcW w:w="844" w:type="dxa"/>
            <w:vAlign w:val="center"/>
          </w:tcPr>
          <w:p>
            <w:pPr>
              <w:jc w:val="center"/>
              <w:rPr>
                <w:color w:val="auto"/>
                <w:sz w:val="21"/>
                <w:szCs w:val="21"/>
              </w:rPr>
            </w:pPr>
            <w:r>
              <w:rPr>
                <w:rFonts w:hint="eastAsia"/>
                <w:color w:val="auto"/>
                <w:sz w:val="21"/>
                <w:szCs w:val="21"/>
              </w:rPr>
              <w:t>82</w:t>
            </w:r>
          </w:p>
        </w:tc>
        <w:tc>
          <w:tcPr>
            <w:tcW w:w="684" w:type="dxa"/>
            <w:vAlign w:val="center"/>
          </w:tcPr>
          <w:p>
            <w:pPr>
              <w:jc w:val="center"/>
              <w:rPr>
                <w:color w:val="auto"/>
                <w:sz w:val="21"/>
                <w:szCs w:val="21"/>
              </w:rPr>
            </w:pPr>
            <w:r>
              <w:rPr>
                <w:rFonts w:hint="eastAsia"/>
                <w:color w:val="auto"/>
                <w:sz w:val="21"/>
                <w:szCs w:val="21"/>
              </w:rPr>
              <w:t>68.0</w:t>
            </w:r>
          </w:p>
        </w:tc>
        <w:tc>
          <w:tcPr>
            <w:tcW w:w="601" w:type="dxa"/>
            <w:vAlign w:val="center"/>
          </w:tcPr>
          <w:p>
            <w:pPr>
              <w:jc w:val="center"/>
              <w:rPr>
                <w:color w:val="auto"/>
                <w:sz w:val="21"/>
                <w:szCs w:val="21"/>
              </w:rPr>
            </w:pPr>
            <w:r>
              <w:rPr>
                <w:rFonts w:hint="eastAsia"/>
                <w:color w:val="auto"/>
                <w:sz w:val="21"/>
                <w:szCs w:val="21"/>
              </w:rPr>
              <w:t>62.0</w:t>
            </w:r>
          </w:p>
        </w:tc>
        <w:tc>
          <w:tcPr>
            <w:tcW w:w="707" w:type="dxa"/>
            <w:vAlign w:val="center"/>
          </w:tcPr>
          <w:p>
            <w:pPr>
              <w:jc w:val="center"/>
              <w:rPr>
                <w:color w:val="auto"/>
                <w:sz w:val="21"/>
                <w:szCs w:val="21"/>
              </w:rPr>
            </w:pPr>
            <w:r>
              <w:rPr>
                <w:rFonts w:hint="eastAsia"/>
                <w:color w:val="auto"/>
                <w:sz w:val="21"/>
                <w:szCs w:val="21"/>
              </w:rPr>
              <w:t>55.9</w:t>
            </w:r>
          </w:p>
        </w:tc>
        <w:tc>
          <w:tcPr>
            <w:tcW w:w="685" w:type="dxa"/>
            <w:vAlign w:val="center"/>
          </w:tcPr>
          <w:p>
            <w:pPr>
              <w:jc w:val="center"/>
              <w:rPr>
                <w:color w:val="auto"/>
                <w:sz w:val="21"/>
                <w:szCs w:val="21"/>
              </w:rPr>
            </w:pPr>
            <w:r>
              <w:rPr>
                <w:rFonts w:hint="eastAsia"/>
                <w:color w:val="auto"/>
                <w:sz w:val="21"/>
                <w:szCs w:val="21"/>
              </w:rPr>
              <w:t>49.9</w:t>
            </w:r>
          </w:p>
        </w:tc>
        <w:tc>
          <w:tcPr>
            <w:tcW w:w="601" w:type="dxa"/>
            <w:vAlign w:val="center"/>
          </w:tcPr>
          <w:p>
            <w:pPr>
              <w:jc w:val="center"/>
              <w:rPr>
                <w:color w:val="auto"/>
                <w:sz w:val="21"/>
                <w:szCs w:val="21"/>
              </w:rPr>
            </w:pPr>
            <w:r>
              <w:rPr>
                <w:rFonts w:hint="eastAsia"/>
                <w:color w:val="auto"/>
                <w:sz w:val="21"/>
                <w:szCs w:val="21"/>
              </w:rPr>
              <w:t>46.4</w:t>
            </w:r>
          </w:p>
        </w:tc>
        <w:tc>
          <w:tcPr>
            <w:tcW w:w="706" w:type="dxa"/>
            <w:vAlign w:val="center"/>
          </w:tcPr>
          <w:p>
            <w:pPr>
              <w:jc w:val="center"/>
              <w:rPr>
                <w:color w:val="auto"/>
                <w:sz w:val="21"/>
                <w:szCs w:val="21"/>
              </w:rPr>
            </w:pPr>
            <w:r>
              <w:rPr>
                <w:rFonts w:hint="eastAsia"/>
                <w:color w:val="auto"/>
                <w:sz w:val="21"/>
                <w:szCs w:val="21"/>
              </w:rPr>
              <w:t>43.9</w:t>
            </w:r>
          </w:p>
        </w:tc>
        <w:tc>
          <w:tcPr>
            <w:tcW w:w="707" w:type="dxa"/>
            <w:vAlign w:val="center"/>
          </w:tcPr>
          <w:p>
            <w:pPr>
              <w:jc w:val="center"/>
              <w:rPr>
                <w:color w:val="auto"/>
                <w:sz w:val="21"/>
                <w:szCs w:val="21"/>
              </w:rPr>
            </w:pPr>
            <w:r>
              <w:rPr>
                <w:rFonts w:hint="eastAsia"/>
                <w:color w:val="auto"/>
                <w:sz w:val="21"/>
                <w:szCs w:val="21"/>
              </w:rPr>
              <w:t>42.0</w:t>
            </w:r>
          </w:p>
        </w:tc>
        <w:tc>
          <w:tcPr>
            <w:tcW w:w="706" w:type="dxa"/>
            <w:vAlign w:val="center"/>
          </w:tcPr>
          <w:p>
            <w:pPr>
              <w:jc w:val="center"/>
              <w:rPr>
                <w:color w:val="auto"/>
                <w:sz w:val="21"/>
                <w:szCs w:val="21"/>
              </w:rPr>
            </w:pPr>
            <w:r>
              <w:rPr>
                <w:rFonts w:hint="eastAsia"/>
                <w:color w:val="auto"/>
                <w:sz w:val="21"/>
                <w:szCs w:val="21"/>
              </w:rPr>
              <w:t>38.5</w:t>
            </w:r>
          </w:p>
        </w:tc>
        <w:tc>
          <w:tcPr>
            <w:tcW w:w="774" w:type="dxa"/>
            <w:vAlign w:val="center"/>
          </w:tcPr>
          <w:p>
            <w:pPr>
              <w:jc w:val="center"/>
              <w:rPr>
                <w:color w:val="auto"/>
                <w:sz w:val="21"/>
                <w:szCs w:val="21"/>
              </w:rPr>
            </w:pPr>
            <w:r>
              <w:rPr>
                <w:rFonts w:hint="eastAsia"/>
                <w:color w:val="auto"/>
                <w:sz w:val="21"/>
                <w:szCs w:val="21"/>
              </w:rPr>
              <w:t>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挖土机</w:t>
            </w:r>
          </w:p>
        </w:tc>
        <w:tc>
          <w:tcPr>
            <w:tcW w:w="844" w:type="dxa"/>
            <w:vAlign w:val="center"/>
          </w:tcPr>
          <w:p>
            <w:pPr>
              <w:jc w:val="center"/>
              <w:rPr>
                <w:color w:val="auto"/>
                <w:sz w:val="21"/>
                <w:szCs w:val="21"/>
              </w:rPr>
            </w:pPr>
            <w:r>
              <w:rPr>
                <w:rFonts w:hint="eastAsia"/>
                <w:color w:val="auto"/>
                <w:sz w:val="21"/>
                <w:szCs w:val="21"/>
              </w:rPr>
              <w:t>83</w:t>
            </w:r>
          </w:p>
        </w:tc>
        <w:tc>
          <w:tcPr>
            <w:tcW w:w="684" w:type="dxa"/>
            <w:vAlign w:val="center"/>
          </w:tcPr>
          <w:p>
            <w:pPr>
              <w:jc w:val="center"/>
              <w:rPr>
                <w:color w:val="auto"/>
                <w:sz w:val="21"/>
                <w:szCs w:val="21"/>
              </w:rPr>
            </w:pPr>
            <w:r>
              <w:rPr>
                <w:rFonts w:hint="eastAsia"/>
                <w:color w:val="auto"/>
                <w:sz w:val="21"/>
                <w:szCs w:val="21"/>
              </w:rPr>
              <w:t>69.0</w:t>
            </w:r>
          </w:p>
        </w:tc>
        <w:tc>
          <w:tcPr>
            <w:tcW w:w="601" w:type="dxa"/>
            <w:vAlign w:val="center"/>
          </w:tcPr>
          <w:p>
            <w:pPr>
              <w:jc w:val="center"/>
              <w:rPr>
                <w:color w:val="auto"/>
                <w:sz w:val="21"/>
                <w:szCs w:val="21"/>
              </w:rPr>
            </w:pPr>
            <w:r>
              <w:rPr>
                <w:rFonts w:hint="eastAsia"/>
                <w:color w:val="auto"/>
                <w:sz w:val="21"/>
                <w:szCs w:val="21"/>
              </w:rPr>
              <w:t>63.0</w:t>
            </w:r>
          </w:p>
        </w:tc>
        <w:tc>
          <w:tcPr>
            <w:tcW w:w="707" w:type="dxa"/>
            <w:vAlign w:val="center"/>
          </w:tcPr>
          <w:p>
            <w:pPr>
              <w:jc w:val="center"/>
              <w:rPr>
                <w:color w:val="auto"/>
                <w:sz w:val="21"/>
                <w:szCs w:val="21"/>
              </w:rPr>
            </w:pPr>
            <w:r>
              <w:rPr>
                <w:rFonts w:hint="eastAsia"/>
                <w:color w:val="auto"/>
                <w:sz w:val="21"/>
                <w:szCs w:val="21"/>
              </w:rPr>
              <w:t>56.9</w:t>
            </w:r>
          </w:p>
        </w:tc>
        <w:tc>
          <w:tcPr>
            <w:tcW w:w="685" w:type="dxa"/>
            <w:vAlign w:val="center"/>
          </w:tcPr>
          <w:p>
            <w:pPr>
              <w:jc w:val="center"/>
              <w:rPr>
                <w:color w:val="auto"/>
                <w:sz w:val="21"/>
                <w:szCs w:val="21"/>
              </w:rPr>
            </w:pPr>
            <w:r>
              <w:rPr>
                <w:rFonts w:hint="eastAsia"/>
                <w:color w:val="auto"/>
                <w:sz w:val="21"/>
                <w:szCs w:val="21"/>
              </w:rPr>
              <w:t>50.9</w:t>
            </w:r>
          </w:p>
        </w:tc>
        <w:tc>
          <w:tcPr>
            <w:tcW w:w="601" w:type="dxa"/>
            <w:vAlign w:val="center"/>
          </w:tcPr>
          <w:p>
            <w:pPr>
              <w:jc w:val="center"/>
              <w:rPr>
                <w:color w:val="auto"/>
                <w:sz w:val="21"/>
                <w:szCs w:val="21"/>
              </w:rPr>
            </w:pPr>
            <w:r>
              <w:rPr>
                <w:rFonts w:hint="eastAsia"/>
                <w:color w:val="auto"/>
                <w:sz w:val="21"/>
                <w:szCs w:val="21"/>
              </w:rPr>
              <w:t>47.4</w:t>
            </w:r>
          </w:p>
        </w:tc>
        <w:tc>
          <w:tcPr>
            <w:tcW w:w="706" w:type="dxa"/>
            <w:vAlign w:val="center"/>
          </w:tcPr>
          <w:p>
            <w:pPr>
              <w:jc w:val="center"/>
              <w:rPr>
                <w:color w:val="auto"/>
                <w:sz w:val="21"/>
                <w:szCs w:val="21"/>
              </w:rPr>
            </w:pPr>
            <w:r>
              <w:rPr>
                <w:rFonts w:hint="eastAsia"/>
                <w:color w:val="auto"/>
                <w:sz w:val="21"/>
                <w:szCs w:val="21"/>
              </w:rPr>
              <w:t>44.9</w:t>
            </w:r>
          </w:p>
        </w:tc>
        <w:tc>
          <w:tcPr>
            <w:tcW w:w="707" w:type="dxa"/>
            <w:vAlign w:val="center"/>
          </w:tcPr>
          <w:p>
            <w:pPr>
              <w:jc w:val="center"/>
              <w:rPr>
                <w:color w:val="auto"/>
                <w:sz w:val="21"/>
                <w:szCs w:val="21"/>
              </w:rPr>
            </w:pPr>
            <w:r>
              <w:rPr>
                <w:rFonts w:hint="eastAsia"/>
                <w:color w:val="auto"/>
                <w:sz w:val="21"/>
                <w:szCs w:val="21"/>
              </w:rPr>
              <w:t>43.0</w:t>
            </w:r>
          </w:p>
        </w:tc>
        <w:tc>
          <w:tcPr>
            <w:tcW w:w="706" w:type="dxa"/>
            <w:vAlign w:val="center"/>
          </w:tcPr>
          <w:p>
            <w:pPr>
              <w:jc w:val="center"/>
              <w:rPr>
                <w:color w:val="auto"/>
                <w:sz w:val="21"/>
                <w:szCs w:val="21"/>
              </w:rPr>
            </w:pPr>
            <w:r>
              <w:rPr>
                <w:rFonts w:hint="eastAsia"/>
                <w:color w:val="auto"/>
                <w:sz w:val="21"/>
                <w:szCs w:val="21"/>
              </w:rPr>
              <w:t>39.4</w:t>
            </w:r>
          </w:p>
        </w:tc>
        <w:tc>
          <w:tcPr>
            <w:tcW w:w="774" w:type="dxa"/>
            <w:vAlign w:val="center"/>
          </w:tcPr>
          <w:p>
            <w:pPr>
              <w:jc w:val="center"/>
              <w:rPr>
                <w:color w:val="auto"/>
                <w:sz w:val="21"/>
                <w:szCs w:val="21"/>
              </w:rPr>
            </w:pPr>
            <w:r>
              <w:rPr>
                <w:rFonts w:hint="eastAsia"/>
                <w:color w:val="auto"/>
                <w:sz w:val="21"/>
                <w:szCs w:val="21"/>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推土机</w:t>
            </w:r>
          </w:p>
        </w:tc>
        <w:tc>
          <w:tcPr>
            <w:tcW w:w="844" w:type="dxa"/>
            <w:vAlign w:val="center"/>
          </w:tcPr>
          <w:p>
            <w:pPr>
              <w:jc w:val="center"/>
              <w:rPr>
                <w:color w:val="auto"/>
                <w:sz w:val="21"/>
                <w:szCs w:val="21"/>
              </w:rPr>
            </w:pPr>
            <w:r>
              <w:rPr>
                <w:rFonts w:hint="eastAsia"/>
                <w:color w:val="auto"/>
                <w:sz w:val="21"/>
                <w:szCs w:val="21"/>
              </w:rPr>
              <w:t>83</w:t>
            </w:r>
          </w:p>
        </w:tc>
        <w:tc>
          <w:tcPr>
            <w:tcW w:w="684" w:type="dxa"/>
            <w:vAlign w:val="center"/>
          </w:tcPr>
          <w:p>
            <w:pPr>
              <w:jc w:val="center"/>
              <w:rPr>
                <w:color w:val="auto"/>
                <w:sz w:val="21"/>
                <w:szCs w:val="21"/>
              </w:rPr>
            </w:pPr>
            <w:r>
              <w:rPr>
                <w:rFonts w:hint="eastAsia"/>
                <w:color w:val="auto"/>
                <w:sz w:val="21"/>
                <w:szCs w:val="21"/>
              </w:rPr>
              <w:t>69.0</w:t>
            </w:r>
          </w:p>
        </w:tc>
        <w:tc>
          <w:tcPr>
            <w:tcW w:w="601" w:type="dxa"/>
            <w:vAlign w:val="center"/>
          </w:tcPr>
          <w:p>
            <w:pPr>
              <w:jc w:val="center"/>
              <w:rPr>
                <w:color w:val="auto"/>
                <w:sz w:val="21"/>
                <w:szCs w:val="21"/>
              </w:rPr>
            </w:pPr>
            <w:r>
              <w:rPr>
                <w:rFonts w:hint="eastAsia"/>
                <w:color w:val="auto"/>
                <w:sz w:val="21"/>
                <w:szCs w:val="21"/>
              </w:rPr>
              <w:t>63.0</w:t>
            </w:r>
          </w:p>
        </w:tc>
        <w:tc>
          <w:tcPr>
            <w:tcW w:w="707" w:type="dxa"/>
            <w:vAlign w:val="center"/>
          </w:tcPr>
          <w:p>
            <w:pPr>
              <w:jc w:val="center"/>
              <w:rPr>
                <w:color w:val="auto"/>
                <w:sz w:val="21"/>
                <w:szCs w:val="21"/>
              </w:rPr>
            </w:pPr>
            <w:r>
              <w:rPr>
                <w:rFonts w:hint="eastAsia"/>
                <w:color w:val="auto"/>
                <w:sz w:val="21"/>
                <w:szCs w:val="21"/>
              </w:rPr>
              <w:t>56.9</w:t>
            </w:r>
          </w:p>
        </w:tc>
        <w:tc>
          <w:tcPr>
            <w:tcW w:w="685" w:type="dxa"/>
            <w:vAlign w:val="center"/>
          </w:tcPr>
          <w:p>
            <w:pPr>
              <w:jc w:val="center"/>
              <w:rPr>
                <w:color w:val="auto"/>
                <w:sz w:val="21"/>
                <w:szCs w:val="21"/>
              </w:rPr>
            </w:pPr>
            <w:r>
              <w:rPr>
                <w:rFonts w:hint="eastAsia"/>
                <w:color w:val="auto"/>
                <w:sz w:val="21"/>
                <w:szCs w:val="21"/>
              </w:rPr>
              <w:t>50.9</w:t>
            </w:r>
          </w:p>
        </w:tc>
        <w:tc>
          <w:tcPr>
            <w:tcW w:w="601" w:type="dxa"/>
            <w:vAlign w:val="center"/>
          </w:tcPr>
          <w:p>
            <w:pPr>
              <w:jc w:val="center"/>
              <w:rPr>
                <w:color w:val="auto"/>
                <w:sz w:val="21"/>
                <w:szCs w:val="21"/>
              </w:rPr>
            </w:pPr>
            <w:r>
              <w:rPr>
                <w:rFonts w:hint="eastAsia"/>
                <w:color w:val="auto"/>
                <w:sz w:val="21"/>
                <w:szCs w:val="21"/>
              </w:rPr>
              <w:t>47.4</w:t>
            </w:r>
          </w:p>
        </w:tc>
        <w:tc>
          <w:tcPr>
            <w:tcW w:w="706" w:type="dxa"/>
            <w:vAlign w:val="center"/>
          </w:tcPr>
          <w:p>
            <w:pPr>
              <w:jc w:val="center"/>
              <w:rPr>
                <w:color w:val="auto"/>
                <w:sz w:val="21"/>
                <w:szCs w:val="21"/>
              </w:rPr>
            </w:pPr>
            <w:r>
              <w:rPr>
                <w:rFonts w:hint="eastAsia"/>
                <w:color w:val="auto"/>
                <w:sz w:val="21"/>
                <w:szCs w:val="21"/>
              </w:rPr>
              <w:t>44.9</w:t>
            </w:r>
          </w:p>
        </w:tc>
        <w:tc>
          <w:tcPr>
            <w:tcW w:w="707" w:type="dxa"/>
            <w:vAlign w:val="center"/>
          </w:tcPr>
          <w:p>
            <w:pPr>
              <w:jc w:val="center"/>
              <w:rPr>
                <w:color w:val="auto"/>
                <w:sz w:val="21"/>
                <w:szCs w:val="21"/>
              </w:rPr>
            </w:pPr>
            <w:r>
              <w:rPr>
                <w:rFonts w:hint="eastAsia"/>
                <w:color w:val="auto"/>
                <w:sz w:val="21"/>
                <w:szCs w:val="21"/>
              </w:rPr>
              <w:t>43.0</w:t>
            </w:r>
          </w:p>
        </w:tc>
        <w:tc>
          <w:tcPr>
            <w:tcW w:w="706" w:type="dxa"/>
            <w:vAlign w:val="center"/>
          </w:tcPr>
          <w:p>
            <w:pPr>
              <w:jc w:val="center"/>
              <w:rPr>
                <w:color w:val="auto"/>
                <w:sz w:val="21"/>
                <w:szCs w:val="21"/>
              </w:rPr>
            </w:pPr>
            <w:r>
              <w:rPr>
                <w:rFonts w:hint="eastAsia"/>
                <w:color w:val="auto"/>
                <w:sz w:val="21"/>
                <w:szCs w:val="21"/>
              </w:rPr>
              <w:t>39.4</w:t>
            </w:r>
          </w:p>
        </w:tc>
        <w:tc>
          <w:tcPr>
            <w:tcW w:w="774" w:type="dxa"/>
            <w:vAlign w:val="center"/>
          </w:tcPr>
          <w:p>
            <w:pPr>
              <w:jc w:val="center"/>
              <w:rPr>
                <w:color w:val="auto"/>
                <w:sz w:val="21"/>
                <w:szCs w:val="21"/>
              </w:rPr>
            </w:pPr>
            <w:r>
              <w:rPr>
                <w:rFonts w:hint="eastAsia"/>
                <w:color w:val="auto"/>
                <w:sz w:val="21"/>
                <w:szCs w:val="21"/>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振动碾压机</w:t>
            </w:r>
          </w:p>
        </w:tc>
        <w:tc>
          <w:tcPr>
            <w:tcW w:w="844" w:type="dxa"/>
            <w:vAlign w:val="center"/>
          </w:tcPr>
          <w:p>
            <w:pPr>
              <w:jc w:val="center"/>
              <w:rPr>
                <w:color w:val="auto"/>
                <w:sz w:val="21"/>
                <w:szCs w:val="21"/>
              </w:rPr>
            </w:pPr>
            <w:r>
              <w:rPr>
                <w:rFonts w:hint="eastAsia"/>
                <w:color w:val="auto"/>
                <w:sz w:val="21"/>
                <w:szCs w:val="21"/>
              </w:rPr>
              <w:t>81</w:t>
            </w:r>
          </w:p>
        </w:tc>
        <w:tc>
          <w:tcPr>
            <w:tcW w:w="684" w:type="dxa"/>
            <w:vAlign w:val="center"/>
          </w:tcPr>
          <w:p>
            <w:pPr>
              <w:jc w:val="center"/>
              <w:rPr>
                <w:color w:val="auto"/>
                <w:sz w:val="21"/>
                <w:szCs w:val="21"/>
              </w:rPr>
            </w:pPr>
            <w:r>
              <w:rPr>
                <w:rFonts w:hint="eastAsia"/>
                <w:color w:val="auto"/>
                <w:sz w:val="21"/>
                <w:szCs w:val="21"/>
              </w:rPr>
              <w:t>67.0</w:t>
            </w:r>
          </w:p>
        </w:tc>
        <w:tc>
          <w:tcPr>
            <w:tcW w:w="601" w:type="dxa"/>
            <w:vAlign w:val="center"/>
          </w:tcPr>
          <w:p>
            <w:pPr>
              <w:jc w:val="center"/>
              <w:rPr>
                <w:color w:val="auto"/>
                <w:sz w:val="21"/>
                <w:szCs w:val="21"/>
              </w:rPr>
            </w:pPr>
            <w:r>
              <w:rPr>
                <w:rFonts w:hint="eastAsia"/>
                <w:color w:val="auto"/>
                <w:sz w:val="21"/>
                <w:szCs w:val="21"/>
              </w:rPr>
              <w:t>61.0</w:t>
            </w:r>
          </w:p>
        </w:tc>
        <w:tc>
          <w:tcPr>
            <w:tcW w:w="707" w:type="dxa"/>
            <w:vAlign w:val="center"/>
          </w:tcPr>
          <w:p>
            <w:pPr>
              <w:jc w:val="center"/>
              <w:rPr>
                <w:color w:val="auto"/>
                <w:sz w:val="21"/>
                <w:szCs w:val="21"/>
              </w:rPr>
            </w:pPr>
            <w:r>
              <w:rPr>
                <w:rFonts w:hint="eastAsia"/>
                <w:color w:val="auto"/>
                <w:sz w:val="21"/>
                <w:szCs w:val="21"/>
              </w:rPr>
              <w:t>54.9</w:t>
            </w:r>
          </w:p>
        </w:tc>
        <w:tc>
          <w:tcPr>
            <w:tcW w:w="685" w:type="dxa"/>
            <w:vAlign w:val="center"/>
          </w:tcPr>
          <w:p>
            <w:pPr>
              <w:jc w:val="center"/>
              <w:rPr>
                <w:color w:val="auto"/>
                <w:sz w:val="21"/>
                <w:szCs w:val="21"/>
              </w:rPr>
            </w:pPr>
            <w:r>
              <w:rPr>
                <w:rFonts w:hint="eastAsia"/>
                <w:color w:val="auto"/>
                <w:sz w:val="21"/>
                <w:szCs w:val="21"/>
              </w:rPr>
              <w:t>48.9</w:t>
            </w:r>
          </w:p>
        </w:tc>
        <w:tc>
          <w:tcPr>
            <w:tcW w:w="601" w:type="dxa"/>
            <w:vAlign w:val="center"/>
          </w:tcPr>
          <w:p>
            <w:pPr>
              <w:jc w:val="center"/>
              <w:rPr>
                <w:color w:val="auto"/>
                <w:sz w:val="21"/>
                <w:szCs w:val="21"/>
              </w:rPr>
            </w:pPr>
            <w:r>
              <w:rPr>
                <w:rFonts w:hint="eastAsia"/>
                <w:color w:val="auto"/>
                <w:sz w:val="21"/>
                <w:szCs w:val="21"/>
              </w:rPr>
              <w:t>45.4</w:t>
            </w:r>
          </w:p>
        </w:tc>
        <w:tc>
          <w:tcPr>
            <w:tcW w:w="706" w:type="dxa"/>
            <w:vAlign w:val="center"/>
          </w:tcPr>
          <w:p>
            <w:pPr>
              <w:jc w:val="center"/>
              <w:rPr>
                <w:color w:val="auto"/>
                <w:sz w:val="21"/>
                <w:szCs w:val="21"/>
              </w:rPr>
            </w:pPr>
            <w:r>
              <w:rPr>
                <w:rFonts w:hint="eastAsia"/>
                <w:color w:val="auto"/>
                <w:sz w:val="21"/>
                <w:szCs w:val="21"/>
              </w:rPr>
              <w:t>42.9</w:t>
            </w:r>
          </w:p>
        </w:tc>
        <w:tc>
          <w:tcPr>
            <w:tcW w:w="707" w:type="dxa"/>
            <w:vAlign w:val="center"/>
          </w:tcPr>
          <w:p>
            <w:pPr>
              <w:jc w:val="center"/>
              <w:rPr>
                <w:color w:val="auto"/>
                <w:sz w:val="21"/>
                <w:szCs w:val="21"/>
              </w:rPr>
            </w:pPr>
            <w:r>
              <w:rPr>
                <w:rFonts w:hint="eastAsia"/>
                <w:color w:val="auto"/>
                <w:sz w:val="21"/>
                <w:szCs w:val="21"/>
              </w:rPr>
              <w:t>41.0</w:t>
            </w:r>
          </w:p>
        </w:tc>
        <w:tc>
          <w:tcPr>
            <w:tcW w:w="706" w:type="dxa"/>
            <w:vAlign w:val="center"/>
          </w:tcPr>
          <w:p>
            <w:pPr>
              <w:jc w:val="center"/>
              <w:rPr>
                <w:color w:val="auto"/>
                <w:sz w:val="21"/>
                <w:szCs w:val="21"/>
              </w:rPr>
            </w:pPr>
            <w:r>
              <w:rPr>
                <w:rFonts w:hint="eastAsia"/>
                <w:color w:val="auto"/>
                <w:sz w:val="21"/>
                <w:szCs w:val="21"/>
              </w:rPr>
              <w:t>37.5</w:t>
            </w:r>
          </w:p>
        </w:tc>
        <w:tc>
          <w:tcPr>
            <w:tcW w:w="774" w:type="dxa"/>
            <w:vAlign w:val="center"/>
          </w:tcPr>
          <w:p>
            <w:pPr>
              <w:jc w:val="center"/>
              <w:rPr>
                <w:color w:val="auto"/>
                <w:sz w:val="21"/>
                <w:szCs w:val="21"/>
              </w:rPr>
            </w:pPr>
            <w:r>
              <w:rPr>
                <w:rFonts w:hint="eastAsia"/>
                <w:color w:val="auto"/>
                <w:sz w:val="21"/>
                <w:szCs w:val="21"/>
              </w:rPr>
              <w:t>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装载机</w:t>
            </w:r>
          </w:p>
        </w:tc>
        <w:tc>
          <w:tcPr>
            <w:tcW w:w="844" w:type="dxa"/>
            <w:vAlign w:val="center"/>
          </w:tcPr>
          <w:p>
            <w:pPr>
              <w:jc w:val="center"/>
              <w:rPr>
                <w:color w:val="auto"/>
                <w:sz w:val="21"/>
                <w:szCs w:val="21"/>
              </w:rPr>
            </w:pPr>
            <w:r>
              <w:rPr>
                <w:rFonts w:hint="eastAsia"/>
                <w:color w:val="auto"/>
                <w:sz w:val="21"/>
                <w:szCs w:val="21"/>
              </w:rPr>
              <w:t>85</w:t>
            </w:r>
          </w:p>
        </w:tc>
        <w:tc>
          <w:tcPr>
            <w:tcW w:w="684" w:type="dxa"/>
            <w:vAlign w:val="center"/>
          </w:tcPr>
          <w:p>
            <w:pPr>
              <w:jc w:val="center"/>
              <w:rPr>
                <w:color w:val="auto"/>
                <w:sz w:val="21"/>
                <w:szCs w:val="21"/>
              </w:rPr>
            </w:pPr>
            <w:r>
              <w:rPr>
                <w:rFonts w:hint="eastAsia"/>
                <w:color w:val="auto"/>
                <w:sz w:val="21"/>
                <w:szCs w:val="21"/>
              </w:rPr>
              <w:t>71.0</w:t>
            </w:r>
          </w:p>
        </w:tc>
        <w:tc>
          <w:tcPr>
            <w:tcW w:w="601" w:type="dxa"/>
            <w:vAlign w:val="center"/>
          </w:tcPr>
          <w:p>
            <w:pPr>
              <w:jc w:val="center"/>
              <w:rPr>
                <w:color w:val="auto"/>
                <w:sz w:val="21"/>
                <w:szCs w:val="21"/>
              </w:rPr>
            </w:pPr>
            <w:r>
              <w:rPr>
                <w:rFonts w:hint="eastAsia"/>
                <w:color w:val="auto"/>
                <w:sz w:val="21"/>
                <w:szCs w:val="21"/>
              </w:rPr>
              <w:t>65.0</w:t>
            </w:r>
          </w:p>
        </w:tc>
        <w:tc>
          <w:tcPr>
            <w:tcW w:w="707" w:type="dxa"/>
            <w:vAlign w:val="center"/>
          </w:tcPr>
          <w:p>
            <w:pPr>
              <w:jc w:val="center"/>
              <w:rPr>
                <w:color w:val="auto"/>
                <w:sz w:val="21"/>
                <w:szCs w:val="21"/>
              </w:rPr>
            </w:pPr>
            <w:r>
              <w:rPr>
                <w:rFonts w:hint="eastAsia"/>
                <w:color w:val="auto"/>
                <w:sz w:val="21"/>
                <w:szCs w:val="21"/>
              </w:rPr>
              <w:t>58.9</w:t>
            </w:r>
          </w:p>
        </w:tc>
        <w:tc>
          <w:tcPr>
            <w:tcW w:w="685" w:type="dxa"/>
            <w:vAlign w:val="center"/>
          </w:tcPr>
          <w:p>
            <w:pPr>
              <w:jc w:val="center"/>
              <w:rPr>
                <w:color w:val="auto"/>
                <w:sz w:val="21"/>
                <w:szCs w:val="21"/>
              </w:rPr>
            </w:pPr>
            <w:r>
              <w:rPr>
                <w:rFonts w:hint="eastAsia"/>
                <w:color w:val="auto"/>
                <w:sz w:val="21"/>
                <w:szCs w:val="21"/>
              </w:rPr>
              <w:t>52.9</w:t>
            </w:r>
          </w:p>
        </w:tc>
        <w:tc>
          <w:tcPr>
            <w:tcW w:w="601" w:type="dxa"/>
            <w:vAlign w:val="center"/>
          </w:tcPr>
          <w:p>
            <w:pPr>
              <w:jc w:val="center"/>
              <w:rPr>
                <w:color w:val="auto"/>
                <w:sz w:val="21"/>
                <w:szCs w:val="21"/>
              </w:rPr>
            </w:pPr>
            <w:r>
              <w:rPr>
                <w:rFonts w:hint="eastAsia"/>
                <w:color w:val="auto"/>
                <w:sz w:val="21"/>
                <w:szCs w:val="21"/>
              </w:rPr>
              <w:t>49.4</w:t>
            </w:r>
          </w:p>
        </w:tc>
        <w:tc>
          <w:tcPr>
            <w:tcW w:w="706" w:type="dxa"/>
            <w:vAlign w:val="center"/>
          </w:tcPr>
          <w:p>
            <w:pPr>
              <w:jc w:val="center"/>
              <w:rPr>
                <w:color w:val="auto"/>
                <w:sz w:val="21"/>
                <w:szCs w:val="21"/>
              </w:rPr>
            </w:pPr>
            <w:r>
              <w:rPr>
                <w:rFonts w:hint="eastAsia"/>
                <w:color w:val="auto"/>
                <w:sz w:val="21"/>
                <w:szCs w:val="21"/>
              </w:rPr>
              <w:t>46.9</w:t>
            </w:r>
          </w:p>
        </w:tc>
        <w:tc>
          <w:tcPr>
            <w:tcW w:w="707" w:type="dxa"/>
            <w:vAlign w:val="center"/>
          </w:tcPr>
          <w:p>
            <w:pPr>
              <w:jc w:val="center"/>
              <w:rPr>
                <w:color w:val="auto"/>
                <w:sz w:val="21"/>
                <w:szCs w:val="21"/>
              </w:rPr>
            </w:pPr>
            <w:r>
              <w:rPr>
                <w:rFonts w:hint="eastAsia"/>
                <w:color w:val="auto"/>
                <w:sz w:val="21"/>
                <w:szCs w:val="21"/>
              </w:rPr>
              <w:t>45.0</w:t>
            </w:r>
          </w:p>
        </w:tc>
        <w:tc>
          <w:tcPr>
            <w:tcW w:w="706" w:type="dxa"/>
            <w:vAlign w:val="center"/>
          </w:tcPr>
          <w:p>
            <w:pPr>
              <w:jc w:val="center"/>
              <w:rPr>
                <w:color w:val="auto"/>
                <w:sz w:val="21"/>
                <w:szCs w:val="21"/>
              </w:rPr>
            </w:pPr>
            <w:r>
              <w:rPr>
                <w:rFonts w:hint="eastAsia"/>
                <w:color w:val="auto"/>
                <w:sz w:val="21"/>
                <w:szCs w:val="21"/>
              </w:rPr>
              <w:t>41.5</w:t>
            </w:r>
          </w:p>
        </w:tc>
        <w:tc>
          <w:tcPr>
            <w:tcW w:w="774" w:type="dxa"/>
            <w:vAlign w:val="center"/>
          </w:tcPr>
          <w:p>
            <w:pPr>
              <w:jc w:val="center"/>
              <w:rPr>
                <w:color w:val="auto"/>
                <w:sz w:val="21"/>
                <w:szCs w:val="21"/>
              </w:rPr>
            </w:pPr>
            <w:r>
              <w:rPr>
                <w:rFonts w:hint="eastAsia"/>
                <w:color w:val="auto"/>
                <w:sz w:val="21"/>
                <w:szCs w:val="21"/>
              </w:rPr>
              <w:t>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空压机</w:t>
            </w:r>
          </w:p>
        </w:tc>
        <w:tc>
          <w:tcPr>
            <w:tcW w:w="844" w:type="dxa"/>
            <w:vAlign w:val="center"/>
          </w:tcPr>
          <w:p>
            <w:pPr>
              <w:jc w:val="center"/>
              <w:rPr>
                <w:color w:val="auto"/>
                <w:sz w:val="21"/>
                <w:szCs w:val="21"/>
              </w:rPr>
            </w:pPr>
            <w:r>
              <w:rPr>
                <w:rFonts w:hint="eastAsia"/>
                <w:color w:val="auto"/>
                <w:sz w:val="21"/>
                <w:szCs w:val="21"/>
              </w:rPr>
              <w:t>80</w:t>
            </w:r>
          </w:p>
        </w:tc>
        <w:tc>
          <w:tcPr>
            <w:tcW w:w="684" w:type="dxa"/>
            <w:vAlign w:val="center"/>
          </w:tcPr>
          <w:p>
            <w:pPr>
              <w:jc w:val="center"/>
              <w:rPr>
                <w:color w:val="auto"/>
                <w:sz w:val="21"/>
                <w:szCs w:val="21"/>
              </w:rPr>
            </w:pPr>
            <w:r>
              <w:rPr>
                <w:rFonts w:hint="eastAsia"/>
                <w:color w:val="auto"/>
                <w:sz w:val="21"/>
                <w:szCs w:val="21"/>
              </w:rPr>
              <w:t>66.0</w:t>
            </w:r>
          </w:p>
        </w:tc>
        <w:tc>
          <w:tcPr>
            <w:tcW w:w="601" w:type="dxa"/>
            <w:vAlign w:val="center"/>
          </w:tcPr>
          <w:p>
            <w:pPr>
              <w:jc w:val="center"/>
              <w:rPr>
                <w:color w:val="auto"/>
                <w:sz w:val="21"/>
                <w:szCs w:val="21"/>
              </w:rPr>
            </w:pPr>
            <w:r>
              <w:rPr>
                <w:rFonts w:hint="eastAsia"/>
                <w:color w:val="auto"/>
                <w:sz w:val="21"/>
                <w:szCs w:val="21"/>
              </w:rPr>
              <w:t>60.0</w:t>
            </w:r>
          </w:p>
        </w:tc>
        <w:tc>
          <w:tcPr>
            <w:tcW w:w="707" w:type="dxa"/>
            <w:vAlign w:val="center"/>
          </w:tcPr>
          <w:p>
            <w:pPr>
              <w:jc w:val="center"/>
              <w:rPr>
                <w:color w:val="auto"/>
                <w:sz w:val="21"/>
                <w:szCs w:val="21"/>
              </w:rPr>
            </w:pPr>
            <w:r>
              <w:rPr>
                <w:rFonts w:hint="eastAsia"/>
                <w:color w:val="auto"/>
                <w:sz w:val="21"/>
                <w:szCs w:val="21"/>
              </w:rPr>
              <w:t>53.9</w:t>
            </w:r>
          </w:p>
        </w:tc>
        <w:tc>
          <w:tcPr>
            <w:tcW w:w="685" w:type="dxa"/>
            <w:vAlign w:val="center"/>
          </w:tcPr>
          <w:p>
            <w:pPr>
              <w:jc w:val="center"/>
              <w:rPr>
                <w:color w:val="auto"/>
                <w:sz w:val="21"/>
                <w:szCs w:val="21"/>
              </w:rPr>
            </w:pPr>
            <w:r>
              <w:rPr>
                <w:rFonts w:hint="eastAsia"/>
                <w:color w:val="auto"/>
                <w:sz w:val="21"/>
                <w:szCs w:val="21"/>
              </w:rPr>
              <w:t>47.9</w:t>
            </w:r>
          </w:p>
        </w:tc>
        <w:tc>
          <w:tcPr>
            <w:tcW w:w="601" w:type="dxa"/>
            <w:vAlign w:val="center"/>
          </w:tcPr>
          <w:p>
            <w:pPr>
              <w:jc w:val="center"/>
              <w:rPr>
                <w:color w:val="auto"/>
                <w:sz w:val="21"/>
                <w:szCs w:val="21"/>
              </w:rPr>
            </w:pPr>
            <w:r>
              <w:rPr>
                <w:rFonts w:hint="eastAsia"/>
                <w:color w:val="auto"/>
                <w:sz w:val="21"/>
                <w:szCs w:val="21"/>
              </w:rPr>
              <w:t>44.4</w:t>
            </w:r>
          </w:p>
        </w:tc>
        <w:tc>
          <w:tcPr>
            <w:tcW w:w="706" w:type="dxa"/>
            <w:vAlign w:val="center"/>
          </w:tcPr>
          <w:p>
            <w:pPr>
              <w:jc w:val="center"/>
              <w:rPr>
                <w:color w:val="auto"/>
                <w:sz w:val="21"/>
                <w:szCs w:val="21"/>
              </w:rPr>
            </w:pPr>
            <w:r>
              <w:rPr>
                <w:rFonts w:hint="eastAsia"/>
                <w:color w:val="auto"/>
                <w:sz w:val="21"/>
                <w:szCs w:val="21"/>
              </w:rPr>
              <w:t>41.9</w:t>
            </w:r>
          </w:p>
        </w:tc>
        <w:tc>
          <w:tcPr>
            <w:tcW w:w="707" w:type="dxa"/>
            <w:vAlign w:val="center"/>
          </w:tcPr>
          <w:p>
            <w:pPr>
              <w:jc w:val="center"/>
              <w:rPr>
                <w:color w:val="auto"/>
                <w:sz w:val="21"/>
                <w:szCs w:val="21"/>
              </w:rPr>
            </w:pPr>
            <w:r>
              <w:rPr>
                <w:rFonts w:hint="eastAsia"/>
                <w:color w:val="auto"/>
                <w:sz w:val="21"/>
                <w:szCs w:val="21"/>
              </w:rPr>
              <w:t>40.0</w:t>
            </w:r>
          </w:p>
        </w:tc>
        <w:tc>
          <w:tcPr>
            <w:tcW w:w="706" w:type="dxa"/>
            <w:vAlign w:val="center"/>
          </w:tcPr>
          <w:p>
            <w:pPr>
              <w:jc w:val="center"/>
              <w:rPr>
                <w:color w:val="auto"/>
                <w:sz w:val="21"/>
                <w:szCs w:val="21"/>
              </w:rPr>
            </w:pPr>
            <w:r>
              <w:rPr>
                <w:rFonts w:hint="eastAsia"/>
                <w:color w:val="auto"/>
                <w:sz w:val="21"/>
                <w:szCs w:val="21"/>
              </w:rPr>
              <w:t>36.5</w:t>
            </w:r>
          </w:p>
        </w:tc>
        <w:tc>
          <w:tcPr>
            <w:tcW w:w="774" w:type="dxa"/>
            <w:vAlign w:val="center"/>
          </w:tcPr>
          <w:p>
            <w:pPr>
              <w:jc w:val="center"/>
              <w:rPr>
                <w:color w:val="auto"/>
                <w:sz w:val="21"/>
                <w:szCs w:val="21"/>
              </w:rPr>
            </w:pPr>
            <w:r>
              <w:rPr>
                <w:rFonts w:hint="eastAsia"/>
                <w:color w:val="auto"/>
                <w:sz w:val="21"/>
                <w:szCs w:val="21"/>
              </w:rPr>
              <w:t>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自卸汽车</w:t>
            </w:r>
          </w:p>
        </w:tc>
        <w:tc>
          <w:tcPr>
            <w:tcW w:w="844" w:type="dxa"/>
            <w:vAlign w:val="center"/>
          </w:tcPr>
          <w:p>
            <w:pPr>
              <w:jc w:val="center"/>
              <w:rPr>
                <w:color w:val="auto"/>
                <w:sz w:val="21"/>
                <w:szCs w:val="21"/>
              </w:rPr>
            </w:pPr>
            <w:r>
              <w:rPr>
                <w:rFonts w:hint="eastAsia"/>
                <w:color w:val="auto"/>
                <w:sz w:val="21"/>
                <w:szCs w:val="21"/>
              </w:rPr>
              <w:t>78</w:t>
            </w:r>
          </w:p>
        </w:tc>
        <w:tc>
          <w:tcPr>
            <w:tcW w:w="684" w:type="dxa"/>
            <w:vAlign w:val="center"/>
          </w:tcPr>
          <w:p>
            <w:pPr>
              <w:jc w:val="center"/>
              <w:rPr>
                <w:color w:val="auto"/>
                <w:sz w:val="21"/>
                <w:szCs w:val="21"/>
              </w:rPr>
            </w:pPr>
            <w:r>
              <w:rPr>
                <w:rFonts w:hint="eastAsia"/>
                <w:color w:val="auto"/>
                <w:sz w:val="21"/>
                <w:szCs w:val="21"/>
              </w:rPr>
              <w:t>64.0</w:t>
            </w:r>
          </w:p>
        </w:tc>
        <w:tc>
          <w:tcPr>
            <w:tcW w:w="601" w:type="dxa"/>
            <w:vAlign w:val="center"/>
          </w:tcPr>
          <w:p>
            <w:pPr>
              <w:jc w:val="center"/>
              <w:rPr>
                <w:color w:val="auto"/>
                <w:sz w:val="21"/>
                <w:szCs w:val="21"/>
              </w:rPr>
            </w:pPr>
            <w:r>
              <w:rPr>
                <w:rFonts w:hint="eastAsia"/>
                <w:color w:val="auto"/>
                <w:sz w:val="21"/>
                <w:szCs w:val="21"/>
              </w:rPr>
              <w:t>58.0</w:t>
            </w:r>
          </w:p>
        </w:tc>
        <w:tc>
          <w:tcPr>
            <w:tcW w:w="707" w:type="dxa"/>
            <w:vAlign w:val="center"/>
          </w:tcPr>
          <w:p>
            <w:pPr>
              <w:jc w:val="center"/>
              <w:rPr>
                <w:color w:val="auto"/>
                <w:sz w:val="21"/>
                <w:szCs w:val="21"/>
              </w:rPr>
            </w:pPr>
            <w:r>
              <w:rPr>
                <w:rFonts w:hint="eastAsia"/>
                <w:color w:val="auto"/>
                <w:sz w:val="21"/>
                <w:szCs w:val="21"/>
              </w:rPr>
              <w:t>51.9</w:t>
            </w:r>
          </w:p>
        </w:tc>
        <w:tc>
          <w:tcPr>
            <w:tcW w:w="685" w:type="dxa"/>
            <w:vAlign w:val="center"/>
          </w:tcPr>
          <w:p>
            <w:pPr>
              <w:jc w:val="center"/>
              <w:rPr>
                <w:color w:val="auto"/>
                <w:sz w:val="21"/>
                <w:szCs w:val="21"/>
              </w:rPr>
            </w:pPr>
            <w:r>
              <w:rPr>
                <w:rFonts w:hint="eastAsia"/>
                <w:color w:val="auto"/>
                <w:sz w:val="21"/>
                <w:szCs w:val="21"/>
              </w:rPr>
              <w:t>45.9</w:t>
            </w:r>
          </w:p>
        </w:tc>
        <w:tc>
          <w:tcPr>
            <w:tcW w:w="601" w:type="dxa"/>
            <w:vAlign w:val="center"/>
          </w:tcPr>
          <w:p>
            <w:pPr>
              <w:jc w:val="center"/>
              <w:rPr>
                <w:color w:val="auto"/>
                <w:sz w:val="21"/>
                <w:szCs w:val="21"/>
              </w:rPr>
            </w:pPr>
            <w:r>
              <w:rPr>
                <w:rFonts w:hint="eastAsia"/>
                <w:color w:val="auto"/>
                <w:sz w:val="21"/>
                <w:szCs w:val="21"/>
              </w:rPr>
              <w:t>42.4</w:t>
            </w:r>
          </w:p>
        </w:tc>
        <w:tc>
          <w:tcPr>
            <w:tcW w:w="706" w:type="dxa"/>
            <w:vAlign w:val="center"/>
          </w:tcPr>
          <w:p>
            <w:pPr>
              <w:jc w:val="center"/>
              <w:rPr>
                <w:color w:val="auto"/>
                <w:sz w:val="21"/>
                <w:szCs w:val="21"/>
              </w:rPr>
            </w:pPr>
            <w:r>
              <w:rPr>
                <w:rFonts w:hint="eastAsia"/>
                <w:color w:val="auto"/>
                <w:sz w:val="21"/>
                <w:szCs w:val="21"/>
              </w:rPr>
              <w:t>39.9</w:t>
            </w:r>
          </w:p>
        </w:tc>
        <w:tc>
          <w:tcPr>
            <w:tcW w:w="707" w:type="dxa"/>
            <w:vAlign w:val="center"/>
          </w:tcPr>
          <w:p>
            <w:pPr>
              <w:jc w:val="center"/>
              <w:rPr>
                <w:color w:val="auto"/>
                <w:sz w:val="21"/>
                <w:szCs w:val="21"/>
              </w:rPr>
            </w:pPr>
            <w:r>
              <w:rPr>
                <w:rFonts w:hint="eastAsia"/>
                <w:color w:val="auto"/>
                <w:sz w:val="21"/>
                <w:szCs w:val="21"/>
              </w:rPr>
              <w:t>38.0</w:t>
            </w:r>
          </w:p>
        </w:tc>
        <w:tc>
          <w:tcPr>
            <w:tcW w:w="706" w:type="dxa"/>
            <w:vAlign w:val="center"/>
          </w:tcPr>
          <w:p>
            <w:pPr>
              <w:jc w:val="center"/>
              <w:rPr>
                <w:color w:val="auto"/>
                <w:sz w:val="21"/>
                <w:szCs w:val="21"/>
              </w:rPr>
            </w:pPr>
            <w:r>
              <w:rPr>
                <w:rFonts w:hint="eastAsia"/>
                <w:color w:val="auto"/>
                <w:sz w:val="21"/>
                <w:szCs w:val="21"/>
              </w:rPr>
              <w:t>34.5</w:t>
            </w:r>
          </w:p>
        </w:tc>
        <w:tc>
          <w:tcPr>
            <w:tcW w:w="774" w:type="dxa"/>
            <w:vAlign w:val="center"/>
          </w:tcPr>
          <w:p>
            <w:pPr>
              <w:jc w:val="center"/>
              <w:rPr>
                <w:color w:val="auto"/>
                <w:sz w:val="21"/>
                <w:szCs w:val="21"/>
              </w:rPr>
            </w:pPr>
            <w:r>
              <w:rPr>
                <w:rFonts w:hint="eastAsia"/>
                <w:color w:val="auto"/>
                <w:sz w:val="21"/>
                <w:szCs w:val="21"/>
              </w:rPr>
              <w:t>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装载机</w:t>
            </w:r>
          </w:p>
        </w:tc>
        <w:tc>
          <w:tcPr>
            <w:tcW w:w="844" w:type="dxa"/>
            <w:vAlign w:val="center"/>
          </w:tcPr>
          <w:p>
            <w:pPr>
              <w:jc w:val="center"/>
              <w:rPr>
                <w:color w:val="auto"/>
                <w:sz w:val="21"/>
                <w:szCs w:val="21"/>
              </w:rPr>
            </w:pPr>
            <w:r>
              <w:rPr>
                <w:rFonts w:hint="eastAsia"/>
                <w:color w:val="auto"/>
                <w:sz w:val="21"/>
                <w:szCs w:val="21"/>
              </w:rPr>
              <w:t>80</w:t>
            </w:r>
          </w:p>
        </w:tc>
        <w:tc>
          <w:tcPr>
            <w:tcW w:w="684" w:type="dxa"/>
            <w:vAlign w:val="center"/>
          </w:tcPr>
          <w:p>
            <w:pPr>
              <w:jc w:val="center"/>
              <w:rPr>
                <w:color w:val="auto"/>
                <w:sz w:val="21"/>
                <w:szCs w:val="21"/>
              </w:rPr>
            </w:pPr>
            <w:r>
              <w:rPr>
                <w:rFonts w:hint="eastAsia"/>
                <w:color w:val="auto"/>
                <w:sz w:val="21"/>
                <w:szCs w:val="21"/>
              </w:rPr>
              <w:t>66.0</w:t>
            </w:r>
          </w:p>
        </w:tc>
        <w:tc>
          <w:tcPr>
            <w:tcW w:w="601" w:type="dxa"/>
            <w:vAlign w:val="center"/>
          </w:tcPr>
          <w:p>
            <w:pPr>
              <w:jc w:val="center"/>
              <w:rPr>
                <w:color w:val="auto"/>
                <w:sz w:val="21"/>
                <w:szCs w:val="21"/>
              </w:rPr>
            </w:pPr>
            <w:r>
              <w:rPr>
                <w:rFonts w:hint="eastAsia"/>
                <w:color w:val="auto"/>
                <w:sz w:val="21"/>
                <w:szCs w:val="21"/>
              </w:rPr>
              <w:t>60.0</w:t>
            </w:r>
          </w:p>
        </w:tc>
        <w:tc>
          <w:tcPr>
            <w:tcW w:w="707" w:type="dxa"/>
            <w:vAlign w:val="center"/>
          </w:tcPr>
          <w:p>
            <w:pPr>
              <w:jc w:val="center"/>
              <w:rPr>
                <w:color w:val="auto"/>
                <w:sz w:val="21"/>
                <w:szCs w:val="21"/>
              </w:rPr>
            </w:pPr>
            <w:r>
              <w:rPr>
                <w:rFonts w:hint="eastAsia"/>
                <w:color w:val="auto"/>
                <w:sz w:val="21"/>
                <w:szCs w:val="21"/>
              </w:rPr>
              <w:t>53.9</w:t>
            </w:r>
          </w:p>
        </w:tc>
        <w:tc>
          <w:tcPr>
            <w:tcW w:w="685" w:type="dxa"/>
            <w:vAlign w:val="center"/>
          </w:tcPr>
          <w:p>
            <w:pPr>
              <w:jc w:val="center"/>
              <w:rPr>
                <w:color w:val="auto"/>
                <w:sz w:val="21"/>
                <w:szCs w:val="21"/>
              </w:rPr>
            </w:pPr>
            <w:r>
              <w:rPr>
                <w:rFonts w:hint="eastAsia"/>
                <w:color w:val="auto"/>
                <w:sz w:val="21"/>
                <w:szCs w:val="21"/>
              </w:rPr>
              <w:t>47.9</w:t>
            </w:r>
          </w:p>
        </w:tc>
        <w:tc>
          <w:tcPr>
            <w:tcW w:w="601" w:type="dxa"/>
            <w:vAlign w:val="center"/>
          </w:tcPr>
          <w:p>
            <w:pPr>
              <w:jc w:val="center"/>
              <w:rPr>
                <w:color w:val="auto"/>
                <w:sz w:val="21"/>
                <w:szCs w:val="21"/>
              </w:rPr>
            </w:pPr>
            <w:r>
              <w:rPr>
                <w:rFonts w:hint="eastAsia"/>
                <w:color w:val="auto"/>
                <w:sz w:val="21"/>
                <w:szCs w:val="21"/>
              </w:rPr>
              <w:t>44.4</w:t>
            </w:r>
          </w:p>
        </w:tc>
        <w:tc>
          <w:tcPr>
            <w:tcW w:w="706" w:type="dxa"/>
            <w:vAlign w:val="center"/>
          </w:tcPr>
          <w:p>
            <w:pPr>
              <w:jc w:val="center"/>
              <w:rPr>
                <w:color w:val="auto"/>
                <w:sz w:val="21"/>
                <w:szCs w:val="21"/>
              </w:rPr>
            </w:pPr>
            <w:r>
              <w:rPr>
                <w:rFonts w:hint="eastAsia"/>
                <w:color w:val="auto"/>
                <w:sz w:val="21"/>
                <w:szCs w:val="21"/>
              </w:rPr>
              <w:t>41.9</w:t>
            </w:r>
          </w:p>
        </w:tc>
        <w:tc>
          <w:tcPr>
            <w:tcW w:w="707" w:type="dxa"/>
            <w:vAlign w:val="center"/>
          </w:tcPr>
          <w:p>
            <w:pPr>
              <w:jc w:val="center"/>
              <w:rPr>
                <w:color w:val="auto"/>
                <w:sz w:val="21"/>
                <w:szCs w:val="21"/>
              </w:rPr>
            </w:pPr>
            <w:r>
              <w:rPr>
                <w:rFonts w:hint="eastAsia"/>
                <w:color w:val="auto"/>
                <w:sz w:val="21"/>
                <w:szCs w:val="21"/>
              </w:rPr>
              <w:t>40.0</w:t>
            </w:r>
          </w:p>
        </w:tc>
        <w:tc>
          <w:tcPr>
            <w:tcW w:w="706" w:type="dxa"/>
            <w:vAlign w:val="center"/>
          </w:tcPr>
          <w:p>
            <w:pPr>
              <w:jc w:val="center"/>
              <w:rPr>
                <w:color w:val="auto"/>
                <w:sz w:val="21"/>
                <w:szCs w:val="21"/>
              </w:rPr>
            </w:pPr>
            <w:r>
              <w:rPr>
                <w:rFonts w:hint="eastAsia"/>
                <w:color w:val="auto"/>
                <w:sz w:val="21"/>
                <w:szCs w:val="21"/>
              </w:rPr>
              <w:t>36.5</w:t>
            </w:r>
          </w:p>
        </w:tc>
        <w:tc>
          <w:tcPr>
            <w:tcW w:w="774" w:type="dxa"/>
            <w:vAlign w:val="center"/>
          </w:tcPr>
          <w:p>
            <w:pPr>
              <w:jc w:val="center"/>
              <w:rPr>
                <w:color w:val="auto"/>
                <w:sz w:val="21"/>
                <w:szCs w:val="21"/>
              </w:rPr>
            </w:pPr>
            <w:r>
              <w:rPr>
                <w:rFonts w:hint="eastAsia"/>
                <w:color w:val="auto"/>
                <w:sz w:val="21"/>
                <w:szCs w:val="21"/>
              </w:rPr>
              <w:t>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振捣器</w:t>
            </w:r>
          </w:p>
        </w:tc>
        <w:tc>
          <w:tcPr>
            <w:tcW w:w="844" w:type="dxa"/>
            <w:vAlign w:val="center"/>
          </w:tcPr>
          <w:p>
            <w:pPr>
              <w:jc w:val="center"/>
              <w:rPr>
                <w:color w:val="auto"/>
                <w:sz w:val="21"/>
                <w:szCs w:val="21"/>
              </w:rPr>
            </w:pPr>
            <w:r>
              <w:rPr>
                <w:rFonts w:hint="eastAsia"/>
                <w:color w:val="auto"/>
                <w:sz w:val="21"/>
                <w:szCs w:val="21"/>
              </w:rPr>
              <w:t>90</w:t>
            </w:r>
          </w:p>
        </w:tc>
        <w:tc>
          <w:tcPr>
            <w:tcW w:w="684" w:type="dxa"/>
            <w:vAlign w:val="center"/>
          </w:tcPr>
          <w:p>
            <w:pPr>
              <w:jc w:val="center"/>
              <w:rPr>
                <w:color w:val="auto"/>
                <w:sz w:val="21"/>
                <w:szCs w:val="21"/>
              </w:rPr>
            </w:pPr>
            <w:r>
              <w:rPr>
                <w:rFonts w:hint="eastAsia"/>
                <w:color w:val="auto"/>
                <w:sz w:val="21"/>
                <w:szCs w:val="21"/>
              </w:rPr>
              <w:t>76.0</w:t>
            </w:r>
          </w:p>
        </w:tc>
        <w:tc>
          <w:tcPr>
            <w:tcW w:w="601" w:type="dxa"/>
            <w:vAlign w:val="center"/>
          </w:tcPr>
          <w:p>
            <w:pPr>
              <w:jc w:val="center"/>
              <w:rPr>
                <w:color w:val="auto"/>
                <w:sz w:val="21"/>
                <w:szCs w:val="21"/>
              </w:rPr>
            </w:pPr>
            <w:r>
              <w:rPr>
                <w:rFonts w:hint="eastAsia"/>
                <w:color w:val="auto"/>
                <w:sz w:val="21"/>
                <w:szCs w:val="21"/>
              </w:rPr>
              <w:t>70.0</w:t>
            </w:r>
          </w:p>
        </w:tc>
        <w:tc>
          <w:tcPr>
            <w:tcW w:w="707" w:type="dxa"/>
            <w:vAlign w:val="center"/>
          </w:tcPr>
          <w:p>
            <w:pPr>
              <w:jc w:val="center"/>
              <w:rPr>
                <w:color w:val="auto"/>
                <w:sz w:val="21"/>
                <w:szCs w:val="21"/>
              </w:rPr>
            </w:pPr>
            <w:r>
              <w:rPr>
                <w:rFonts w:hint="eastAsia"/>
                <w:color w:val="auto"/>
                <w:sz w:val="21"/>
                <w:szCs w:val="21"/>
              </w:rPr>
              <w:t>63.9</w:t>
            </w:r>
          </w:p>
        </w:tc>
        <w:tc>
          <w:tcPr>
            <w:tcW w:w="685" w:type="dxa"/>
            <w:vAlign w:val="center"/>
          </w:tcPr>
          <w:p>
            <w:pPr>
              <w:jc w:val="center"/>
              <w:rPr>
                <w:color w:val="auto"/>
                <w:sz w:val="21"/>
                <w:szCs w:val="21"/>
              </w:rPr>
            </w:pPr>
            <w:r>
              <w:rPr>
                <w:rFonts w:hint="eastAsia"/>
                <w:color w:val="auto"/>
                <w:sz w:val="21"/>
                <w:szCs w:val="21"/>
              </w:rPr>
              <w:t>57.9</w:t>
            </w:r>
          </w:p>
        </w:tc>
        <w:tc>
          <w:tcPr>
            <w:tcW w:w="601" w:type="dxa"/>
            <w:vAlign w:val="center"/>
          </w:tcPr>
          <w:p>
            <w:pPr>
              <w:jc w:val="center"/>
              <w:rPr>
                <w:color w:val="auto"/>
                <w:sz w:val="21"/>
                <w:szCs w:val="21"/>
              </w:rPr>
            </w:pPr>
            <w:r>
              <w:rPr>
                <w:rFonts w:hint="eastAsia"/>
                <w:color w:val="auto"/>
                <w:sz w:val="21"/>
                <w:szCs w:val="21"/>
              </w:rPr>
              <w:t>54.4</w:t>
            </w:r>
          </w:p>
        </w:tc>
        <w:tc>
          <w:tcPr>
            <w:tcW w:w="706" w:type="dxa"/>
            <w:vAlign w:val="center"/>
          </w:tcPr>
          <w:p>
            <w:pPr>
              <w:jc w:val="center"/>
              <w:rPr>
                <w:color w:val="auto"/>
                <w:sz w:val="21"/>
                <w:szCs w:val="21"/>
              </w:rPr>
            </w:pPr>
            <w:r>
              <w:rPr>
                <w:rFonts w:hint="eastAsia"/>
                <w:color w:val="auto"/>
                <w:sz w:val="21"/>
                <w:szCs w:val="21"/>
              </w:rPr>
              <w:t>51.9</w:t>
            </w:r>
          </w:p>
        </w:tc>
        <w:tc>
          <w:tcPr>
            <w:tcW w:w="707" w:type="dxa"/>
            <w:vAlign w:val="center"/>
          </w:tcPr>
          <w:p>
            <w:pPr>
              <w:jc w:val="center"/>
              <w:rPr>
                <w:color w:val="auto"/>
                <w:sz w:val="21"/>
                <w:szCs w:val="21"/>
              </w:rPr>
            </w:pPr>
            <w:r>
              <w:rPr>
                <w:rFonts w:hint="eastAsia"/>
                <w:color w:val="auto"/>
                <w:sz w:val="21"/>
                <w:szCs w:val="21"/>
              </w:rPr>
              <w:t>50.0</w:t>
            </w:r>
          </w:p>
        </w:tc>
        <w:tc>
          <w:tcPr>
            <w:tcW w:w="706" w:type="dxa"/>
            <w:vAlign w:val="center"/>
          </w:tcPr>
          <w:p>
            <w:pPr>
              <w:jc w:val="center"/>
              <w:rPr>
                <w:color w:val="auto"/>
                <w:sz w:val="21"/>
                <w:szCs w:val="21"/>
              </w:rPr>
            </w:pPr>
            <w:r>
              <w:rPr>
                <w:rFonts w:hint="eastAsia"/>
                <w:color w:val="auto"/>
                <w:sz w:val="21"/>
                <w:szCs w:val="21"/>
              </w:rPr>
              <w:t>46.5</w:t>
            </w:r>
          </w:p>
        </w:tc>
        <w:tc>
          <w:tcPr>
            <w:tcW w:w="774" w:type="dxa"/>
            <w:vAlign w:val="center"/>
          </w:tcPr>
          <w:p>
            <w:pPr>
              <w:jc w:val="center"/>
              <w:rPr>
                <w:color w:val="auto"/>
                <w:sz w:val="21"/>
                <w:szCs w:val="21"/>
              </w:rPr>
            </w:pPr>
            <w:r>
              <w:rPr>
                <w:rFonts w:hint="eastAsia"/>
                <w:color w:val="auto"/>
                <w:sz w:val="21"/>
                <w:szCs w:val="21"/>
              </w:rPr>
              <w:t>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电锯</w:t>
            </w:r>
          </w:p>
        </w:tc>
        <w:tc>
          <w:tcPr>
            <w:tcW w:w="844" w:type="dxa"/>
            <w:vAlign w:val="center"/>
          </w:tcPr>
          <w:p>
            <w:pPr>
              <w:jc w:val="center"/>
              <w:rPr>
                <w:color w:val="auto"/>
                <w:sz w:val="21"/>
                <w:szCs w:val="21"/>
              </w:rPr>
            </w:pPr>
            <w:r>
              <w:rPr>
                <w:rFonts w:hint="eastAsia"/>
                <w:color w:val="auto"/>
                <w:sz w:val="21"/>
                <w:szCs w:val="21"/>
              </w:rPr>
              <w:t>89</w:t>
            </w:r>
          </w:p>
        </w:tc>
        <w:tc>
          <w:tcPr>
            <w:tcW w:w="684" w:type="dxa"/>
            <w:vAlign w:val="center"/>
          </w:tcPr>
          <w:p>
            <w:pPr>
              <w:jc w:val="center"/>
              <w:rPr>
                <w:color w:val="auto"/>
                <w:sz w:val="21"/>
                <w:szCs w:val="21"/>
              </w:rPr>
            </w:pPr>
            <w:r>
              <w:rPr>
                <w:rFonts w:hint="eastAsia"/>
                <w:color w:val="auto"/>
                <w:sz w:val="21"/>
                <w:szCs w:val="21"/>
              </w:rPr>
              <w:t>75.0</w:t>
            </w:r>
          </w:p>
        </w:tc>
        <w:tc>
          <w:tcPr>
            <w:tcW w:w="601" w:type="dxa"/>
            <w:vAlign w:val="center"/>
          </w:tcPr>
          <w:p>
            <w:pPr>
              <w:jc w:val="center"/>
              <w:rPr>
                <w:color w:val="auto"/>
                <w:sz w:val="21"/>
                <w:szCs w:val="21"/>
              </w:rPr>
            </w:pPr>
            <w:r>
              <w:rPr>
                <w:rFonts w:hint="eastAsia"/>
                <w:color w:val="auto"/>
                <w:sz w:val="21"/>
                <w:szCs w:val="21"/>
              </w:rPr>
              <w:t>69.0</w:t>
            </w:r>
          </w:p>
        </w:tc>
        <w:tc>
          <w:tcPr>
            <w:tcW w:w="707" w:type="dxa"/>
            <w:vAlign w:val="center"/>
          </w:tcPr>
          <w:p>
            <w:pPr>
              <w:jc w:val="center"/>
              <w:rPr>
                <w:color w:val="auto"/>
                <w:sz w:val="21"/>
                <w:szCs w:val="21"/>
              </w:rPr>
            </w:pPr>
            <w:r>
              <w:rPr>
                <w:rFonts w:hint="eastAsia"/>
                <w:color w:val="auto"/>
                <w:sz w:val="21"/>
                <w:szCs w:val="21"/>
              </w:rPr>
              <w:t>62.9</w:t>
            </w:r>
          </w:p>
        </w:tc>
        <w:tc>
          <w:tcPr>
            <w:tcW w:w="685" w:type="dxa"/>
            <w:vAlign w:val="center"/>
          </w:tcPr>
          <w:p>
            <w:pPr>
              <w:jc w:val="center"/>
              <w:rPr>
                <w:color w:val="auto"/>
                <w:sz w:val="21"/>
                <w:szCs w:val="21"/>
              </w:rPr>
            </w:pPr>
            <w:r>
              <w:rPr>
                <w:rFonts w:hint="eastAsia"/>
                <w:color w:val="auto"/>
                <w:sz w:val="21"/>
                <w:szCs w:val="21"/>
              </w:rPr>
              <w:t>56.9</w:t>
            </w:r>
          </w:p>
        </w:tc>
        <w:tc>
          <w:tcPr>
            <w:tcW w:w="601" w:type="dxa"/>
            <w:vAlign w:val="center"/>
          </w:tcPr>
          <w:p>
            <w:pPr>
              <w:jc w:val="center"/>
              <w:rPr>
                <w:color w:val="auto"/>
                <w:sz w:val="21"/>
                <w:szCs w:val="21"/>
              </w:rPr>
            </w:pPr>
            <w:r>
              <w:rPr>
                <w:rFonts w:hint="eastAsia"/>
                <w:color w:val="auto"/>
                <w:sz w:val="21"/>
                <w:szCs w:val="21"/>
              </w:rPr>
              <w:t>53.4</w:t>
            </w:r>
          </w:p>
        </w:tc>
        <w:tc>
          <w:tcPr>
            <w:tcW w:w="706" w:type="dxa"/>
            <w:vAlign w:val="center"/>
          </w:tcPr>
          <w:p>
            <w:pPr>
              <w:jc w:val="center"/>
              <w:rPr>
                <w:color w:val="auto"/>
                <w:sz w:val="21"/>
                <w:szCs w:val="21"/>
              </w:rPr>
            </w:pPr>
            <w:r>
              <w:rPr>
                <w:rFonts w:hint="eastAsia"/>
                <w:color w:val="auto"/>
                <w:sz w:val="21"/>
                <w:szCs w:val="21"/>
              </w:rPr>
              <w:t>50.9</w:t>
            </w:r>
          </w:p>
        </w:tc>
        <w:tc>
          <w:tcPr>
            <w:tcW w:w="707" w:type="dxa"/>
            <w:vAlign w:val="center"/>
          </w:tcPr>
          <w:p>
            <w:pPr>
              <w:jc w:val="center"/>
              <w:rPr>
                <w:color w:val="auto"/>
                <w:sz w:val="21"/>
                <w:szCs w:val="21"/>
              </w:rPr>
            </w:pPr>
            <w:r>
              <w:rPr>
                <w:rFonts w:hint="eastAsia"/>
                <w:color w:val="auto"/>
                <w:sz w:val="21"/>
                <w:szCs w:val="21"/>
              </w:rPr>
              <w:t>49.0</w:t>
            </w:r>
          </w:p>
        </w:tc>
        <w:tc>
          <w:tcPr>
            <w:tcW w:w="706" w:type="dxa"/>
            <w:vAlign w:val="center"/>
          </w:tcPr>
          <w:p>
            <w:pPr>
              <w:jc w:val="center"/>
              <w:rPr>
                <w:color w:val="auto"/>
                <w:sz w:val="21"/>
                <w:szCs w:val="21"/>
              </w:rPr>
            </w:pPr>
            <w:r>
              <w:rPr>
                <w:rFonts w:hint="eastAsia"/>
                <w:color w:val="auto"/>
                <w:sz w:val="21"/>
                <w:szCs w:val="21"/>
              </w:rPr>
              <w:t>45.5</w:t>
            </w:r>
          </w:p>
        </w:tc>
        <w:tc>
          <w:tcPr>
            <w:tcW w:w="774" w:type="dxa"/>
            <w:vAlign w:val="center"/>
          </w:tcPr>
          <w:p>
            <w:pPr>
              <w:jc w:val="center"/>
              <w:rPr>
                <w:color w:val="auto"/>
                <w:sz w:val="21"/>
                <w:szCs w:val="21"/>
              </w:rPr>
            </w:pPr>
            <w:r>
              <w:rPr>
                <w:rFonts w:hint="eastAsia"/>
                <w:color w:val="auto"/>
                <w:sz w:val="21"/>
                <w:szCs w:val="21"/>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电焊机</w:t>
            </w:r>
          </w:p>
        </w:tc>
        <w:tc>
          <w:tcPr>
            <w:tcW w:w="844" w:type="dxa"/>
            <w:vAlign w:val="center"/>
          </w:tcPr>
          <w:p>
            <w:pPr>
              <w:jc w:val="center"/>
              <w:rPr>
                <w:color w:val="auto"/>
                <w:sz w:val="21"/>
                <w:szCs w:val="21"/>
              </w:rPr>
            </w:pPr>
            <w:r>
              <w:rPr>
                <w:rFonts w:hint="eastAsia"/>
                <w:color w:val="auto"/>
                <w:sz w:val="21"/>
                <w:szCs w:val="21"/>
              </w:rPr>
              <w:t>89</w:t>
            </w:r>
          </w:p>
        </w:tc>
        <w:tc>
          <w:tcPr>
            <w:tcW w:w="684" w:type="dxa"/>
            <w:vAlign w:val="center"/>
          </w:tcPr>
          <w:p>
            <w:pPr>
              <w:jc w:val="center"/>
              <w:rPr>
                <w:color w:val="auto"/>
                <w:sz w:val="21"/>
                <w:szCs w:val="21"/>
              </w:rPr>
            </w:pPr>
            <w:r>
              <w:rPr>
                <w:rFonts w:hint="eastAsia"/>
                <w:color w:val="auto"/>
                <w:sz w:val="21"/>
                <w:szCs w:val="21"/>
              </w:rPr>
              <w:t>75.0</w:t>
            </w:r>
          </w:p>
        </w:tc>
        <w:tc>
          <w:tcPr>
            <w:tcW w:w="601" w:type="dxa"/>
            <w:vAlign w:val="center"/>
          </w:tcPr>
          <w:p>
            <w:pPr>
              <w:jc w:val="center"/>
              <w:rPr>
                <w:color w:val="auto"/>
                <w:sz w:val="21"/>
                <w:szCs w:val="21"/>
              </w:rPr>
            </w:pPr>
            <w:r>
              <w:rPr>
                <w:rFonts w:hint="eastAsia"/>
                <w:color w:val="auto"/>
                <w:sz w:val="21"/>
                <w:szCs w:val="21"/>
              </w:rPr>
              <w:t>69.0</w:t>
            </w:r>
          </w:p>
        </w:tc>
        <w:tc>
          <w:tcPr>
            <w:tcW w:w="707" w:type="dxa"/>
            <w:vAlign w:val="center"/>
          </w:tcPr>
          <w:p>
            <w:pPr>
              <w:jc w:val="center"/>
              <w:rPr>
                <w:color w:val="auto"/>
                <w:sz w:val="21"/>
                <w:szCs w:val="21"/>
              </w:rPr>
            </w:pPr>
            <w:r>
              <w:rPr>
                <w:rFonts w:hint="eastAsia"/>
                <w:color w:val="auto"/>
                <w:sz w:val="21"/>
                <w:szCs w:val="21"/>
              </w:rPr>
              <w:t>62.9</w:t>
            </w:r>
          </w:p>
        </w:tc>
        <w:tc>
          <w:tcPr>
            <w:tcW w:w="685" w:type="dxa"/>
            <w:vAlign w:val="center"/>
          </w:tcPr>
          <w:p>
            <w:pPr>
              <w:jc w:val="center"/>
              <w:rPr>
                <w:color w:val="auto"/>
                <w:sz w:val="21"/>
                <w:szCs w:val="21"/>
              </w:rPr>
            </w:pPr>
            <w:r>
              <w:rPr>
                <w:rFonts w:hint="eastAsia"/>
                <w:color w:val="auto"/>
                <w:sz w:val="21"/>
                <w:szCs w:val="21"/>
              </w:rPr>
              <w:t>56.9</w:t>
            </w:r>
          </w:p>
        </w:tc>
        <w:tc>
          <w:tcPr>
            <w:tcW w:w="601" w:type="dxa"/>
            <w:vAlign w:val="center"/>
          </w:tcPr>
          <w:p>
            <w:pPr>
              <w:jc w:val="center"/>
              <w:rPr>
                <w:color w:val="auto"/>
                <w:sz w:val="21"/>
                <w:szCs w:val="21"/>
              </w:rPr>
            </w:pPr>
            <w:r>
              <w:rPr>
                <w:rFonts w:hint="eastAsia"/>
                <w:color w:val="auto"/>
                <w:sz w:val="21"/>
                <w:szCs w:val="21"/>
              </w:rPr>
              <w:t>53.4</w:t>
            </w:r>
          </w:p>
        </w:tc>
        <w:tc>
          <w:tcPr>
            <w:tcW w:w="706" w:type="dxa"/>
            <w:vAlign w:val="center"/>
          </w:tcPr>
          <w:p>
            <w:pPr>
              <w:jc w:val="center"/>
              <w:rPr>
                <w:color w:val="auto"/>
                <w:sz w:val="21"/>
                <w:szCs w:val="21"/>
              </w:rPr>
            </w:pPr>
            <w:r>
              <w:rPr>
                <w:rFonts w:hint="eastAsia"/>
                <w:color w:val="auto"/>
                <w:sz w:val="21"/>
                <w:szCs w:val="21"/>
              </w:rPr>
              <w:t>50.9</w:t>
            </w:r>
          </w:p>
        </w:tc>
        <w:tc>
          <w:tcPr>
            <w:tcW w:w="707" w:type="dxa"/>
            <w:vAlign w:val="center"/>
          </w:tcPr>
          <w:p>
            <w:pPr>
              <w:jc w:val="center"/>
              <w:rPr>
                <w:color w:val="auto"/>
                <w:sz w:val="21"/>
                <w:szCs w:val="21"/>
              </w:rPr>
            </w:pPr>
            <w:r>
              <w:rPr>
                <w:rFonts w:hint="eastAsia"/>
                <w:color w:val="auto"/>
                <w:sz w:val="21"/>
                <w:szCs w:val="21"/>
              </w:rPr>
              <w:t>49.0</w:t>
            </w:r>
          </w:p>
        </w:tc>
        <w:tc>
          <w:tcPr>
            <w:tcW w:w="706" w:type="dxa"/>
            <w:vAlign w:val="center"/>
          </w:tcPr>
          <w:p>
            <w:pPr>
              <w:jc w:val="center"/>
              <w:rPr>
                <w:color w:val="auto"/>
                <w:sz w:val="21"/>
                <w:szCs w:val="21"/>
              </w:rPr>
            </w:pPr>
            <w:r>
              <w:rPr>
                <w:rFonts w:hint="eastAsia"/>
                <w:color w:val="auto"/>
                <w:sz w:val="21"/>
                <w:szCs w:val="21"/>
              </w:rPr>
              <w:t>45.5</w:t>
            </w:r>
          </w:p>
        </w:tc>
        <w:tc>
          <w:tcPr>
            <w:tcW w:w="774" w:type="dxa"/>
            <w:vAlign w:val="center"/>
          </w:tcPr>
          <w:p>
            <w:pPr>
              <w:jc w:val="center"/>
              <w:rPr>
                <w:color w:val="auto"/>
                <w:sz w:val="21"/>
                <w:szCs w:val="21"/>
              </w:rPr>
            </w:pPr>
            <w:r>
              <w:rPr>
                <w:rFonts w:hint="eastAsia"/>
                <w:color w:val="auto"/>
                <w:sz w:val="21"/>
                <w:szCs w:val="21"/>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电钻</w:t>
            </w:r>
          </w:p>
        </w:tc>
        <w:tc>
          <w:tcPr>
            <w:tcW w:w="844" w:type="dxa"/>
            <w:vAlign w:val="center"/>
          </w:tcPr>
          <w:p>
            <w:pPr>
              <w:jc w:val="center"/>
              <w:rPr>
                <w:color w:val="auto"/>
                <w:sz w:val="21"/>
                <w:szCs w:val="21"/>
              </w:rPr>
            </w:pPr>
            <w:r>
              <w:rPr>
                <w:rFonts w:hint="eastAsia"/>
                <w:color w:val="auto"/>
                <w:sz w:val="21"/>
                <w:szCs w:val="21"/>
              </w:rPr>
              <w:t>96</w:t>
            </w:r>
          </w:p>
        </w:tc>
        <w:tc>
          <w:tcPr>
            <w:tcW w:w="684" w:type="dxa"/>
            <w:vAlign w:val="center"/>
          </w:tcPr>
          <w:p>
            <w:pPr>
              <w:jc w:val="center"/>
              <w:rPr>
                <w:color w:val="auto"/>
                <w:sz w:val="21"/>
                <w:szCs w:val="21"/>
              </w:rPr>
            </w:pPr>
            <w:r>
              <w:rPr>
                <w:rFonts w:hint="eastAsia"/>
                <w:color w:val="auto"/>
                <w:sz w:val="21"/>
                <w:szCs w:val="21"/>
              </w:rPr>
              <w:t>82.0</w:t>
            </w:r>
          </w:p>
        </w:tc>
        <w:tc>
          <w:tcPr>
            <w:tcW w:w="601" w:type="dxa"/>
            <w:vAlign w:val="center"/>
          </w:tcPr>
          <w:p>
            <w:pPr>
              <w:jc w:val="center"/>
              <w:rPr>
                <w:color w:val="auto"/>
                <w:sz w:val="21"/>
                <w:szCs w:val="21"/>
              </w:rPr>
            </w:pPr>
            <w:r>
              <w:rPr>
                <w:rFonts w:hint="eastAsia"/>
                <w:color w:val="auto"/>
                <w:sz w:val="21"/>
                <w:szCs w:val="21"/>
              </w:rPr>
              <w:t>76.0</w:t>
            </w:r>
          </w:p>
        </w:tc>
        <w:tc>
          <w:tcPr>
            <w:tcW w:w="707" w:type="dxa"/>
            <w:vAlign w:val="center"/>
          </w:tcPr>
          <w:p>
            <w:pPr>
              <w:jc w:val="center"/>
              <w:rPr>
                <w:color w:val="auto"/>
                <w:sz w:val="21"/>
                <w:szCs w:val="21"/>
              </w:rPr>
            </w:pPr>
            <w:r>
              <w:rPr>
                <w:rFonts w:hint="eastAsia"/>
                <w:color w:val="auto"/>
                <w:sz w:val="21"/>
                <w:szCs w:val="21"/>
              </w:rPr>
              <w:t>69.9</w:t>
            </w:r>
          </w:p>
        </w:tc>
        <w:tc>
          <w:tcPr>
            <w:tcW w:w="685" w:type="dxa"/>
            <w:vAlign w:val="center"/>
          </w:tcPr>
          <w:p>
            <w:pPr>
              <w:jc w:val="center"/>
              <w:rPr>
                <w:color w:val="auto"/>
                <w:sz w:val="21"/>
                <w:szCs w:val="21"/>
              </w:rPr>
            </w:pPr>
            <w:r>
              <w:rPr>
                <w:rFonts w:hint="eastAsia"/>
                <w:color w:val="auto"/>
                <w:sz w:val="21"/>
                <w:szCs w:val="21"/>
              </w:rPr>
              <w:t>63.9</w:t>
            </w:r>
          </w:p>
        </w:tc>
        <w:tc>
          <w:tcPr>
            <w:tcW w:w="601" w:type="dxa"/>
            <w:vAlign w:val="center"/>
          </w:tcPr>
          <w:p>
            <w:pPr>
              <w:jc w:val="center"/>
              <w:rPr>
                <w:color w:val="auto"/>
                <w:sz w:val="21"/>
                <w:szCs w:val="21"/>
              </w:rPr>
            </w:pPr>
            <w:r>
              <w:rPr>
                <w:rFonts w:hint="eastAsia"/>
                <w:color w:val="auto"/>
                <w:sz w:val="21"/>
                <w:szCs w:val="21"/>
              </w:rPr>
              <w:t>60.4</w:t>
            </w:r>
          </w:p>
        </w:tc>
        <w:tc>
          <w:tcPr>
            <w:tcW w:w="706" w:type="dxa"/>
            <w:vAlign w:val="center"/>
          </w:tcPr>
          <w:p>
            <w:pPr>
              <w:jc w:val="center"/>
              <w:rPr>
                <w:color w:val="auto"/>
                <w:sz w:val="21"/>
                <w:szCs w:val="21"/>
              </w:rPr>
            </w:pPr>
            <w:r>
              <w:rPr>
                <w:rFonts w:hint="eastAsia"/>
                <w:color w:val="auto"/>
                <w:sz w:val="21"/>
                <w:szCs w:val="21"/>
              </w:rPr>
              <w:t>57.9</w:t>
            </w:r>
          </w:p>
        </w:tc>
        <w:tc>
          <w:tcPr>
            <w:tcW w:w="707" w:type="dxa"/>
            <w:vAlign w:val="center"/>
          </w:tcPr>
          <w:p>
            <w:pPr>
              <w:jc w:val="center"/>
              <w:rPr>
                <w:color w:val="auto"/>
                <w:sz w:val="21"/>
                <w:szCs w:val="21"/>
              </w:rPr>
            </w:pPr>
            <w:r>
              <w:rPr>
                <w:rFonts w:hint="eastAsia"/>
                <w:color w:val="auto"/>
                <w:sz w:val="21"/>
                <w:szCs w:val="21"/>
              </w:rPr>
              <w:t>56.0</w:t>
            </w:r>
          </w:p>
        </w:tc>
        <w:tc>
          <w:tcPr>
            <w:tcW w:w="706" w:type="dxa"/>
            <w:vAlign w:val="center"/>
          </w:tcPr>
          <w:p>
            <w:pPr>
              <w:jc w:val="center"/>
              <w:rPr>
                <w:color w:val="auto"/>
                <w:sz w:val="21"/>
                <w:szCs w:val="21"/>
              </w:rPr>
            </w:pPr>
            <w:r>
              <w:rPr>
                <w:rFonts w:hint="eastAsia"/>
                <w:color w:val="auto"/>
                <w:sz w:val="21"/>
                <w:szCs w:val="21"/>
              </w:rPr>
              <w:t>52.4</w:t>
            </w:r>
          </w:p>
        </w:tc>
        <w:tc>
          <w:tcPr>
            <w:tcW w:w="774" w:type="dxa"/>
            <w:vAlign w:val="center"/>
          </w:tcPr>
          <w:p>
            <w:pPr>
              <w:jc w:val="center"/>
              <w:rPr>
                <w:color w:val="auto"/>
                <w:sz w:val="21"/>
                <w:szCs w:val="21"/>
              </w:rPr>
            </w:pPr>
            <w:r>
              <w:rPr>
                <w:rFonts w:hint="eastAsia"/>
                <w:color w:val="auto"/>
                <w:sz w:val="21"/>
                <w:szCs w:val="21"/>
              </w:rPr>
              <w:t>49.9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电锤</w:t>
            </w:r>
          </w:p>
        </w:tc>
        <w:tc>
          <w:tcPr>
            <w:tcW w:w="844" w:type="dxa"/>
            <w:vAlign w:val="center"/>
          </w:tcPr>
          <w:p>
            <w:pPr>
              <w:jc w:val="center"/>
              <w:rPr>
                <w:color w:val="auto"/>
                <w:sz w:val="21"/>
                <w:szCs w:val="21"/>
              </w:rPr>
            </w:pPr>
            <w:r>
              <w:rPr>
                <w:rFonts w:hint="eastAsia"/>
                <w:color w:val="auto"/>
                <w:sz w:val="21"/>
                <w:szCs w:val="21"/>
              </w:rPr>
              <w:t>99</w:t>
            </w:r>
          </w:p>
        </w:tc>
        <w:tc>
          <w:tcPr>
            <w:tcW w:w="684" w:type="dxa"/>
            <w:vAlign w:val="center"/>
          </w:tcPr>
          <w:p>
            <w:pPr>
              <w:jc w:val="center"/>
              <w:rPr>
                <w:color w:val="auto"/>
                <w:sz w:val="21"/>
                <w:szCs w:val="21"/>
              </w:rPr>
            </w:pPr>
            <w:r>
              <w:rPr>
                <w:rFonts w:hint="eastAsia"/>
                <w:color w:val="auto"/>
                <w:sz w:val="21"/>
                <w:szCs w:val="21"/>
              </w:rPr>
              <w:t>85.0</w:t>
            </w:r>
          </w:p>
        </w:tc>
        <w:tc>
          <w:tcPr>
            <w:tcW w:w="601" w:type="dxa"/>
            <w:vAlign w:val="center"/>
          </w:tcPr>
          <w:p>
            <w:pPr>
              <w:jc w:val="center"/>
              <w:rPr>
                <w:color w:val="auto"/>
                <w:sz w:val="21"/>
                <w:szCs w:val="21"/>
              </w:rPr>
            </w:pPr>
            <w:r>
              <w:rPr>
                <w:rFonts w:hint="eastAsia"/>
                <w:color w:val="auto"/>
                <w:sz w:val="21"/>
                <w:szCs w:val="21"/>
              </w:rPr>
              <w:t>79.0</w:t>
            </w:r>
          </w:p>
        </w:tc>
        <w:tc>
          <w:tcPr>
            <w:tcW w:w="707" w:type="dxa"/>
            <w:vAlign w:val="center"/>
          </w:tcPr>
          <w:p>
            <w:pPr>
              <w:jc w:val="center"/>
              <w:rPr>
                <w:color w:val="auto"/>
                <w:sz w:val="21"/>
                <w:szCs w:val="21"/>
              </w:rPr>
            </w:pPr>
            <w:r>
              <w:rPr>
                <w:rFonts w:hint="eastAsia"/>
                <w:color w:val="auto"/>
                <w:sz w:val="21"/>
                <w:szCs w:val="21"/>
              </w:rPr>
              <w:t>72.9</w:t>
            </w:r>
          </w:p>
        </w:tc>
        <w:tc>
          <w:tcPr>
            <w:tcW w:w="685" w:type="dxa"/>
            <w:vAlign w:val="center"/>
          </w:tcPr>
          <w:p>
            <w:pPr>
              <w:jc w:val="center"/>
              <w:rPr>
                <w:color w:val="auto"/>
                <w:sz w:val="21"/>
                <w:szCs w:val="21"/>
              </w:rPr>
            </w:pPr>
            <w:r>
              <w:rPr>
                <w:rFonts w:hint="eastAsia"/>
                <w:color w:val="auto"/>
                <w:sz w:val="21"/>
                <w:szCs w:val="21"/>
              </w:rPr>
              <w:t>66.9</w:t>
            </w:r>
          </w:p>
        </w:tc>
        <w:tc>
          <w:tcPr>
            <w:tcW w:w="601" w:type="dxa"/>
            <w:vAlign w:val="center"/>
          </w:tcPr>
          <w:p>
            <w:pPr>
              <w:jc w:val="center"/>
              <w:rPr>
                <w:color w:val="auto"/>
                <w:sz w:val="21"/>
                <w:szCs w:val="21"/>
              </w:rPr>
            </w:pPr>
            <w:r>
              <w:rPr>
                <w:rFonts w:hint="eastAsia"/>
                <w:color w:val="auto"/>
                <w:sz w:val="21"/>
                <w:szCs w:val="21"/>
              </w:rPr>
              <w:t>63.4</w:t>
            </w:r>
          </w:p>
        </w:tc>
        <w:tc>
          <w:tcPr>
            <w:tcW w:w="706" w:type="dxa"/>
            <w:vAlign w:val="center"/>
          </w:tcPr>
          <w:p>
            <w:pPr>
              <w:jc w:val="center"/>
              <w:rPr>
                <w:color w:val="auto"/>
                <w:sz w:val="21"/>
                <w:szCs w:val="21"/>
              </w:rPr>
            </w:pPr>
            <w:r>
              <w:rPr>
                <w:rFonts w:hint="eastAsia"/>
                <w:color w:val="auto"/>
                <w:sz w:val="21"/>
                <w:szCs w:val="21"/>
              </w:rPr>
              <w:t>60.9</w:t>
            </w:r>
          </w:p>
        </w:tc>
        <w:tc>
          <w:tcPr>
            <w:tcW w:w="707" w:type="dxa"/>
            <w:vAlign w:val="center"/>
          </w:tcPr>
          <w:p>
            <w:pPr>
              <w:jc w:val="center"/>
              <w:rPr>
                <w:color w:val="auto"/>
                <w:sz w:val="21"/>
                <w:szCs w:val="21"/>
              </w:rPr>
            </w:pPr>
            <w:r>
              <w:rPr>
                <w:rFonts w:hint="eastAsia"/>
                <w:color w:val="auto"/>
                <w:sz w:val="21"/>
                <w:szCs w:val="21"/>
              </w:rPr>
              <w:t>59.0</w:t>
            </w:r>
          </w:p>
        </w:tc>
        <w:tc>
          <w:tcPr>
            <w:tcW w:w="706" w:type="dxa"/>
            <w:vAlign w:val="center"/>
          </w:tcPr>
          <w:p>
            <w:pPr>
              <w:jc w:val="center"/>
              <w:rPr>
                <w:color w:val="auto"/>
                <w:sz w:val="21"/>
                <w:szCs w:val="21"/>
              </w:rPr>
            </w:pPr>
            <w:r>
              <w:rPr>
                <w:rFonts w:hint="eastAsia"/>
                <w:color w:val="auto"/>
                <w:sz w:val="21"/>
                <w:szCs w:val="21"/>
              </w:rPr>
              <w:t>55.4</w:t>
            </w:r>
          </w:p>
        </w:tc>
        <w:tc>
          <w:tcPr>
            <w:tcW w:w="774" w:type="dxa"/>
            <w:vAlign w:val="center"/>
          </w:tcPr>
          <w:p>
            <w:pPr>
              <w:jc w:val="center"/>
              <w:rPr>
                <w:color w:val="auto"/>
                <w:sz w:val="21"/>
                <w:szCs w:val="21"/>
              </w:rPr>
            </w:pPr>
            <w:r>
              <w:rPr>
                <w:rFonts w:hint="eastAsia"/>
                <w:color w:val="auto"/>
                <w:sz w:val="21"/>
                <w:szCs w:val="21"/>
              </w:rPr>
              <w:t>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手工钻</w:t>
            </w:r>
          </w:p>
        </w:tc>
        <w:tc>
          <w:tcPr>
            <w:tcW w:w="844" w:type="dxa"/>
            <w:vAlign w:val="center"/>
          </w:tcPr>
          <w:p>
            <w:pPr>
              <w:jc w:val="center"/>
              <w:rPr>
                <w:color w:val="auto"/>
                <w:sz w:val="21"/>
                <w:szCs w:val="21"/>
              </w:rPr>
            </w:pPr>
            <w:r>
              <w:rPr>
                <w:rFonts w:hint="eastAsia"/>
                <w:color w:val="auto"/>
                <w:sz w:val="21"/>
                <w:szCs w:val="21"/>
              </w:rPr>
              <w:t>89</w:t>
            </w:r>
          </w:p>
        </w:tc>
        <w:tc>
          <w:tcPr>
            <w:tcW w:w="684" w:type="dxa"/>
            <w:vAlign w:val="center"/>
          </w:tcPr>
          <w:p>
            <w:pPr>
              <w:jc w:val="center"/>
              <w:rPr>
                <w:color w:val="auto"/>
                <w:sz w:val="21"/>
                <w:szCs w:val="21"/>
              </w:rPr>
            </w:pPr>
            <w:r>
              <w:rPr>
                <w:rFonts w:hint="eastAsia"/>
                <w:color w:val="auto"/>
                <w:sz w:val="21"/>
                <w:szCs w:val="21"/>
              </w:rPr>
              <w:t>75.0</w:t>
            </w:r>
          </w:p>
        </w:tc>
        <w:tc>
          <w:tcPr>
            <w:tcW w:w="601" w:type="dxa"/>
            <w:vAlign w:val="center"/>
          </w:tcPr>
          <w:p>
            <w:pPr>
              <w:jc w:val="center"/>
              <w:rPr>
                <w:color w:val="auto"/>
                <w:sz w:val="21"/>
                <w:szCs w:val="21"/>
              </w:rPr>
            </w:pPr>
            <w:r>
              <w:rPr>
                <w:rFonts w:hint="eastAsia"/>
                <w:color w:val="auto"/>
                <w:sz w:val="21"/>
                <w:szCs w:val="21"/>
              </w:rPr>
              <w:t>69.0</w:t>
            </w:r>
          </w:p>
        </w:tc>
        <w:tc>
          <w:tcPr>
            <w:tcW w:w="707" w:type="dxa"/>
            <w:vAlign w:val="center"/>
          </w:tcPr>
          <w:p>
            <w:pPr>
              <w:jc w:val="center"/>
              <w:rPr>
                <w:color w:val="auto"/>
                <w:sz w:val="21"/>
                <w:szCs w:val="21"/>
              </w:rPr>
            </w:pPr>
            <w:r>
              <w:rPr>
                <w:rFonts w:hint="eastAsia"/>
                <w:color w:val="auto"/>
                <w:sz w:val="21"/>
                <w:szCs w:val="21"/>
              </w:rPr>
              <w:t>62.9</w:t>
            </w:r>
          </w:p>
        </w:tc>
        <w:tc>
          <w:tcPr>
            <w:tcW w:w="685" w:type="dxa"/>
            <w:vAlign w:val="center"/>
          </w:tcPr>
          <w:p>
            <w:pPr>
              <w:jc w:val="center"/>
              <w:rPr>
                <w:color w:val="auto"/>
                <w:sz w:val="21"/>
                <w:szCs w:val="21"/>
              </w:rPr>
            </w:pPr>
            <w:r>
              <w:rPr>
                <w:rFonts w:hint="eastAsia"/>
                <w:color w:val="auto"/>
                <w:sz w:val="21"/>
                <w:szCs w:val="21"/>
              </w:rPr>
              <w:t>56.9</w:t>
            </w:r>
          </w:p>
        </w:tc>
        <w:tc>
          <w:tcPr>
            <w:tcW w:w="601" w:type="dxa"/>
            <w:vAlign w:val="center"/>
          </w:tcPr>
          <w:p>
            <w:pPr>
              <w:jc w:val="center"/>
              <w:rPr>
                <w:color w:val="auto"/>
                <w:sz w:val="21"/>
                <w:szCs w:val="21"/>
              </w:rPr>
            </w:pPr>
            <w:r>
              <w:rPr>
                <w:rFonts w:hint="eastAsia"/>
                <w:color w:val="auto"/>
                <w:sz w:val="21"/>
                <w:szCs w:val="21"/>
              </w:rPr>
              <w:t>53.4</w:t>
            </w:r>
          </w:p>
        </w:tc>
        <w:tc>
          <w:tcPr>
            <w:tcW w:w="706" w:type="dxa"/>
            <w:vAlign w:val="center"/>
          </w:tcPr>
          <w:p>
            <w:pPr>
              <w:jc w:val="center"/>
              <w:rPr>
                <w:color w:val="auto"/>
                <w:sz w:val="21"/>
                <w:szCs w:val="21"/>
              </w:rPr>
            </w:pPr>
            <w:r>
              <w:rPr>
                <w:rFonts w:hint="eastAsia"/>
                <w:color w:val="auto"/>
                <w:sz w:val="21"/>
                <w:szCs w:val="21"/>
              </w:rPr>
              <w:t>50.9</w:t>
            </w:r>
          </w:p>
        </w:tc>
        <w:tc>
          <w:tcPr>
            <w:tcW w:w="707" w:type="dxa"/>
            <w:vAlign w:val="center"/>
          </w:tcPr>
          <w:p>
            <w:pPr>
              <w:jc w:val="center"/>
              <w:rPr>
                <w:color w:val="auto"/>
                <w:sz w:val="21"/>
                <w:szCs w:val="21"/>
              </w:rPr>
            </w:pPr>
            <w:r>
              <w:rPr>
                <w:rFonts w:hint="eastAsia"/>
                <w:color w:val="auto"/>
                <w:sz w:val="21"/>
                <w:szCs w:val="21"/>
              </w:rPr>
              <w:t>49.0</w:t>
            </w:r>
          </w:p>
        </w:tc>
        <w:tc>
          <w:tcPr>
            <w:tcW w:w="706" w:type="dxa"/>
            <w:vAlign w:val="center"/>
          </w:tcPr>
          <w:p>
            <w:pPr>
              <w:jc w:val="center"/>
              <w:rPr>
                <w:color w:val="auto"/>
                <w:sz w:val="21"/>
                <w:szCs w:val="21"/>
              </w:rPr>
            </w:pPr>
            <w:r>
              <w:rPr>
                <w:rFonts w:hint="eastAsia"/>
                <w:color w:val="auto"/>
                <w:sz w:val="21"/>
                <w:szCs w:val="21"/>
              </w:rPr>
              <w:t>45.5</w:t>
            </w:r>
          </w:p>
        </w:tc>
        <w:tc>
          <w:tcPr>
            <w:tcW w:w="774" w:type="dxa"/>
            <w:vAlign w:val="center"/>
          </w:tcPr>
          <w:p>
            <w:pPr>
              <w:jc w:val="center"/>
              <w:rPr>
                <w:color w:val="auto"/>
                <w:sz w:val="21"/>
                <w:szCs w:val="21"/>
              </w:rPr>
            </w:pPr>
            <w:r>
              <w:rPr>
                <w:rFonts w:hint="eastAsia"/>
                <w:color w:val="auto"/>
                <w:sz w:val="21"/>
                <w:szCs w:val="21"/>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无齿锯</w:t>
            </w:r>
          </w:p>
        </w:tc>
        <w:tc>
          <w:tcPr>
            <w:tcW w:w="844" w:type="dxa"/>
            <w:vAlign w:val="center"/>
          </w:tcPr>
          <w:p>
            <w:pPr>
              <w:jc w:val="center"/>
              <w:rPr>
                <w:color w:val="auto"/>
                <w:sz w:val="21"/>
                <w:szCs w:val="21"/>
              </w:rPr>
            </w:pPr>
            <w:r>
              <w:rPr>
                <w:rFonts w:hint="eastAsia"/>
                <w:color w:val="auto"/>
                <w:sz w:val="21"/>
                <w:szCs w:val="21"/>
              </w:rPr>
              <w:t>85</w:t>
            </w:r>
          </w:p>
        </w:tc>
        <w:tc>
          <w:tcPr>
            <w:tcW w:w="684" w:type="dxa"/>
            <w:vAlign w:val="center"/>
          </w:tcPr>
          <w:p>
            <w:pPr>
              <w:jc w:val="center"/>
              <w:rPr>
                <w:color w:val="auto"/>
                <w:sz w:val="21"/>
                <w:szCs w:val="21"/>
              </w:rPr>
            </w:pPr>
            <w:r>
              <w:rPr>
                <w:rFonts w:hint="eastAsia"/>
                <w:color w:val="auto"/>
                <w:sz w:val="21"/>
                <w:szCs w:val="21"/>
              </w:rPr>
              <w:t>71.0</w:t>
            </w:r>
          </w:p>
        </w:tc>
        <w:tc>
          <w:tcPr>
            <w:tcW w:w="601" w:type="dxa"/>
            <w:vAlign w:val="center"/>
          </w:tcPr>
          <w:p>
            <w:pPr>
              <w:jc w:val="center"/>
              <w:rPr>
                <w:color w:val="auto"/>
                <w:sz w:val="21"/>
                <w:szCs w:val="21"/>
              </w:rPr>
            </w:pPr>
            <w:r>
              <w:rPr>
                <w:rFonts w:hint="eastAsia"/>
                <w:color w:val="auto"/>
                <w:sz w:val="21"/>
                <w:szCs w:val="21"/>
              </w:rPr>
              <w:t>65.0</w:t>
            </w:r>
          </w:p>
        </w:tc>
        <w:tc>
          <w:tcPr>
            <w:tcW w:w="707" w:type="dxa"/>
            <w:vAlign w:val="center"/>
          </w:tcPr>
          <w:p>
            <w:pPr>
              <w:jc w:val="center"/>
              <w:rPr>
                <w:color w:val="auto"/>
                <w:sz w:val="21"/>
                <w:szCs w:val="21"/>
              </w:rPr>
            </w:pPr>
            <w:r>
              <w:rPr>
                <w:rFonts w:hint="eastAsia"/>
                <w:color w:val="auto"/>
                <w:sz w:val="21"/>
                <w:szCs w:val="21"/>
              </w:rPr>
              <w:t>58.9</w:t>
            </w:r>
          </w:p>
        </w:tc>
        <w:tc>
          <w:tcPr>
            <w:tcW w:w="685" w:type="dxa"/>
            <w:vAlign w:val="center"/>
          </w:tcPr>
          <w:p>
            <w:pPr>
              <w:jc w:val="center"/>
              <w:rPr>
                <w:color w:val="auto"/>
                <w:sz w:val="21"/>
                <w:szCs w:val="21"/>
              </w:rPr>
            </w:pPr>
            <w:r>
              <w:rPr>
                <w:rFonts w:hint="eastAsia"/>
                <w:color w:val="auto"/>
                <w:sz w:val="21"/>
                <w:szCs w:val="21"/>
              </w:rPr>
              <w:t>52.9</w:t>
            </w:r>
          </w:p>
        </w:tc>
        <w:tc>
          <w:tcPr>
            <w:tcW w:w="601" w:type="dxa"/>
            <w:vAlign w:val="center"/>
          </w:tcPr>
          <w:p>
            <w:pPr>
              <w:jc w:val="center"/>
              <w:rPr>
                <w:color w:val="auto"/>
                <w:sz w:val="21"/>
                <w:szCs w:val="21"/>
              </w:rPr>
            </w:pPr>
            <w:r>
              <w:rPr>
                <w:rFonts w:hint="eastAsia"/>
                <w:color w:val="auto"/>
                <w:sz w:val="21"/>
                <w:szCs w:val="21"/>
              </w:rPr>
              <w:t>49.4</w:t>
            </w:r>
          </w:p>
        </w:tc>
        <w:tc>
          <w:tcPr>
            <w:tcW w:w="706" w:type="dxa"/>
            <w:vAlign w:val="center"/>
          </w:tcPr>
          <w:p>
            <w:pPr>
              <w:jc w:val="center"/>
              <w:rPr>
                <w:color w:val="auto"/>
                <w:sz w:val="21"/>
                <w:szCs w:val="21"/>
              </w:rPr>
            </w:pPr>
            <w:r>
              <w:rPr>
                <w:rFonts w:hint="eastAsia"/>
                <w:color w:val="auto"/>
                <w:sz w:val="21"/>
                <w:szCs w:val="21"/>
              </w:rPr>
              <w:t>46.9</w:t>
            </w:r>
          </w:p>
        </w:tc>
        <w:tc>
          <w:tcPr>
            <w:tcW w:w="707" w:type="dxa"/>
            <w:vAlign w:val="center"/>
          </w:tcPr>
          <w:p>
            <w:pPr>
              <w:jc w:val="center"/>
              <w:rPr>
                <w:color w:val="auto"/>
                <w:sz w:val="21"/>
                <w:szCs w:val="21"/>
              </w:rPr>
            </w:pPr>
            <w:r>
              <w:rPr>
                <w:rFonts w:hint="eastAsia"/>
                <w:color w:val="auto"/>
                <w:sz w:val="21"/>
                <w:szCs w:val="21"/>
              </w:rPr>
              <w:t>45.0</w:t>
            </w:r>
          </w:p>
        </w:tc>
        <w:tc>
          <w:tcPr>
            <w:tcW w:w="706" w:type="dxa"/>
            <w:vAlign w:val="center"/>
          </w:tcPr>
          <w:p>
            <w:pPr>
              <w:jc w:val="center"/>
              <w:rPr>
                <w:color w:val="auto"/>
                <w:sz w:val="21"/>
                <w:szCs w:val="21"/>
              </w:rPr>
            </w:pPr>
            <w:r>
              <w:rPr>
                <w:rFonts w:hint="eastAsia"/>
                <w:color w:val="auto"/>
                <w:sz w:val="21"/>
                <w:szCs w:val="21"/>
              </w:rPr>
              <w:t>41.5</w:t>
            </w:r>
          </w:p>
        </w:tc>
        <w:tc>
          <w:tcPr>
            <w:tcW w:w="774" w:type="dxa"/>
            <w:vAlign w:val="center"/>
          </w:tcPr>
          <w:p>
            <w:pPr>
              <w:jc w:val="center"/>
              <w:rPr>
                <w:color w:val="auto"/>
                <w:sz w:val="21"/>
                <w:szCs w:val="21"/>
              </w:rPr>
            </w:pPr>
            <w:r>
              <w:rPr>
                <w:rFonts w:hint="eastAsia"/>
                <w:color w:val="auto"/>
                <w:sz w:val="21"/>
                <w:szCs w:val="21"/>
              </w:rPr>
              <w:t>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多功能木工刨</w:t>
            </w:r>
          </w:p>
        </w:tc>
        <w:tc>
          <w:tcPr>
            <w:tcW w:w="844" w:type="dxa"/>
            <w:vAlign w:val="center"/>
          </w:tcPr>
          <w:p>
            <w:pPr>
              <w:jc w:val="center"/>
              <w:rPr>
                <w:color w:val="auto"/>
                <w:sz w:val="21"/>
                <w:szCs w:val="21"/>
              </w:rPr>
            </w:pPr>
            <w:r>
              <w:rPr>
                <w:rFonts w:hint="eastAsia"/>
                <w:color w:val="auto"/>
                <w:sz w:val="21"/>
                <w:szCs w:val="21"/>
              </w:rPr>
              <w:t>85</w:t>
            </w:r>
          </w:p>
        </w:tc>
        <w:tc>
          <w:tcPr>
            <w:tcW w:w="684" w:type="dxa"/>
            <w:vAlign w:val="center"/>
          </w:tcPr>
          <w:p>
            <w:pPr>
              <w:jc w:val="center"/>
              <w:rPr>
                <w:color w:val="auto"/>
                <w:sz w:val="21"/>
                <w:szCs w:val="21"/>
              </w:rPr>
            </w:pPr>
            <w:r>
              <w:rPr>
                <w:rFonts w:hint="eastAsia"/>
                <w:color w:val="auto"/>
                <w:sz w:val="21"/>
                <w:szCs w:val="21"/>
              </w:rPr>
              <w:t>71.0</w:t>
            </w:r>
          </w:p>
        </w:tc>
        <w:tc>
          <w:tcPr>
            <w:tcW w:w="601" w:type="dxa"/>
            <w:vAlign w:val="center"/>
          </w:tcPr>
          <w:p>
            <w:pPr>
              <w:jc w:val="center"/>
              <w:rPr>
                <w:color w:val="auto"/>
                <w:sz w:val="21"/>
                <w:szCs w:val="21"/>
              </w:rPr>
            </w:pPr>
            <w:r>
              <w:rPr>
                <w:rFonts w:hint="eastAsia"/>
                <w:color w:val="auto"/>
                <w:sz w:val="21"/>
                <w:szCs w:val="21"/>
              </w:rPr>
              <w:t>65.0</w:t>
            </w:r>
          </w:p>
        </w:tc>
        <w:tc>
          <w:tcPr>
            <w:tcW w:w="707" w:type="dxa"/>
            <w:vAlign w:val="center"/>
          </w:tcPr>
          <w:p>
            <w:pPr>
              <w:jc w:val="center"/>
              <w:rPr>
                <w:color w:val="auto"/>
                <w:sz w:val="21"/>
                <w:szCs w:val="21"/>
              </w:rPr>
            </w:pPr>
            <w:r>
              <w:rPr>
                <w:rFonts w:hint="eastAsia"/>
                <w:color w:val="auto"/>
                <w:sz w:val="21"/>
                <w:szCs w:val="21"/>
              </w:rPr>
              <w:t>58.9</w:t>
            </w:r>
          </w:p>
        </w:tc>
        <w:tc>
          <w:tcPr>
            <w:tcW w:w="685" w:type="dxa"/>
            <w:vAlign w:val="center"/>
          </w:tcPr>
          <w:p>
            <w:pPr>
              <w:jc w:val="center"/>
              <w:rPr>
                <w:color w:val="auto"/>
                <w:sz w:val="21"/>
                <w:szCs w:val="21"/>
              </w:rPr>
            </w:pPr>
            <w:r>
              <w:rPr>
                <w:rFonts w:hint="eastAsia"/>
                <w:color w:val="auto"/>
                <w:sz w:val="21"/>
                <w:szCs w:val="21"/>
              </w:rPr>
              <w:t>52.9</w:t>
            </w:r>
          </w:p>
        </w:tc>
        <w:tc>
          <w:tcPr>
            <w:tcW w:w="601" w:type="dxa"/>
            <w:vAlign w:val="center"/>
          </w:tcPr>
          <w:p>
            <w:pPr>
              <w:jc w:val="center"/>
              <w:rPr>
                <w:color w:val="auto"/>
                <w:sz w:val="21"/>
                <w:szCs w:val="21"/>
              </w:rPr>
            </w:pPr>
            <w:r>
              <w:rPr>
                <w:rFonts w:hint="eastAsia"/>
                <w:color w:val="auto"/>
                <w:sz w:val="21"/>
                <w:szCs w:val="21"/>
              </w:rPr>
              <w:t>49.4</w:t>
            </w:r>
          </w:p>
        </w:tc>
        <w:tc>
          <w:tcPr>
            <w:tcW w:w="706" w:type="dxa"/>
            <w:vAlign w:val="center"/>
          </w:tcPr>
          <w:p>
            <w:pPr>
              <w:jc w:val="center"/>
              <w:rPr>
                <w:color w:val="auto"/>
                <w:sz w:val="21"/>
                <w:szCs w:val="21"/>
              </w:rPr>
            </w:pPr>
            <w:r>
              <w:rPr>
                <w:rFonts w:hint="eastAsia"/>
                <w:color w:val="auto"/>
                <w:sz w:val="21"/>
                <w:szCs w:val="21"/>
              </w:rPr>
              <w:t>46.9</w:t>
            </w:r>
          </w:p>
        </w:tc>
        <w:tc>
          <w:tcPr>
            <w:tcW w:w="707" w:type="dxa"/>
            <w:vAlign w:val="center"/>
          </w:tcPr>
          <w:p>
            <w:pPr>
              <w:jc w:val="center"/>
              <w:rPr>
                <w:color w:val="auto"/>
                <w:sz w:val="21"/>
                <w:szCs w:val="21"/>
              </w:rPr>
            </w:pPr>
            <w:r>
              <w:rPr>
                <w:rFonts w:hint="eastAsia"/>
                <w:color w:val="auto"/>
                <w:sz w:val="21"/>
                <w:szCs w:val="21"/>
              </w:rPr>
              <w:t>45.0</w:t>
            </w:r>
          </w:p>
        </w:tc>
        <w:tc>
          <w:tcPr>
            <w:tcW w:w="706" w:type="dxa"/>
            <w:vAlign w:val="center"/>
          </w:tcPr>
          <w:p>
            <w:pPr>
              <w:jc w:val="center"/>
              <w:rPr>
                <w:color w:val="auto"/>
                <w:sz w:val="21"/>
                <w:szCs w:val="21"/>
              </w:rPr>
            </w:pPr>
            <w:r>
              <w:rPr>
                <w:rFonts w:hint="eastAsia"/>
                <w:color w:val="auto"/>
                <w:sz w:val="21"/>
                <w:szCs w:val="21"/>
              </w:rPr>
              <w:t>41.5</w:t>
            </w:r>
          </w:p>
        </w:tc>
        <w:tc>
          <w:tcPr>
            <w:tcW w:w="774" w:type="dxa"/>
            <w:vAlign w:val="center"/>
          </w:tcPr>
          <w:p>
            <w:pPr>
              <w:jc w:val="center"/>
              <w:rPr>
                <w:color w:val="auto"/>
                <w:sz w:val="21"/>
                <w:szCs w:val="21"/>
              </w:rPr>
            </w:pPr>
            <w:r>
              <w:rPr>
                <w:rFonts w:hint="eastAsia"/>
                <w:color w:val="auto"/>
                <w:sz w:val="21"/>
                <w:szCs w:val="21"/>
              </w:rPr>
              <w:t>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7" w:type="dxa"/>
            <w:vAlign w:val="center"/>
          </w:tcPr>
          <w:p>
            <w:pPr>
              <w:jc w:val="center"/>
              <w:rPr>
                <w:color w:val="auto"/>
                <w:sz w:val="21"/>
                <w:szCs w:val="21"/>
              </w:rPr>
            </w:pPr>
            <w:r>
              <w:rPr>
                <w:rFonts w:hint="eastAsia"/>
                <w:color w:val="auto"/>
                <w:sz w:val="21"/>
                <w:szCs w:val="21"/>
              </w:rPr>
              <w:t>轻型载重汽车</w:t>
            </w:r>
          </w:p>
        </w:tc>
        <w:tc>
          <w:tcPr>
            <w:tcW w:w="844" w:type="dxa"/>
            <w:vAlign w:val="center"/>
          </w:tcPr>
          <w:p>
            <w:pPr>
              <w:jc w:val="center"/>
              <w:rPr>
                <w:color w:val="auto"/>
                <w:sz w:val="21"/>
                <w:szCs w:val="21"/>
              </w:rPr>
            </w:pPr>
            <w:r>
              <w:rPr>
                <w:rFonts w:hint="eastAsia"/>
                <w:color w:val="auto"/>
                <w:sz w:val="21"/>
                <w:szCs w:val="21"/>
              </w:rPr>
              <w:t>78</w:t>
            </w:r>
          </w:p>
        </w:tc>
        <w:tc>
          <w:tcPr>
            <w:tcW w:w="684" w:type="dxa"/>
            <w:vAlign w:val="center"/>
          </w:tcPr>
          <w:p>
            <w:pPr>
              <w:jc w:val="center"/>
              <w:rPr>
                <w:color w:val="auto"/>
                <w:sz w:val="21"/>
                <w:szCs w:val="21"/>
              </w:rPr>
            </w:pPr>
            <w:r>
              <w:rPr>
                <w:rFonts w:hint="eastAsia"/>
                <w:color w:val="auto"/>
                <w:sz w:val="21"/>
                <w:szCs w:val="21"/>
              </w:rPr>
              <w:t>64.0</w:t>
            </w:r>
          </w:p>
        </w:tc>
        <w:tc>
          <w:tcPr>
            <w:tcW w:w="601" w:type="dxa"/>
            <w:vAlign w:val="center"/>
          </w:tcPr>
          <w:p>
            <w:pPr>
              <w:jc w:val="center"/>
              <w:rPr>
                <w:color w:val="auto"/>
                <w:sz w:val="21"/>
                <w:szCs w:val="21"/>
              </w:rPr>
            </w:pPr>
            <w:r>
              <w:rPr>
                <w:rFonts w:hint="eastAsia"/>
                <w:color w:val="auto"/>
                <w:sz w:val="21"/>
                <w:szCs w:val="21"/>
              </w:rPr>
              <w:t>58.0</w:t>
            </w:r>
          </w:p>
        </w:tc>
        <w:tc>
          <w:tcPr>
            <w:tcW w:w="707" w:type="dxa"/>
            <w:vAlign w:val="center"/>
          </w:tcPr>
          <w:p>
            <w:pPr>
              <w:jc w:val="center"/>
              <w:rPr>
                <w:color w:val="auto"/>
                <w:sz w:val="21"/>
                <w:szCs w:val="21"/>
              </w:rPr>
            </w:pPr>
            <w:r>
              <w:rPr>
                <w:rFonts w:hint="eastAsia"/>
                <w:color w:val="auto"/>
                <w:sz w:val="21"/>
                <w:szCs w:val="21"/>
              </w:rPr>
              <w:t>51.9</w:t>
            </w:r>
          </w:p>
        </w:tc>
        <w:tc>
          <w:tcPr>
            <w:tcW w:w="685" w:type="dxa"/>
            <w:vAlign w:val="center"/>
          </w:tcPr>
          <w:p>
            <w:pPr>
              <w:jc w:val="center"/>
              <w:rPr>
                <w:color w:val="auto"/>
                <w:sz w:val="21"/>
                <w:szCs w:val="21"/>
              </w:rPr>
            </w:pPr>
            <w:r>
              <w:rPr>
                <w:rFonts w:hint="eastAsia"/>
                <w:color w:val="auto"/>
                <w:sz w:val="21"/>
                <w:szCs w:val="21"/>
              </w:rPr>
              <w:t>45.9</w:t>
            </w:r>
          </w:p>
        </w:tc>
        <w:tc>
          <w:tcPr>
            <w:tcW w:w="601" w:type="dxa"/>
            <w:vAlign w:val="center"/>
          </w:tcPr>
          <w:p>
            <w:pPr>
              <w:jc w:val="center"/>
              <w:rPr>
                <w:color w:val="auto"/>
                <w:sz w:val="21"/>
                <w:szCs w:val="21"/>
              </w:rPr>
            </w:pPr>
            <w:r>
              <w:rPr>
                <w:rFonts w:hint="eastAsia"/>
                <w:color w:val="auto"/>
                <w:sz w:val="21"/>
                <w:szCs w:val="21"/>
              </w:rPr>
              <w:t>42.4</w:t>
            </w:r>
          </w:p>
        </w:tc>
        <w:tc>
          <w:tcPr>
            <w:tcW w:w="706" w:type="dxa"/>
            <w:vAlign w:val="center"/>
          </w:tcPr>
          <w:p>
            <w:pPr>
              <w:jc w:val="center"/>
              <w:rPr>
                <w:color w:val="auto"/>
                <w:sz w:val="21"/>
                <w:szCs w:val="21"/>
              </w:rPr>
            </w:pPr>
            <w:r>
              <w:rPr>
                <w:rFonts w:hint="eastAsia"/>
                <w:color w:val="auto"/>
                <w:sz w:val="21"/>
                <w:szCs w:val="21"/>
              </w:rPr>
              <w:t>39.9</w:t>
            </w:r>
          </w:p>
        </w:tc>
        <w:tc>
          <w:tcPr>
            <w:tcW w:w="707" w:type="dxa"/>
            <w:vAlign w:val="center"/>
          </w:tcPr>
          <w:p>
            <w:pPr>
              <w:jc w:val="center"/>
              <w:rPr>
                <w:color w:val="auto"/>
                <w:sz w:val="21"/>
                <w:szCs w:val="21"/>
              </w:rPr>
            </w:pPr>
            <w:r>
              <w:rPr>
                <w:rFonts w:hint="eastAsia"/>
                <w:color w:val="auto"/>
                <w:sz w:val="21"/>
                <w:szCs w:val="21"/>
              </w:rPr>
              <w:t>38.0</w:t>
            </w:r>
          </w:p>
        </w:tc>
        <w:tc>
          <w:tcPr>
            <w:tcW w:w="706" w:type="dxa"/>
            <w:vAlign w:val="center"/>
          </w:tcPr>
          <w:p>
            <w:pPr>
              <w:jc w:val="center"/>
              <w:rPr>
                <w:color w:val="auto"/>
                <w:sz w:val="21"/>
                <w:szCs w:val="21"/>
              </w:rPr>
            </w:pPr>
            <w:r>
              <w:rPr>
                <w:rFonts w:hint="eastAsia"/>
                <w:color w:val="auto"/>
                <w:sz w:val="21"/>
                <w:szCs w:val="21"/>
              </w:rPr>
              <w:t>34.4</w:t>
            </w:r>
          </w:p>
        </w:tc>
        <w:tc>
          <w:tcPr>
            <w:tcW w:w="774" w:type="dxa"/>
            <w:vAlign w:val="center"/>
          </w:tcPr>
          <w:p>
            <w:pPr>
              <w:jc w:val="center"/>
              <w:rPr>
                <w:color w:val="auto"/>
                <w:sz w:val="21"/>
                <w:szCs w:val="21"/>
              </w:rPr>
            </w:pPr>
            <w:r>
              <w:rPr>
                <w:rFonts w:hint="eastAsia"/>
                <w:color w:val="auto"/>
                <w:sz w:val="21"/>
                <w:szCs w:val="21"/>
              </w:rPr>
              <w:t>31.9</w:t>
            </w:r>
          </w:p>
        </w:tc>
      </w:tr>
    </w:tbl>
    <w:p>
      <w:pPr>
        <w:spacing w:line="360" w:lineRule="auto"/>
        <w:ind w:firstLine="480" w:firstLineChars="200"/>
        <w:jc w:val="left"/>
        <w:rPr>
          <w:color w:val="auto"/>
          <w:sz w:val="24"/>
          <w:szCs w:val="24"/>
        </w:rPr>
      </w:pPr>
      <w:r>
        <w:rPr>
          <w:rFonts w:hint="eastAsia"/>
          <w:color w:val="auto"/>
          <w:sz w:val="24"/>
          <w:szCs w:val="24"/>
        </w:rPr>
        <w:t>由上表施工期噪声影响预测结果可看出，昼间施工机械在距离施工场地40m外可以达到《建筑施工场界环境噪声排放标准》（GB12523-2011）标准限值：70dB（A）；夜间在150m 外可基本达到标准限值：55dB（A）。目前，项目区域正在进行拆迁工作，待拆迁完成后，距项目厂界最近的声环境敏感点为项目东南侧115m处的化裕村，由上表数据可知，昼间，施工期噪声在化裕村可达标，对声环境敏感点影响较小；夜间不进行施工活动，不会对声环境敏感点造成影响。</w:t>
      </w:r>
    </w:p>
    <w:p>
      <w:pPr>
        <w:pStyle w:val="4"/>
        <w:rPr>
          <w:color w:val="auto"/>
        </w:rPr>
      </w:pPr>
      <w:bookmarkStart w:id="138" w:name="_Toc26276858"/>
      <w:r>
        <w:rPr>
          <w:rFonts w:hint="eastAsia"/>
          <w:color w:val="auto"/>
        </w:rPr>
        <w:t>5.1.4施工期固体废物影响分析</w:t>
      </w:r>
      <w:bookmarkEnd w:id="138"/>
    </w:p>
    <w:p>
      <w:pPr>
        <w:spacing w:line="360" w:lineRule="auto"/>
        <w:ind w:firstLine="480" w:firstLineChars="200"/>
        <w:rPr>
          <w:color w:val="auto"/>
          <w:sz w:val="24"/>
          <w:szCs w:val="24"/>
        </w:rPr>
      </w:pPr>
      <w:r>
        <w:rPr>
          <w:rFonts w:hint="eastAsia"/>
          <w:color w:val="auto"/>
          <w:sz w:val="24"/>
          <w:szCs w:val="24"/>
        </w:rPr>
        <w:t>施工期间固体废弃物主要为水质净化厂施工产生的建筑垃圾、弃土和施工人员产生的生活垃圾。</w:t>
      </w:r>
    </w:p>
    <w:p>
      <w:pPr>
        <w:spacing w:line="360" w:lineRule="auto"/>
        <w:ind w:firstLine="480" w:firstLineChars="200"/>
        <w:rPr>
          <w:color w:val="auto"/>
          <w:sz w:val="24"/>
          <w:szCs w:val="24"/>
        </w:rPr>
      </w:pPr>
      <w:r>
        <w:rPr>
          <w:rFonts w:hint="eastAsia"/>
          <w:color w:val="auto"/>
          <w:sz w:val="24"/>
          <w:szCs w:val="24"/>
        </w:rPr>
        <w:t>建筑垃圾、弃土如果无组织堆放、倒弃，遇暴雨冲刷，会造成水土流失，堵塞排水沟。泥浆水直接排入附近地表河流，增加废水的含沙量，造成管网沟堵塞或河床沉积，同时泥浆水还夹带施工场地上的水泥、油污等污染物进入水体，造成水体污染。因此，建设单位应要求施工单位规范处理，首先将建筑垃圾分类，尽量回收其中尚可利用的部分建筑材料，对没有利用价值以及不能回填的废弃物应妥善堆放、及时处理，并运送到环卫部门指定的建筑垃圾堆埋场。对于施工期后期产生的废油漆桶和废涂料桶，建议施工单位设置专门的危废暂存室，由专人负责收集，交有具备资质的危废处理单位妥善处理。难以利用的弃土弃渣运往政府指定地点处理，在回填阶段做好临时防护措施，防止水土流失，临时堆方若不能及时回填，应采用防雨布遮盖，避免扬尘。</w:t>
      </w:r>
    </w:p>
    <w:p>
      <w:pPr>
        <w:spacing w:line="360" w:lineRule="auto"/>
        <w:ind w:firstLine="480" w:firstLineChars="200"/>
        <w:rPr>
          <w:color w:val="auto"/>
          <w:sz w:val="24"/>
          <w:szCs w:val="24"/>
        </w:rPr>
      </w:pPr>
      <w:r>
        <w:rPr>
          <w:rFonts w:hAnsi="宋体"/>
          <w:color w:val="auto"/>
          <w:sz w:val="24"/>
        </w:rPr>
        <w:t>生活垃圾以有机类废物为主，其成分为易拉罐、矿泉水瓶、塑料袋、一次性饭盒、剩余食品等。由于这些生活垃圾的污染物含量很高，如处理不当，不但影响景观、散发臭气、滋生蝇鼠，若管理不善，垃圾在暴雨的冲刷下进入</w:t>
      </w:r>
      <w:r>
        <w:rPr>
          <w:rFonts w:hint="eastAsia" w:hAnsi="宋体"/>
          <w:color w:val="auto"/>
          <w:sz w:val="24"/>
        </w:rPr>
        <w:t>水</w:t>
      </w:r>
      <w:r>
        <w:rPr>
          <w:rFonts w:hAnsi="宋体"/>
          <w:color w:val="auto"/>
          <w:sz w:val="24"/>
        </w:rPr>
        <w:t>体，还将对其水质产生不良影响。因此，在施工现场，施工单位要设立生活垃圾桶，并向环卫部门提供生活垃圾收集运输和处置费用，环卫部门按照双方签订的合同定期地收集、处置施工现场的生活垃圾。</w:t>
      </w:r>
    </w:p>
    <w:p>
      <w:pPr>
        <w:spacing w:line="360" w:lineRule="auto"/>
        <w:ind w:firstLine="480" w:firstLineChars="200"/>
        <w:rPr>
          <w:color w:val="auto"/>
          <w:sz w:val="24"/>
          <w:szCs w:val="24"/>
        </w:rPr>
      </w:pPr>
      <w:r>
        <w:rPr>
          <w:rFonts w:hint="eastAsia"/>
          <w:color w:val="auto"/>
          <w:sz w:val="24"/>
          <w:szCs w:val="24"/>
        </w:rPr>
        <w:t>综上所述，本项目施工期产生的固体废弃物处置合理，对周边环境影响较小。</w:t>
      </w:r>
    </w:p>
    <w:p>
      <w:pPr>
        <w:pStyle w:val="4"/>
        <w:rPr>
          <w:color w:val="auto"/>
        </w:rPr>
      </w:pPr>
      <w:bookmarkStart w:id="139" w:name="_Toc26276859"/>
      <w:r>
        <w:rPr>
          <w:rFonts w:hint="eastAsia"/>
          <w:color w:val="auto"/>
        </w:rPr>
        <w:t>5.1.5施工期生态环境影响分析</w:t>
      </w:r>
      <w:bookmarkEnd w:id="139"/>
    </w:p>
    <w:p>
      <w:pPr>
        <w:spacing w:line="360" w:lineRule="auto"/>
        <w:ind w:firstLine="482" w:firstLineChars="200"/>
        <w:rPr>
          <w:b/>
          <w:color w:val="auto"/>
          <w:sz w:val="24"/>
        </w:rPr>
      </w:pPr>
      <w:r>
        <w:rPr>
          <w:rFonts w:hint="eastAsia"/>
          <w:b/>
          <w:color w:val="auto"/>
          <w:sz w:val="24"/>
        </w:rPr>
        <w:t>1、</w:t>
      </w:r>
      <w:r>
        <w:rPr>
          <w:rFonts w:hAnsi="宋体"/>
          <w:b/>
          <w:color w:val="auto"/>
          <w:sz w:val="24"/>
        </w:rPr>
        <w:t>对植被和陆生植物的影响分析</w:t>
      </w:r>
    </w:p>
    <w:p>
      <w:pPr>
        <w:spacing w:line="360" w:lineRule="auto"/>
        <w:ind w:firstLine="480" w:firstLineChars="200"/>
        <w:rPr>
          <w:color w:val="auto"/>
          <w:sz w:val="24"/>
        </w:rPr>
      </w:pPr>
      <w:r>
        <w:rPr>
          <w:rFonts w:hAnsi="宋体"/>
          <w:color w:val="auto"/>
          <w:sz w:val="24"/>
        </w:rPr>
        <w:t>本工程为</w:t>
      </w:r>
      <w:r>
        <w:rPr>
          <w:rFonts w:hint="eastAsia" w:hAnsi="宋体"/>
          <w:color w:val="auto"/>
          <w:sz w:val="24"/>
        </w:rPr>
        <w:t>水质净化厂建设</w:t>
      </w:r>
      <w:r>
        <w:rPr>
          <w:rFonts w:hAnsi="宋体"/>
          <w:color w:val="auto"/>
          <w:sz w:val="24"/>
        </w:rPr>
        <w:t>工程，在施工过程中因施工机械的进入，会造成一定宽度的植被破坏区，植被的破坏将导致区域自然生态体系生物量的降低</w:t>
      </w:r>
      <w:r>
        <w:rPr>
          <w:rFonts w:hint="eastAsia" w:hAnsi="宋体"/>
          <w:color w:val="auto"/>
          <w:sz w:val="24"/>
        </w:rPr>
        <w:t>。</w:t>
      </w:r>
      <w:r>
        <w:rPr>
          <w:rFonts w:hAnsi="宋体"/>
          <w:color w:val="auto"/>
          <w:sz w:val="24"/>
        </w:rPr>
        <w:t>根据调查，项目用地范围内分布的植被类型主要为区域性常见的次生植被和人工植被，植物种类</w:t>
      </w:r>
      <w:r>
        <w:rPr>
          <w:rFonts w:hint="eastAsia" w:hAnsi="宋体"/>
          <w:color w:val="auto"/>
          <w:sz w:val="24"/>
        </w:rPr>
        <w:t>中，</w:t>
      </w:r>
      <w:r>
        <w:rPr>
          <w:rFonts w:hAnsi="宋体"/>
          <w:color w:val="auto"/>
          <w:sz w:val="24"/>
        </w:rPr>
        <w:t>未发现珍稀濒危保护物种</w:t>
      </w:r>
      <w:r>
        <w:rPr>
          <w:rFonts w:hint="eastAsia" w:hAnsi="宋体"/>
          <w:color w:val="auto"/>
          <w:sz w:val="24"/>
        </w:rPr>
        <w:t>。</w:t>
      </w:r>
      <w:r>
        <w:rPr>
          <w:rFonts w:hAnsi="宋体"/>
          <w:color w:val="auto"/>
          <w:sz w:val="24"/>
        </w:rPr>
        <w:t>项目施工完成后进行绿化恢复，对整个区域内植被及重要植物资源造成的危害较小。</w:t>
      </w:r>
    </w:p>
    <w:p>
      <w:pPr>
        <w:spacing w:line="360" w:lineRule="auto"/>
        <w:ind w:firstLine="482" w:firstLineChars="200"/>
        <w:rPr>
          <w:b/>
          <w:color w:val="auto"/>
          <w:sz w:val="24"/>
        </w:rPr>
      </w:pPr>
      <w:r>
        <w:rPr>
          <w:rFonts w:hint="eastAsia"/>
          <w:b/>
          <w:color w:val="auto"/>
          <w:sz w:val="24"/>
        </w:rPr>
        <w:t>2、</w:t>
      </w:r>
      <w:r>
        <w:rPr>
          <w:rFonts w:hAnsi="宋体"/>
          <w:b/>
          <w:color w:val="auto"/>
          <w:sz w:val="24"/>
        </w:rPr>
        <w:t>对陆生动物的影响</w:t>
      </w:r>
    </w:p>
    <w:p>
      <w:pPr>
        <w:spacing w:line="360" w:lineRule="auto"/>
        <w:ind w:firstLine="480" w:firstLineChars="200"/>
        <w:rPr>
          <w:color w:val="auto"/>
          <w:sz w:val="24"/>
        </w:rPr>
      </w:pPr>
      <w:r>
        <w:rPr>
          <w:rFonts w:hAnsi="宋体"/>
          <w:color w:val="auto"/>
          <w:sz w:val="24"/>
        </w:rPr>
        <w:t>施工过程造成的植被类型与地形的变化，直接破坏了现有动物的栖息地；同时施工过程中的噪声、空气污染等，不但对用地内的动物造成影响，也将对周边的动物造成一定的影响。</w:t>
      </w:r>
    </w:p>
    <w:p>
      <w:pPr>
        <w:spacing w:line="360" w:lineRule="auto"/>
        <w:ind w:firstLine="480" w:firstLineChars="200"/>
        <w:rPr>
          <w:color w:val="auto"/>
          <w:sz w:val="24"/>
          <w:szCs w:val="24"/>
        </w:rPr>
      </w:pPr>
      <w:r>
        <w:rPr>
          <w:rFonts w:hAnsi="宋体"/>
          <w:color w:val="auto"/>
          <w:sz w:val="24"/>
        </w:rPr>
        <w:t>据调查，项目施工区域内的主要动物种类为城市郊区的常见动物。鸟类主要为常见的城市郊区鸟类；哺乳动物主要为小型的啮齿类动物，未见中大型野生哺乳动物。从区域性的动物资源角度看，该区域的种类绝大部分为</w:t>
      </w:r>
      <w:r>
        <w:rPr>
          <w:rFonts w:hint="eastAsia" w:hAnsi="宋体"/>
          <w:color w:val="auto"/>
          <w:sz w:val="24"/>
        </w:rPr>
        <w:t>河东镇</w:t>
      </w:r>
      <w:r>
        <w:rPr>
          <w:rFonts w:hAnsi="宋体"/>
          <w:color w:val="auto"/>
          <w:sz w:val="24"/>
        </w:rPr>
        <w:t>的常见种类，预计动物在工程进行时，较多种类将迁徙入周边栖息地中；另一方面，施工所造成的噪声、空气、光等污染，在施工结束后也将显著减少乃至因此消失。从区域性的角度看，该项目对整个区域内的动物资源造成的危害较小。</w:t>
      </w:r>
    </w:p>
    <w:p>
      <w:pPr>
        <w:pStyle w:val="3"/>
        <w:rPr>
          <w:color w:val="auto"/>
        </w:rPr>
      </w:pPr>
      <w:bookmarkStart w:id="140" w:name="_Toc26276861"/>
      <w:bookmarkStart w:id="141" w:name="_Toc22264"/>
      <w:r>
        <w:rPr>
          <w:rFonts w:hint="eastAsia"/>
          <w:color w:val="auto"/>
        </w:rPr>
        <w:t>5.2运营期环境影响分析</w:t>
      </w:r>
      <w:bookmarkEnd w:id="140"/>
      <w:bookmarkEnd w:id="141"/>
    </w:p>
    <w:p>
      <w:pPr>
        <w:pStyle w:val="4"/>
        <w:rPr>
          <w:color w:val="auto"/>
        </w:rPr>
      </w:pPr>
      <w:bookmarkStart w:id="142" w:name="_Toc26276862"/>
      <w:r>
        <w:rPr>
          <w:rFonts w:hint="eastAsia"/>
          <w:color w:val="auto"/>
        </w:rPr>
        <w:t>5.2.1运营期大气环境影响分析</w:t>
      </w:r>
      <w:bookmarkEnd w:id="142"/>
    </w:p>
    <w:p>
      <w:pPr>
        <w:pStyle w:val="5"/>
        <w:rPr>
          <w:color w:val="auto"/>
        </w:rPr>
      </w:pPr>
      <w:r>
        <w:rPr>
          <w:rFonts w:hint="eastAsia"/>
          <w:color w:val="auto"/>
        </w:rPr>
        <w:t>5.2.1.1评价区域常规地面气象特征</w:t>
      </w:r>
    </w:p>
    <w:p>
      <w:pPr>
        <w:pStyle w:val="27"/>
        <w:adjustRightInd w:val="0"/>
        <w:snapToGrid w:val="0"/>
        <w:spacing w:after="0" w:line="360" w:lineRule="auto"/>
        <w:ind w:firstLine="482" w:firstLineChars="200"/>
        <w:jc w:val="left"/>
        <w:rPr>
          <w:b/>
          <w:bCs/>
          <w:color w:val="auto"/>
          <w:sz w:val="24"/>
          <w:szCs w:val="24"/>
        </w:rPr>
      </w:pPr>
      <w:r>
        <w:rPr>
          <w:b/>
          <w:bCs/>
          <w:color w:val="auto"/>
          <w:sz w:val="24"/>
          <w:szCs w:val="24"/>
        </w:rPr>
        <w:t>1</w:t>
      </w:r>
      <w:r>
        <w:rPr>
          <w:rFonts w:hAnsi="宋体"/>
          <w:b/>
          <w:bCs/>
          <w:color w:val="auto"/>
          <w:sz w:val="24"/>
          <w:szCs w:val="24"/>
        </w:rPr>
        <w:t>、气象站的代表性分析</w:t>
      </w:r>
    </w:p>
    <w:p>
      <w:pPr>
        <w:adjustRightInd w:val="0"/>
        <w:snapToGrid w:val="0"/>
        <w:spacing w:line="360" w:lineRule="auto"/>
        <w:ind w:firstLine="480" w:firstLineChars="200"/>
        <w:jc w:val="left"/>
        <w:rPr>
          <w:color w:val="auto"/>
          <w:sz w:val="24"/>
          <w:szCs w:val="24"/>
        </w:rPr>
      </w:pPr>
      <w:r>
        <w:rPr>
          <w:color w:val="auto"/>
          <w:sz w:val="24"/>
          <w:szCs w:val="24"/>
        </w:rPr>
        <w:t>本项目位于梅州市五华县河东镇，选址于畲华高速的东侧、油新公园的西南侧，中心坐标为23.934993°,115.836947°。地面污染气象特征采用五华气象站（59303）资料，该气象站位于广东省梅州市，地理坐标为E115.751400，N23.911400，海拔高度135.9米。五华气象站始建于1956年，1956年正式进行气象观测。五华气象站距本项目距离为9km，是距本项目最近的国家气象站，拥有长期的气象观测资料，本评价根据《环境影响评价技术导则 大气环境》（HJ2.2-2018）要求，选用五华气象站1999-2018年气象数据进行统计分析。</w:t>
      </w:r>
    </w:p>
    <w:p>
      <w:pPr>
        <w:pStyle w:val="27"/>
        <w:adjustRightInd w:val="0"/>
        <w:snapToGrid w:val="0"/>
        <w:spacing w:after="0" w:line="360" w:lineRule="auto"/>
        <w:ind w:firstLine="482" w:firstLineChars="200"/>
        <w:jc w:val="left"/>
        <w:rPr>
          <w:b/>
          <w:bCs/>
          <w:color w:val="auto"/>
          <w:sz w:val="24"/>
          <w:szCs w:val="24"/>
        </w:rPr>
      </w:pPr>
      <w:r>
        <w:rPr>
          <w:b/>
          <w:bCs/>
          <w:color w:val="auto"/>
          <w:sz w:val="24"/>
          <w:szCs w:val="24"/>
        </w:rPr>
        <w:t>2</w:t>
      </w:r>
      <w:r>
        <w:rPr>
          <w:rFonts w:hAnsi="宋体"/>
          <w:b/>
          <w:bCs/>
          <w:color w:val="auto"/>
          <w:sz w:val="24"/>
          <w:szCs w:val="24"/>
        </w:rPr>
        <w:t>、长期地面污染气象分析</w:t>
      </w:r>
    </w:p>
    <w:p>
      <w:pPr>
        <w:adjustRightInd w:val="0"/>
        <w:snapToGrid w:val="0"/>
        <w:spacing w:line="360" w:lineRule="auto"/>
        <w:ind w:firstLine="480" w:firstLineChars="200"/>
        <w:jc w:val="left"/>
        <w:rPr>
          <w:color w:val="auto"/>
          <w:sz w:val="24"/>
          <w:szCs w:val="24"/>
        </w:rPr>
      </w:pPr>
      <w:r>
        <w:rPr>
          <w:color w:val="auto"/>
          <w:sz w:val="24"/>
          <w:szCs w:val="24"/>
        </w:rPr>
        <w:t>（1）五华县近20年主要气候统计资料</w:t>
      </w:r>
    </w:p>
    <w:p>
      <w:pPr>
        <w:adjustRightInd w:val="0"/>
        <w:snapToGrid w:val="0"/>
        <w:spacing w:beforeLines="50" w:afterLines="50"/>
        <w:jc w:val="center"/>
        <w:rPr>
          <w:b/>
          <w:color w:val="auto"/>
          <w:sz w:val="24"/>
          <w:szCs w:val="24"/>
        </w:rPr>
      </w:pPr>
      <w:r>
        <w:rPr>
          <w:b/>
          <w:color w:val="auto"/>
          <w:sz w:val="24"/>
          <w:szCs w:val="24"/>
        </w:rPr>
        <w:t>表5-2-1   五华县气象站常规气象项目统计表（1999-2018年）</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268"/>
        <w:gridCol w:w="2126"/>
        <w:gridCol w:w="1559"/>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b/>
                <w:color w:val="auto"/>
                <w:sz w:val="21"/>
                <w:szCs w:val="21"/>
              </w:rPr>
            </w:pPr>
            <w:r>
              <w:rPr>
                <w:b/>
                <w:color w:val="auto"/>
                <w:sz w:val="21"/>
                <w:szCs w:val="21"/>
              </w:rPr>
              <w:t>统计项目</w:t>
            </w:r>
          </w:p>
        </w:tc>
        <w:tc>
          <w:tcPr>
            <w:tcW w:w="2126" w:type="dxa"/>
            <w:vAlign w:val="center"/>
          </w:tcPr>
          <w:p>
            <w:pPr>
              <w:adjustRightInd w:val="0"/>
              <w:snapToGrid w:val="0"/>
              <w:jc w:val="center"/>
              <w:rPr>
                <w:b/>
                <w:color w:val="auto"/>
                <w:sz w:val="21"/>
                <w:szCs w:val="21"/>
              </w:rPr>
            </w:pPr>
            <w:r>
              <w:rPr>
                <w:b/>
                <w:color w:val="auto"/>
                <w:sz w:val="21"/>
                <w:szCs w:val="21"/>
              </w:rPr>
              <w:t>统计值</w:t>
            </w:r>
          </w:p>
        </w:tc>
        <w:tc>
          <w:tcPr>
            <w:tcW w:w="1559" w:type="dxa"/>
            <w:vAlign w:val="center"/>
          </w:tcPr>
          <w:p>
            <w:pPr>
              <w:adjustRightInd w:val="0"/>
              <w:snapToGrid w:val="0"/>
              <w:jc w:val="center"/>
              <w:rPr>
                <w:b/>
                <w:color w:val="auto"/>
                <w:sz w:val="21"/>
                <w:szCs w:val="21"/>
              </w:rPr>
            </w:pPr>
            <w:r>
              <w:rPr>
                <w:b/>
                <w:color w:val="auto"/>
                <w:sz w:val="21"/>
                <w:szCs w:val="21"/>
              </w:rPr>
              <w:t>极值出现时间</w:t>
            </w:r>
          </w:p>
        </w:tc>
        <w:tc>
          <w:tcPr>
            <w:tcW w:w="1043" w:type="dxa"/>
            <w:vAlign w:val="center"/>
          </w:tcPr>
          <w:p>
            <w:pPr>
              <w:adjustRightInd w:val="0"/>
              <w:snapToGrid w:val="0"/>
              <w:jc w:val="center"/>
              <w:rPr>
                <w:b/>
                <w:color w:val="auto"/>
                <w:sz w:val="21"/>
                <w:szCs w:val="21"/>
              </w:rPr>
            </w:pPr>
            <w:r>
              <w:rPr>
                <w:b/>
                <w:color w:val="auto"/>
                <w:sz w:val="21"/>
                <w:szCs w:val="21"/>
              </w:rPr>
              <w:t>极值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多年平均气温（℃）</w:t>
            </w:r>
          </w:p>
        </w:tc>
        <w:tc>
          <w:tcPr>
            <w:tcW w:w="2126" w:type="dxa"/>
            <w:vAlign w:val="center"/>
          </w:tcPr>
          <w:p>
            <w:pPr>
              <w:adjustRightInd w:val="0"/>
              <w:snapToGrid w:val="0"/>
              <w:jc w:val="center"/>
              <w:rPr>
                <w:color w:val="auto"/>
                <w:sz w:val="21"/>
                <w:szCs w:val="21"/>
              </w:rPr>
            </w:pPr>
            <w:r>
              <w:rPr>
                <w:color w:val="auto"/>
                <w:sz w:val="21"/>
                <w:szCs w:val="21"/>
              </w:rPr>
              <w:t>21.7</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累年极端最高气温（℃）</w:t>
            </w:r>
          </w:p>
        </w:tc>
        <w:tc>
          <w:tcPr>
            <w:tcW w:w="2126" w:type="dxa"/>
            <w:vAlign w:val="center"/>
          </w:tcPr>
          <w:p>
            <w:pPr>
              <w:adjustRightInd w:val="0"/>
              <w:snapToGrid w:val="0"/>
              <w:jc w:val="center"/>
              <w:rPr>
                <w:color w:val="auto"/>
                <w:sz w:val="21"/>
                <w:szCs w:val="21"/>
              </w:rPr>
            </w:pPr>
            <w:r>
              <w:rPr>
                <w:color w:val="auto"/>
                <w:sz w:val="21"/>
                <w:szCs w:val="21"/>
              </w:rPr>
              <w:t>37.7</w:t>
            </w:r>
          </w:p>
        </w:tc>
        <w:tc>
          <w:tcPr>
            <w:tcW w:w="1559" w:type="dxa"/>
            <w:vAlign w:val="center"/>
          </w:tcPr>
          <w:p>
            <w:pPr>
              <w:adjustRightInd w:val="0"/>
              <w:snapToGrid w:val="0"/>
              <w:jc w:val="center"/>
              <w:rPr>
                <w:color w:val="auto"/>
                <w:sz w:val="21"/>
                <w:szCs w:val="21"/>
              </w:rPr>
            </w:pPr>
            <w:r>
              <w:rPr>
                <w:color w:val="auto"/>
                <w:sz w:val="21"/>
                <w:szCs w:val="21"/>
              </w:rPr>
              <w:t>2016-07-29</w:t>
            </w:r>
          </w:p>
        </w:tc>
        <w:tc>
          <w:tcPr>
            <w:tcW w:w="1043" w:type="dxa"/>
            <w:vAlign w:val="center"/>
          </w:tcPr>
          <w:p>
            <w:pPr>
              <w:adjustRightInd w:val="0"/>
              <w:snapToGrid w:val="0"/>
              <w:jc w:val="center"/>
              <w:rPr>
                <w:color w:val="auto"/>
                <w:sz w:val="21"/>
                <w:szCs w:val="21"/>
              </w:rPr>
            </w:pPr>
            <w:r>
              <w:rPr>
                <w:color w:val="auto"/>
                <w:sz w:val="21"/>
                <w:szCs w:val="21"/>
              </w:rPr>
              <w:t>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累年极端最低气温（℃）</w:t>
            </w:r>
          </w:p>
        </w:tc>
        <w:tc>
          <w:tcPr>
            <w:tcW w:w="2126" w:type="dxa"/>
            <w:vAlign w:val="center"/>
          </w:tcPr>
          <w:p>
            <w:pPr>
              <w:adjustRightInd w:val="0"/>
              <w:snapToGrid w:val="0"/>
              <w:jc w:val="center"/>
              <w:rPr>
                <w:color w:val="auto"/>
                <w:sz w:val="21"/>
                <w:szCs w:val="21"/>
              </w:rPr>
            </w:pPr>
            <w:r>
              <w:rPr>
                <w:color w:val="auto"/>
                <w:sz w:val="21"/>
                <w:szCs w:val="21"/>
              </w:rPr>
              <w:t>0.9</w:t>
            </w:r>
          </w:p>
        </w:tc>
        <w:tc>
          <w:tcPr>
            <w:tcW w:w="1559" w:type="dxa"/>
            <w:vAlign w:val="center"/>
          </w:tcPr>
          <w:p>
            <w:pPr>
              <w:adjustRightInd w:val="0"/>
              <w:snapToGrid w:val="0"/>
              <w:jc w:val="center"/>
              <w:rPr>
                <w:color w:val="auto"/>
                <w:sz w:val="21"/>
                <w:szCs w:val="21"/>
              </w:rPr>
            </w:pPr>
            <w:r>
              <w:rPr>
                <w:color w:val="auto"/>
                <w:sz w:val="21"/>
                <w:szCs w:val="21"/>
              </w:rPr>
              <w:t>1999-12-23</w:t>
            </w:r>
          </w:p>
        </w:tc>
        <w:tc>
          <w:tcPr>
            <w:tcW w:w="1043" w:type="dxa"/>
            <w:vAlign w:val="center"/>
          </w:tcPr>
          <w:p>
            <w:pPr>
              <w:adjustRightInd w:val="0"/>
              <w:snapToGrid w:val="0"/>
              <w:jc w:val="center"/>
              <w:rPr>
                <w:color w:val="auto"/>
                <w:sz w:val="21"/>
                <w:szCs w:val="21"/>
              </w:rPr>
            </w:pPr>
            <w:r>
              <w:rPr>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多年平均气压（hPa）</w:t>
            </w:r>
          </w:p>
        </w:tc>
        <w:tc>
          <w:tcPr>
            <w:tcW w:w="2126" w:type="dxa"/>
            <w:vAlign w:val="center"/>
          </w:tcPr>
          <w:p>
            <w:pPr>
              <w:adjustRightInd w:val="0"/>
              <w:snapToGrid w:val="0"/>
              <w:jc w:val="center"/>
              <w:rPr>
                <w:color w:val="auto"/>
                <w:sz w:val="21"/>
                <w:szCs w:val="21"/>
              </w:rPr>
            </w:pPr>
            <w:r>
              <w:rPr>
                <w:color w:val="auto"/>
                <w:sz w:val="21"/>
                <w:szCs w:val="21"/>
              </w:rPr>
              <w:t>998.9</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多年平均水汽压（hPa）</w:t>
            </w:r>
          </w:p>
        </w:tc>
        <w:tc>
          <w:tcPr>
            <w:tcW w:w="2126" w:type="dxa"/>
            <w:vAlign w:val="center"/>
          </w:tcPr>
          <w:p>
            <w:pPr>
              <w:adjustRightInd w:val="0"/>
              <w:snapToGrid w:val="0"/>
              <w:jc w:val="center"/>
              <w:rPr>
                <w:color w:val="auto"/>
                <w:sz w:val="21"/>
                <w:szCs w:val="21"/>
              </w:rPr>
            </w:pPr>
            <w:r>
              <w:rPr>
                <w:color w:val="auto"/>
                <w:sz w:val="21"/>
                <w:szCs w:val="21"/>
              </w:rPr>
              <w:t>20.6</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多年平均相对湿度(%)</w:t>
            </w:r>
          </w:p>
        </w:tc>
        <w:tc>
          <w:tcPr>
            <w:tcW w:w="2126" w:type="dxa"/>
            <w:vAlign w:val="center"/>
          </w:tcPr>
          <w:p>
            <w:pPr>
              <w:adjustRightInd w:val="0"/>
              <w:snapToGrid w:val="0"/>
              <w:jc w:val="center"/>
              <w:rPr>
                <w:color w:val="auto"/>
                <w:sz w:val="21"/>
                <w:szCs w:val="21"/>
              </w:rPr>
            </w:pPr>
            <w:r>
              <w:rPr>
                <w:color w:val="auto"/>
                <w:sz w:val="21"/>
                <w:szCs w:val="21"/>
              </w:rPr>
              <w:t>75.5</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多年平均降雨量(mm)</w:t>
            </w:r>
          </w:p>
        </w:tc>
        <w:tc>
          <w:tcPr>
            <w:tcW w:w="2126" w:type="dxa"/>
            <w:vAlign w:val="center"/>
          </w:tcPr>
          <w:p>
            <w:pPr>
              <w:adjustRightInd w:val="0"/>
              <w:snapToGrid w:val="0"/>
              <w:jc w:val="center"/>
              <w:rPr>
                <w:color w:val="auto"/>
                <w:sz w:val="21"/>
                <w:szCs w:val="21"/>
              </w:rPr>
            </w:pPr>
            <w:r>
              <w:rPr>
                <w:color w:val="auto"/>
                <w:sz w:val="21"/>
                <w:szCs w:val="21"/>
              </w:rPr>
              <w:t>1482.6</w:t>
            </w:r>
          </w:p>
        </w:tc>
        <w:tc>
          <w:tcPr>
            <w:tcW w:w="1559" w:type="dxa"/>
            <w:vAlign w:val="center"/>
          </w:tcPr>
          <w:p>
            <w:pPr>
              <w:adjustRightInd w:val="0"/>
              <w:snapToGrid w:val="0"/>
              <w:jc w:val="center"/>
              <w:rPr>
                <w:color w:val="auto"/>
                <w:sz w:val="21"/>
                <w:szCs w:val="21"/>
              </w:rPr>
            </w:pPr>
            <w:r>
              <w:rPr>
                <w:color w:val="auto"/>
                <w:sz w:val="21"/>
                <w:szCs w:val="21"/>
              </w:rPr>
              <w:t>2006-07-26</w:t>
            </w:r>
          </w:p>
        </w:tc>
        <w:tc>
          <w:tcPr>
            <w:tcW w:w="1043" w:type="dxa"/>
            <w:vAlign w:val="center"/>
          </w:tcPr>
          <w:p>
            <w:pPr>
              <w:adjustRightInd w:val="0"/>
              <w:snapToGrid w:val="0"/>
              <w:jc w:val="center"/>
              <w:rPr>
                <w:color w:val="auto"/>
                <w:sz w:val="21"/>
                <w:szCs w:val="21"/>
              </w:rPr>
            </w:pPr>
            <w:r>
              <w:rPr>
                <w:color w:val="auto"/>
                <w:sz w:val="21"/>
                <w:szCs w:val="21"/>
              </w:rPr>
              <w:t>211.0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adjustRightInd w:val="0"/>
              <w:snapToGrid w:val="0"/>
              <w:jc w:val="center"/>
              <w:rPr>
                <w:color w:val="auto"/>
                <w:sz w:val="21"/>
                <w:szCs w:val="21"/>
              </w:rPr>
            </w:pPr>
            <w:r>
              <w:rPr>
                <w:color w:val="auto"/>
                <w:sz w:val="21"/>
                <w:szCs w:val="21"/>
              </w:rPr>
              <w:t>灾害天气统计</w:t>
            </w:r>
          </w:p>
        </w:tc>
        <w:tc>
          <w:tcPr>
            <w:tcW w:w="2268" w:type="dxa"/>
            <w:vAlign w:val="center"/>
          </w:tcPr>
          <w:p>
            <w:pPr>
              <w:adjustRightInd w:val="0"/>
              <w:snapToGrid w:val="0"/>
              <w:jc w:val="center"/>
              <w:rPr>
                <w:color w:val="auto"/>
                <w:sz w:val="21"/>
                <w:szCs w:val="21"/>
              </w:rPr>
            </w:pPr>
            <w:r>
              <w:rPr>
                <w:color w:val="auto"/>
                <w:sz w:val="21"/>
                <w:szCs w:val="21"/>
              </w:rPr>
              <w:t>多年平均沙暴日数(d)</w:t>
            </w:r>
          </w:p>
        </w:tc>
        <w:tc>
          <w:tcPr>
            <w:tcW w:w="2126" w:type="dxa"/>
            <w:vAlign w:val="center"/>
          </w:tcPr>
          <w:p>
            <w:pPr>
              <w:adjustRightInd w:val="0"/>
              <w:snapToGrid w:val="0"/>
              <w:jc w:val="center"/>
              <w:rPr>
                <w:color w:val="auto"/>
                <w:sz w:val="21"/>
                <w:szCs w:val="21"/>
              </w:rPr>
            </w:pPr>
            <w:r>
              <w:rPr>
                <w:color w:val="auto"/>
                <w:sz w:val="21"/>
                <w:szCs w:val="21"/>
              </w:rPr>
              <w:t>0.0</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djustRightInd w:val="0"/>
              <w:snapToGrid w:val="0"/>
              <w:jc w:val="center"/>
              <w:rPr>
                <w:color w:val="auto"/>
                <w:sz w:val="21"/>
                <w:szCs w:val="21"/>
              </w:rPr>
            </w:pPr>
          </w:p>
        </w:tc>
        <w:tc>
          <w:tcPr>
            <w:tcW w:w="2268" w:type="dxa"/>
            <w:vAlign w:val="center"/>
          </w:tcPr>
          <w:p>
            <w:pPr>
              <w:adjustRightInd w:val="0"/>
              <w:snapToGrid w:val="0"/>
              <w:jc w:val="center"/>
              <w:rPr>
                <w:color w:val="auto"/>
                <w:sz w:val="21"/>
                <w:szCs w:val="21"/>
              </w:rPr>
            </w:pPr>
            <w:r>
              <w:rPr>
                <w:color w:val="auto"/>
                <w:sz w:val="21"/>
                <w:szCs w:val="21"/>
              </w:rPr>
              <w:t>多年平均雷暴日数(d)</w:t>
            </w:r>
          </w:p>
        </w:tc>
        <w:tc>
          <w:tcPr>
            <w:tcW w:w="2126" w:type="dxa"/>
            <w:vAlign w:val="center"/>
          </w:tcPr>
          <w:p>
            <w:pPr>
              <w:adjustRightInd w:val="0"/>
              <w:snapToGrid w:val="0"/>
              <w:jc w:val="center"/>
              <w:rPr>
                <w:color w:val="auto"/>
                <w:sz w:val="21"/>
                <w:szCs w:val="21"/>
              </w:rPr>
            </w:pPr>
            <w:r>
              <w:rPr>
                <w:color w:val="auto"/>
                <w:sz w:val="21"/>
                <w:szCs w:val="21"/>
              </w:rPr>
              <w:t>62.2</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djustRightInd w:val="0"/>
              <w:snapToGrid w:val="0"/>
              <w:jc w:val="center"/>
              <w:rPr>
                <w:color w:val="auto"/>
                <w:sz w:val="21"/>
                <w:szCs w:val="21"/>
              </w:rPr>
            </w:pPr>
          </w:p>
        </w:tc>
        <w:tc>
          <w:tcPr>
            <w:tcW w:w="2268" w:type="dxa"/>
            <w:vAlign w:val="center"/>
          </w:tcPr>
          <w:p>
            <w:pPr>
              <w:adjustRightInd w:val="0"/>
              <w:snapToGrid w:val="0"/>
              <w:jc w:val="center"/>
              <w:rPr>
                <w:color w:val="auto"/>
                <w:sz w:val="21"/>
                <w:szCs w:val="21"/>
              </w:rPr>
            </w:pPr>
            <w:r>
              <w:rPr>
                <w:color w:val="auto"/>
                <w:sz w:val="21"/>
                <w:szCs w:val="21"/>
              </w:rPr>
              <w:t>多年平均冰雹日数(d)</w:t>
            </w:r>
          </w:p>
        </w:tc>
        <w:tc>
          <w:tcPr>
            <w:tcW w:w="2126" w:type="dxa"/>
            <w:vAlign w:val="center"/>
          </w:tcPr>
          <w:p>
            <w:pPr>
              <w:adjustRightInd w:val="0"/>
              <w:snapToGrid w:val="0"/>
              <w:jc w:val="center"/>
              <w:rPr>
                <w:color w:val="auto"/>
                <w:sz w:val="21"/>
                <w:szCs w:val="21"/>
              </w:rPr>
            </w:pPr>
            <w:r>
              <w:rPr>
                <w:color w:val="auto"/>
                <w:sz w:val="21"/>
                <w:szCs w:val="21"/>
              </w:rPr>
              <w:t>0.1</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djustRightInd w:val="0"/>
              <w:snapToGrid w:val="0"/>
              <w:jc w:val="center"/>
              <w:rPr>
                <w:color w:val="auto"/>
                <w:sz w:val="21"/>
                <w:szCs w:val="21"/>
              </w:rPr>
            </w:pPr>
          </w:p>
        </w:tc>
        <w:tc>
          <w:tcPr>
            <w:tcW w:w="2268" w:type="dxa"/>
            <w:vAlign w:val="center"/>
          </w:tcPr>
          <w:p>
            <w:pPr>
              <w:adjustRightInd w:val="0"/>
              <w:snapToGrid w:val="0"/>
              <w:jc w:val="center"/>
              <w:rPr>
                <w:color w:val="auto"/>
                <w:sz w:val="21"/>
                <w:szCs w:val="21"/>
              </w:rPr>
            </w:pPr>
            <w:r>
              <w:rPr>
                <w:color w:val="auto"/>
                <w:sz w:val="21"/>
                <w:szCs w:val="21"/>
              </w:rPr>
              <w:t>多年平均大风日数(d)</w:t>
            </w:r>
          </w:p>
        </w:tc>
        <w:tc>
          <w:tcPr>
            <w:tcW w:w="2126" w:type="dxa"/>
            <w:vAlign w:val="center"/>
          </w:tcPr>
          <w:p>
            <w:pPr>
              <w:adjustRightInd w:val="0"/>
              <w:snapToGrid w:val="0"/>
              <w:jc w:val="center"/>
              <w:rPr>
                <w:color w:val="auto"/>
                <w:sz w:val="21"/>
                <w:szCs w:val="21"/>
              </w:rPr>
            </w:pPr>
            <w:r>
              <w:rPr>
                <w:color w:val="auto"/>
                <w:sz w:val="21"/>
                <w:szCs w:val="21"/>
              </w:rPr>
              <w:t>2.0</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多年实测极大风速（m/s）、相应风向</w:t>
            </w:r>
          </w:p>
        </w:tc>
        <w:tc>
          <w:tcPr>
            <w:tcW w:w="2126" w:type="dxa"/>
            <w:vAlign w:val="center"/>
          </w:tcPr>
          <w:p>
            <w:pPr>
              <w:adjustRightInd w:val="0"/>
              <w:snapToGrid w:val="0"/>
              <w:jc w:val="center"/>
              <w:rPr>
                <w:color w:val="auto"/>
                <w:sz w:val="21"/>
                <w:szCs w:val="21"/>
              </w:rPr>
            </w:pPr>
            <w:r>
              <w:rPr>
                <w:color w:val="auto"/>
                <w:sz w:val="21"/>
                <w:szCs w:val="21"/>
              </w:rPr>
              <w:t>21.1</w:t>
            </w:r>
          </w:p>
        </w:tc>
        <w:tc>
          <w:tcPr>
            <w:tcW w:w="1559" w:type="dxa"/>
            <w:vAlign w:val="center"/>
          </w:tcPr>
          <w:p>
            <w:pPr>
              <w:adjustRightInd w:val="0"/>
              <w:snapToGrid w:val="0"/>
              <w:jc w:val="center"/>
              <w:rPr>
                <w:color w:val="auto"/>
                <w:sz w:val="21"/>
                <w:szCs w:val="21"/>
              </w:rPr>
            </w:pPr>
            <w:r>
              <w:rPr>
                <w:color w:val="auto"/>
                <w:sz w:val="21"/>
                <w:szCs w:val="21"/>
              </w:rPr>
              <w:t>2015-04-20</w:t>
            </w:r>
          </w:p>
        </w:tc>
        <w:tc>
          <w:tcPr>
            <w:tcW w:w="1043" w:type="dxa"/>
            <w:vAlign w:val="center"/>
          </w:tcPr>
          <w:p>
            <w:pPr>
              <w:adjustRightInd w:val="0"/>
              <w:snapToGrid w:val="0"/>
              <w:jc w:val="center"/>
              <w:rPr>
                <w:color w:val="auto"/>
                <w:sz w:val="21"/>
                <w:szCs w:val="21"/>
              </w:rPr>
            </w:pPr>
            <w:r>
              <w:rPr>
                <w:color w:val="auto"/>
                <w:sz w:val="21"/>
                <w:szCs w:val="21"/>
              </w:rPr>
              <w:t>29.6 ESE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多年平均风速（m/s）</w:t>
            </w:r>
          </w:p>
        </w:tc>
        <w:tc>
          <w:tcPr>
            <w:tcW w:w="2126" w:type="dxa"/>
            <w:vAlign w:val="center"/>
          </w:tcPr>
          <w:p>
            <w:pPr>
              <w:adjustRightInd w:val="0"/>
              <w:snapToGrid w:val="0"/>
              <w:jc w:val="center"/>
              <w:rPr>
                <w:color w:val="auto"/>
                <w:sz w:val="21"/>
                <w:szCs w:val="21"/>
              </w:rPr>
            </w:pPr>
            <w:r>
              <w:rPr>
                <w:color w:val="auto"/>
                <w:sz w:val="21"/>
                <w:szCs w:val="21"/>
              </w:rPr>
              <w:t>1.8</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gridSpan w:val="2"/>
            <w:vAlign w:val="center"/>
          </w:tcPr>
          <w:p>
            <w:pPr>
              <w:adjustRightInd w:val="0"/>
              <w:snapToGrid w:val="0"/>
              <w:jc w:val="center"/>
              <w:rPr>
                <w:color w:val="auto"/>
                <w:sz w:val="21"/>
                <w:szCs w:val="21"/>
              </w:rPr>
            </w:pPr>
            <w:r>
              <w:rPr>
                <w:color w:val="auto"/>
                <w:sz w:val="21"/>
                <w:szCs w:val="21"/>
              </w:rPr>
              <w:t>多年主导风向、风向频率(%)</w:t>
            </w:r>
          </w:p>
        </w:tc>
        <w:tc>
          <w:tcPr>
            <w:tcW w:w="2126" w:type="dxa"/>
            <w:vAlign w:val="center"/>
          </w:tcPr>
          <w:p>
            <w:pPr>
              <w:adjustRightInd w:val="0"/>
              <w:snapToGrid w:val="0"/>
              <w:jc w:val="center"/>
              <w:rPr>
                <w:color w:val="auto"/>
                <w:sz w:val="21"/>
                <w:szCs w:val="21"/>
              </w:rPr>
            </w:pPr>
            <w:r>
              <w:rPr>
                <w:color w:val="auto"/>
                <w:sz w:val="21"/>
                <w:szCs w:val="21"/>
              </w:rPr>
              <w:t>C11.1</w:t>
            </w:r>
          </w:p>
        </w:tc>
        <w:tc>
          <w:tcPr>
            <w:tcW w:w="1559" w:type="dxa"/>
            <w:vAlign w:val="center"/>
          </w:tcPr>
          <w:p>
            <w:pPr>
              <w:adjustRightInd w:val="0"/>
              <w:snapToGrid w:val="0"/>
              <w:jc w:val="center"/>
              <w:rPr>
                <w:color w:val="auto"/>
                <w:sz w:val="21"/>
                <w:szCs w:val="21"/>
              </w:rPr>
            </w:pPr>
          </w:p>
        </w:tc>
        <w:tc>
          <w:tcPr>
            <w:tcW w:w="1043" w:type="dxa"/>
            <w:vAlign w:val="center"/>
          </w:tcPr>
          <w:p>
            <w:pPr>
              <w:adjustRightInd w:val="0"/>
              <w:snapToGrid w:val="0"/>
              <w:jc w:val="center"/>
              <w:rPr>
                <w:color w:val="auto"/>
                <w:sz w:val="21"/>
                <w:szCs w:val="21"/>
              </w:rPr>
            </w:pPr>
          </w:p>
        </w:tc>
      </w:tr>
    </w:tbl>
    <w:p>
      <w:pPr>
        <w:pStyle w:val="27"/>
        <w:adjustRightInd w:val="0"/>
        <w:snapToGrid w:val="0"/>
        <w:spacing w:after="0" w:line="360" w:lineRule="auto"/>
        <w:ind w:firstLine="480" w:firstLineChars="200"/>
        <w:jc w:val="left"/>
        <w:rPr>
          <w:color w:val="auto"/>
          <w:sz w:val="24"/>
          <w:szCs w:val="24"/>
        </w:rPr>
      </w:pPr>
      <w:r>
        <w:rPr>
          <w:rFonts w:hAnsi="宋体"/>
          <w:color w:val="auto"/>
          <w:sz w:val="24"/>
          <w:szCs w:val="24"/>
        </w:rPr>
        <w:t>（</w:t>
      </w:r>
      <w:r>
        <w:rPr>
          <w:color w:val="auto"/>
          <w:sz w:val="24"/>
          <w:szCs w:val="24"/>
        </w:rPr>
        <w:t>2</w:t>
      </w:r>
      <w:r>
        <w:rPr>
          <w:rFonts w:hAnsi="宋体"/>
          <w:color w:val="auto"/>
          <w:sz w:val="24"/>
          <w:szCs w:val="24"/>
        </w:rPr>
        <w:t>）地面风场特征分析</w:t>
      </w:r>
    </w:p>
    <w:p>
      <w:pPr>
        <w:pStyle w:val="27"/>
        <w:adjustRightInd w:val="0"/>
        <w:snapToGrid w:val="0"/>
        <w:spacing w:after="0" w:line="360" w:lineRule="auto"/>
        <w:ind w:firstLine="480" w:firstLineChars="200"/>
        <w:jc w:val="left"/>
        <w:rPr>
          <w:color w:val="auto"/>
          <w:sz w:val="24"/>
          <w:szCs w:val="24"/>
        </w:rPr>
      </w:pPr>
      <w:r>
        <w:rPr>
          <w:color w:val="auto"/>
          <w:sz w:val="24"/>
          <w:szCs w:val="24"/>
        </w:rPr>
        <w:t>①</w:t>
      </w:r>
      <w:r>
        <w:rPr>
          <w:rFonts w:hAnsi="宋体"/>
          <w:color w:val="auto"/>
          <w:sz w:val="24"/>
          <w:szCs w:val="24"/>
        </w:rPr>
        <w:t>月平均风速</w:t>
      </w:r>
    </w:p>
    <w:p>
      <w:pPr>
        <w:pStyle w:val="27"/>
        <w:adjustRightInd w:val="0"/>
        <w:snapToGrid w:val="0"/>
        <w:spacing w:after="0" w:line="360" w:lineRule="auto"/>
        <w:ind w:firstLine="480" w:firstLineChars="200"/>
        <w:jc w:val="left"/>
        <w:rPr>
          <w:color w:val="auto"/>
          <w:sz w:val="24"/>
          <w:szCs w:val="24"/>
        </w:rPr>
      </w:pPr>
      <w:r>
        <w:rPr>
          <w:rFonts w:hAnsi="宋体"/>
          <w:color w:val="auto"/>
          <w:sz w:val="24"/>
          <w:szCs w:val="24"/>
        </w:rPr>
        <w:t>月平均风速统计见下表，</w:t>
      </w:r>
      <w:r>
        <w:rPr>
          <w:color w:val="auto"/>
          <w:sz w:val="24"/>
          <w:szCs w:val="24"/>
        </w:rPr>
        <w:t>07</w:t>
      </w:r>
      <w:r>
        <w:rPr>
          <w:rFonts w:hAnsi="宋体"/>
          <w:color w:val="auto"/>
          <w:sz w:val="24"/>
          <w:szCs w:val="24"/>
        </w:rPr>
        <w:t>月平均风速最大（</w:t>
      </w:r>
      <w:r>
        <w:rPr>
          <w:color w:val="auto"/>
          <w:sz w:val="24"/>
          <w:szCs w:val="24"/>
        </w:rPr>
        <w:t>2.0</w:t>
      </w:r>
      <w:r>
        <w:rPr>
          <w:rFonts w:hAnsi="宋体"/>
          <w:color w:val="auto"/>
          <w:sz w:val="24"/>
          <w:szCs w:val="24"/>
        </w:rPr>
        <w:t>米</w:t>
      </w:r>
      <w:r>
        <w:rPr>
          <w:color w:val="auto"/>
          <w:sz w:val="24"/>
          <w:szCs w:val="24"/>
        </w:rPr>
        <w:t>/</w:t>
      </w:r>
      <w:r>
        <w:rPr>
          <w:rFonts w:hAnsi="宋体"/>
          <w:color w:val="auto"/>
          <w:sz w:val="24"/>
          <w:szCs w:val="24"/>
        </w:rPr>
        <w:t>秒），</w:t>
      </w:r>
      <w:r>
        <w:rPr>
          <w:color w:val="auto"/>
          <w:sz w:val="24"/>
          <w:szCs w:val="24"/>
        </w:rPr>
        <w:t>11</w:t>
      </w:r>
      <w:r>
        <w:rPr>
          <w:rFonts w:hAnsi="宋体"/>
          <w:color w:val="auto"/>
          <w:sz w:val="24"/>
          <w:szCs w:val="24"/>
        </w:rPr>
        <w:t>月风最小（</w:t>
      </w:r>
      <w:r>
        <w:rPr>
          <w:color w:val="auto"/>
          <w:sz w:val="24"/>
          <w:szCs w:val="24"/>
        </w:rPr>
        <w:t>1.60</w:t>
      </w:r>
      <w:r>
        <w:rPr>
          <w:rFonts w:hAnsi="宋体"/>
          <w:color w:val="auto"/>
          <w:sz w:val="24"/>
          <w:szCs w:val="24"/>
        </w:rPr>
        <w:t>米</w:t>
      </w:r>
      <w:r>
        <w:rPr>
          <w:color w:val="auto"/>
          <w:sz w:val="24"/>
          <w:szCs w:val="24"/>
        </w:rPr>
        <w:t>/</w:t>
      </w:r>
      <w:r>
        <w:rPr>
          <w:rFonts w:hAnsi="宋体"/>
          <w:color w:val="auto"/>
          <w:sz w:val="24"/>
          <w:szCs w:val="24"/>
        </w:rPr>
        <w:t>秒）。</w:t>
      </w:r>
    </w:p>
    <w:p>
      <w:pPr>
        <w:adjustRightInd w:val="0"/>
        <w:snapToGrid w:val="0"/>
        <w:spacing w:beforeLines="50" w:afterLines="50"/>
        <w:jc w:val="center"/>
        <w:rPr>
          <w:b/>
          <w:bCs w:val="0"/>
          <w:color w:val="auto"/>
          <w:sz w:val="24"/>
          <w:szCs w:val="24"/>
        </w:rPr>
      </w:pPr>
      <w:r>
        <w:rPr>
          <w:b/>
          <w:bCs w:val="0"/>
          <w:color w:val="auto"/>
          <w:sz w:val="24"/>
          <w:szCs w:val="24"/>
        </w:rPr>
        <w:t xml:space="preserve">表5-2-2 </w:t>
      </w:r>
      <w:r>
        <w:rPr>
          <w:rFonts w:hAnsi="宋体"/>
          <w:b/>
          <w:bCs w:val="0"/>
          <w:color w:val="auto"/>
          <w:sz w:val="24"/>
          <w:szCs w:val="24"/>
        </w:rPr>
        <w:t>五华气象站月平均风速统计（单位</w:t>
      </w:r>
      <w:r>
        <w:rPr>
          <w:b/>
          <w:bCs w:val="0"/>
          <w:color w:val="auto"/>
          <w:sz w:val="24"/>
          <w:szCs w:val="24"/>
        </w:rPr>
        <w:t>m/s</w:t>
      </w:r>
      <w:r>
        <w:rPr>
          <w:rFonts w:hAnsi="宋体"/>
          <w:b/>
          <w:bCs w:val="0"/>
          <w:color w:val="auto"/>
          <w:sz w:val="24"/>
          <w:szCs w:val="24"/>
        </w:rPr>
        <w:t>）</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76"/>
        <w:gridCol w:w="549"/>
        <w:gridCol w:w="549"/>
        <w:gridCol w:w="550"/>
        <w:gridCol w:w="550"/>
        <w:gridCol w:w="550"/>
        <w:gridCol w:w="550"/>
        <w:gridCol w:w="550"/>
        <w:gridCol w:w="550"/>
        <w:gridCol w:w="550"/>
        <w:gridCol w:w="550"/>
        <w:gridCol w:w="550"/>
        <w:gridCol w:w="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6" w:hRule="atLeast"/>
          <w:jc w:val="center"/>
        </w:trPr>
        <w:tc>
          <w:tcPr>
            <w:tcW w:w="1676" w:type="dxa"/>
            <w:shd w:val="clear" w:color="auto" w:fill="FFFFFF"/>
            <w:vAlign w:val="center"/>
          </w:tcPr>
          <w:p>
            <w:pPr>
              <w:pStyle w:val="81"/>
              <w:rPr>
                <w:rFonts w:cs="Times New Roman"/>
                <w:color w:val="auto"/>
              </w:rPr>
            </w:pPr>
            <w:r>
              <w:rPr>
                <w:rFonts w:cs="Times New Roman"/>
                <w:color w:val="auto"/>
              </w:rPr>
              <w:t>月份</w:t>
            </w:r>
          </w:p>
        </w:tc>
        <w:tc>
          <w:tcPr>
            <w:tcW w:w="549" w:type="dxa"/>
            <w:shd w:val="clear" w:color="auto" w:fill="FFFFFF"/>
            <w:vAlign w:val="center"/>
          </w:tcPr>
          <w:p>
            <w:pPr>
              <w:pStyle w:val="81"/>
              <w:rPr>
                <w:rFonts w:cs="Times New Roman"/>
                <w:color w:val="auto"/>
              </w:rPr>
            </w:pPr>
            <w:r>
              <w:rPr>
                <w:rFonts w:cs="Times New Roman"/>
                <w:color w:val="auto"/>
              </w:rPr>
              <w:t>1</w:t>
            </w:r>
          </w:p>
        </w:tc>
        <w:tc>
          <w:tcPr>
            <w:tcW w:w="549" w:type="dxa"/>
            <w:shd w:val="clear" w:color="auto" w:fill="FFFFFF"/>
            <w:vAlign w:val="center"/>
          </w:tcPr>
          <w:p>
            <w:pPr>
              <w:pStyle w:val="81"/>
              <w:rPr>
                <w:rFonts w:cs="Times New Roman"/>
                <w:color w:val="auto"/>
              </w:rPr>
            </w:pPr>
            <w:r>
              <w:rPr>
                <w:rFonts w:cs="Times New Roman"/>
                <w:color w:val="auto"/>
              </w:rPr>
              <w:t>2</w:t>
            </w:r>
          </w:p>
        </w:tc>
        <w:tc>
          <w:tcPr>
            <w:tcW w:w="550" w:type="dxa"/>
            <w:shd w:val="clear" w:color="auto" w:fill="FFFFFF"/>
            <w:vAlign w:val="center"/>
          </w:tcPr>
          <w:p>
            <w:pPr>
              <w:pStyle w:val="81"/>
              <w:rPr>
                <w:rFonts w:cs="Times New Roman"/>
                <w:color w:val="auto"/>
              </w:rPr>
            </w:pPr>
            <w:r>
              <w:rPr>
                <w:rFonts w:cs="Times New Roman"/>
                <w:color w:val="auto"/>
              </w:rPr>
              <w:t>3</w:t>
            </w:r>
          </w:p>
        </w:tc>
        <w:tc>
          <w:tcPr>
            <w:tcW w:w="550" w:type="dxa"/>
            <w:shd w:val="clear" w:color="auto" w:fill="FFFFFF"/>
            <w:vAlign w:val="center"/>
          </w:tcPr>
          <w:p>
            <w:pPr>
              <w:pStyle w:val="81"/>
              <w:rPr>
                <w:rFonts w:cs="Times New Roman"/>
                <w:color w:val="auto"/>
              </w:rPr>
            </w:pPr>
            <w:r>
              <w:rPr>
                <w:rFonts w:cs="Times New Roman"/>
                <w:color w:val="auto"/>
              </w:rPr>
              <w:t>4</w:t>
            </w:r>
          </w:p>
        </w:tc>
        <w:tc>
          <w:tcPr>
            <w:tcW w:w="550" w:type="dxa"/>
            <w:shd w:val="clear" w:color="auto" w:fill="FFFFFF"/>
            <w:vAlign w:val="center"/>
          </w:tcPr>
          <w:p>
            <w:pPr>
              <w:pStyle w:val="81"/>
              <w:rPr>
                <w:rFonts w:cs="Times New Roman"/>
                <w:color w:val="auto"/>
              </w:rPr>
            </w:pPr>
            <w:r>
              <w:rPr>
                <w:rFonts w:cs="Times New Roman"/>
                <w:color w:val="auto"/>
              </w:rPr>
              <w:t>5</w:t>
            </w:r>
          </w:p>
        </w:tc>
        <w:tc>
          <w:tcPr>
            <w:tcW w:w="550" w:type="dxa"/>
            <w:shd w:val="clear" w:color="auto" w:fill="FFFFFF"/>
            <w:vAlign w:val="center"/>
          </w:tcPr>
          <w:p>
            <w:pPr>
              <w:pStyle w:val="81"/>
              <w:rPr>
                <w:rFonts w:cs="Times New Roman"/>
                <w:color w:val="auto"/>
              </w:rPr>
            </w:pPr>
            <w:r>
              <w:rPr>
                <w:rFonts w:cs="Times New Roman"/>
                <w:color w:val="auto"/>
              </w:rPr>
              <w:t>6</w:t>
            </w:r>
          </w:p>
        </w:tc>
        <w:tc>
          <w:tcPr>
            <w:tcW w:w="550" w:type="dxa"/>
            <w:shd w:val="clear" w:color="auto" w:fill="FFFFFF"/>
            <w:vAlign w:val="center"/>
          </w:tcPr>
          <w:p>
            <w:pPr>
              <w:pStyle w:val="81"/>
              <w:rPr>
                <w:rFonts w:cs="Times New Roman"/>
                <w:color w:val="auto"/>
              </w:rPr>
            </w:pPr>
            <w:r>
              <w:rPr>
                <w:rFonts w:cs="Times New Roman"/>
                <w:color w:val="auto"/>
              </w:rPr>
              <w:t>7</w:t>
            </w:r>
          </w:p>
        </w:tc>
        <w:tc>
          <w:tcPr>
            <w:tcW w:w="550" w:type="dxa"/>
            <w:shd w:val="clear" w:color="auto" w:fill="FFFFFF"/>
            <w:vAlign w:val="center"/>
          </w:tcPr>
          <w:p>
            <w:pPr>
              <w:pStyle w:val="81"/>
              <w:rPr>
                <w:rFonts w:cs="Times New Roman"/>
                <w:color w:val="auto"/>
              </w:rPr>
            </w:pPr>
            <w:r>
              <w:rPr>
                <w:rFonts w:cs="Times New Roman"/>
                <w:color w:val="auto"/>
              </w:rPr>
              <w:t>8</w:t>
            </w:r>
          </w:p>
        </w:tc>
        <w:tc>
          <w:tcPr>
            <w:tcW w:w="550" w:type="dxa"/>
            <w:shd w:val="clear" w:color="auto" w:fill="FFFFFF"/>
            <w:vAlign w:val="center"/>
          </w:tcPr>
          <w:p>
            <w:pPr>
              <w:pStyle w:val="81"/>
              <w:rPr>
                <w:rFonts w:cs="Times New Roman"/>
                <w:color w:val="auto"/>
              </w:rPr>
            </w:pPr>
            <w:r>
              <w:rPr>
                <w:rFonts w:cs="Times New Roman"/>
                <w:color w:val="auto"/>
              </w:rPr>
              <w:t>9</w:t>
            </w:r>
          </w:p>
        </w:tc>
        <w:tc>
          <w:tcPr>
            <w:tcW w:w="550" w:type="dxa"/>
            <w:shd w:val="clear" w:color="auto" w:fill="FFFFFF"/>
            <w:vAlign w:val="center"/>
          </w:tcPr>
          <w:p>
            <w:pPr>
              <w:pStyle w:val="81"/>
              <w:rPr>
                <w:rFonts w:cs="Times New Roman"/>
                <w:color w:val="auto"/>
              </w:rPr>
            </w:pPr>
            <w:r>
              <w:rPr>
                <w:rFonts w:cs="Times New Roman"/>
                <w:color w:val="auto"/>
              </w:rPr>
              <w:t>10</w:t>
            </w:r>
          </w:p>
        </w:tc>
        <w:tc>
          <w:tcPr>
            <w:tcW w:w="550" w:type="dxa"/>
            <w:shd w:val="clear" w:color="auto" w:fill="FFFFFF"/>
            <w:vAlign w:val="center"/>
          </w:tcPr>
          <w:p>
            <w:pPr>
              <w:pStyle w:val="81"/>
              <w:rPr>
                <w:rFonts w:cs="Times New Roman"/>
                <w:color w:val="auto"/>
              </w:rPr>
            </w:pPr>
            <w:r>
              <w:rPr>
                <w:rFonts w:cs="Times New Roman"/>
                <w:color w:val="auto"/>
              </w:rPr>
              <w:t>11</w:t>
            </w:r>
          </w:p>
        </w:tc>
        <w:tc>
          <w:tcPr>
            <w:tcW w:w="536" w:type="dxa"/>
            <w:shd w:val="clear" w:color="auto" w:fill="FFFFFF"/>
            <w:vAlign w:val="center"/>
          </w:tcPr>
          <w:p>
            <w:pPr>
              <w:pStyle w:val="81"/>
              <w:rPr>
                <w:rFonts w:cs="Times New Roman"/>
                <w:color w:val="auto"/>
              </w:rPr>
            </w:pPr>
            <w:r>
              <w:rPr>
                <w:rFonts w:cs="Times New Roman"/>
                <w:color w:val="auto"/>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6" w:hRule="atLeast"/>
          <w:jc w:val="center"/>
        </w:trPr>
        <w:tc>
          <w:tcPr>
            <w:tcW w:w="1676" w:type="dxa"/>
            <w:shd w:val="clear" w:color="auto" w:fill="FFFFFF"/>
            <w:vAlign w:val="center"/>
          </w:tcPr>
          <w:p>
            <w:pPr>
              <w:pStyle w:val="81"/>
              <w:rPr>
                <w:rFonts w:cs="Times New Roman"/>
                <w:color w:val="auto"/>
              </w:rPr>
            </w:pPr>
            <w:r>
              <w:rPr>
                <w:rFonts w:cs="Times New Roman"/>
                <w:color w:val="auto"/>
              </w:rPr>
              <w:t>平均风速</w:t>
            </w:r>
          </w:p>
        </w:tc>
        <w:tc>
          <w:tcPr>
            <w:tcW w:w="549" w:type="dxa"/>
            <w:shd w:val="clear" w:color="auto" w:fill="FFFFFF"/>
            <w:vAlign w:val="center"/>
          </w:tcPr>
          <w:p>
            <w:pPr>
              <w:pStyle w:val="81"/>
              <w:rPr>
                <w:rFonts w:cs="Times New Roman"/>
                <w:color w:val="auto"/>
              </w:rPr>
            </w:pPr>
            <w:r>
              <w:rPr>
                <w:rFonts w:cs="Times New Roman"/>
                <w:color w:val="auto"/>
              </w:rPr>
              <w:t>1.6</w:t>
            </w:r>
          </w:p>
        </w:tc>
        <w:tc>
          <w:tcPr>
            <w:tcW w:w="549" w:type="dxa"/>
            <w:shd w:val="clear" w:color="auto" w:fill="FFFFFF"/>
            <w:vAlign w:val="center"/>
          </w:tcPr>
          <w:p>
            <w:pPr>
              <w:pStyle w:val="81"/>
              <w:rPr>
                <w:rFonts w:cs="Times New Roman"/>
                <w:color w:val="auto"/>
              </w:rPr>
            </w:pPr>
            <w:r>
              <w:rPr>
                <w:rFonts w:cs="Times New Roman"/>
                <w:color w:val="auto"/>
              </w:rPr>
              <w:t>1.7</w:t>
            </w:r>
          </w:p>
        </w:tc>
        <w:tc>
          <w:tcPr>
            <w:tcW w:w="550" w:type="dxa"/>
            <w:shd w:val="clear" w:color="auto" w:fill="FFFFFF"/>
            <w:vAlign w:val="center"/>
          </w:tcPr>
          <w:p>
            <w:pPr>
              <w:pStyle w:val="81"/>
              <w:rPr>
                <w:rFonts w:cs="Times New Roman"/>
                <w:color w:val="auto"/>
              </w:rPr>
            </w:pPr>
            <w:r>
              <w:rPr>
                <w:rFonts w:cs="Times New Roman"/>
                <w:color w:val="auto"/>
              </w:rPr>
              <w:t>1.8</w:t>
            </w:r>
          </w:p>
        </w:tc>
        <w:tc>
          <w:tcPr>
            <w:tcW w:w="550" w:type="dxa"/>
            <w:shd w:val="clear" w:color="auto" w:fill="FFFFFF"/>
            <w:vAlign w:val="center"/>
          </w:tcPr>
          <w:p>
            <w:pPr>
              <w:pStyle w:val="81"/>
              <w:rPr>
                <w:rFonts w:cs="Times New Roman"/>
                <w:color w:val="auto"/>
              </w:rPr>
            </w:pPr>
            <w:r>
              <w:rPr>
                <w:rFonts w:cs="Times New Roman"/>
                <w:color w:val="auto"/>
              </w:rPr>
              <w:t>1.8</w:t>
            </w:r>
          </w:p>
        </w:tc>
        <w:tc>
          <w:tcPr>
            <w:tcW w:w="550" w:type="dxa"/>
            <w:shd w:val="clear" w:color="auto" w:fill="FFFFFF"/>
            <w:vAlign w:val="center"/>
          </w:tcPr>
          <w:p>
            <w:pPr>
              <w:pStyle w:val="81"/>
              <w:rPr>
                <w:rFonts w:cs="Times New Roman"/>
                <w:color w:val="auto"/>
              </w:rPr>
            </w:pPr>
            <w:r>
              <w:rPr>
                <w:rFonts w:cs="Times New Roman"/>
                <w:color w:val="auto"/>
              </w:rPr>
              <w:t>1.8</w:t>
            </w:r>
          </w:p>
        </w:tc>
        <w:tc>
          <w:tcPr>
            <w:tcW w:w="550" w:type="dxa"/>
            <w:shd w:val="clear" w:color="auto" w:fill="FFFFFF"/>
            <w:vAlign w:val="center"/>
          </w:tcPr>
          <w:p>
            <w:pPr>
              <w:pStyle w:val="81"/>
              <w:rPr>
                <w:rFonts w:cs="Times New Roman"/>
                <w:color w:val="auto"/>
              </w:rPr>
            </w:pPr>
            <w:r>
              <w:rPr>
                <w:rFonts w:cs="Times New Roman"/>
                <w:color w:val="auto"/>
              </w:rPr>
              <w:t>2.0</w:t>
            </w:r>
          </w:p>
        </w:tc>
        <w:tc>
          <w:tcPr>
            <w:tcW w:w="550" w:type="dxa"/>
            <w:shd w:val="clear" w:color="auto" w:fill="FFFFFF"/>
            <w:vAlign w:val="center"/>
          </w:tcPr>
          <w:p>
            <w:pPr>
              <w:pStyle w:val="81"/>
              <w:rPr>
                <w:rFonts w:cs="Times New Roman"/>
                <w:color w:val="auto"/>
              </w:rPr>
            </w:pPr>
            <w:r>
              <w:rPr>
                <w:rFonts w:cs="Times New Roman"/>
                <w:color w:val="auto"/>
              </w:rPr>
              <w:t>2.0</w:t>
            </w:r>
          </w:p>
        </w:tc>
        <w:tc>
          <w:tcPr>
            <w:tcW w:w="550" w:type="dxa"/>
            <w:shd w:val="clear" w:color="auto" w:fill="FFFFFF"/>
            <w:vAlign w:val="center"/>
          </w:tcPr>
          <w:p>
            <w:pPr>
              <w:pStyle w:val="81"/>
              <w:rPr>
                <w:rFonts w:cs="Times New Roman"/>
                <w:color w:val="auto"/>
              </w:rPr>
            </w:pPr>
            <w:r>
              <w:rPr>
                <w:rFonts w:cs="Times New Roman"/>
                <w:color w:val="auto"/>
              </w:rPr>
              <w:t>1.8</w:t>
            </w:r>
          </w:p>
        </w:tc>
        <w:tc>
          <w:tcPr>
            <w:tcW w:w="550" w:type="dxa"/>
            <w:shd w:val="clear" w:color="auto" w:fill="FFFFFF"/>
            <w:vAlign w:val="center"/>
          </w:tcPr>
          <w:p>
            <w:pPr>
              <w:pStyle w:val="81"/>
              <w:rPr>
                <w:rFonts w:cs="Times New Roman"/>
                <w:color w:val="auto"/>
              </w:rPr>
            </w:pPr>
            <w:r>
              <w:rPr>
                <w:rFonts w:cs="Times New Roman"/>
                <w:color w:val="auto"/>
              </w:rPr>
              <w:t>1.7</w:t>
            </w:r>
          </w:p>
        </w:tc>
        <w:tc>
          <w:tcPr>
            <w:tcW w:w="550" w:type="dxa"/>
            <w:shd w:val="clear" w:color="auto" w:fill="FFFFFF"/>
            <w:vAlign w:val="center"/>
          </w:tcPr>
          <w:p>
            <w:pPr>
              <w:pStyle w:val="81"/>
              <w:rPr>
                <w:rFonts w:cs="Times New Roman"/>
                <w:color w:val="auto"/>
              </w:rPr>
            </w:pPr>
            <w:r>
              <w:rPr>
                <w:rFonts w:cs="Times New Roman"/>
                <w:color w:val="auto"/>
              </w:rPr>
              <w:t>1.6</w:t>
            </w:r>
          </w:p>
        </w:tc>
        <w:tc>
          <w:tcPr>
            <w:tcW w:w="550" w:type="dxa"/>
            <w:shd w:val="clear" w:color="auto" w:fill="FFFFFF"/>
            <w:vAlign w:val="center"/>
          </w:tcPr>
          <w:p>
            <w:pPr>
              <w:pStyle w:val="81"/>
              <w:rPr>
                <w:rFonts w:cs="Times New Roman"/>
                <w:color w:val="auto"/>
              </w:rPr>
            </w:pPr>
            <w:r>
              <w:rPr>
                <w:rFonts w:cs="Times New Roman"/>
                <w:color w:val="auto"/>
              </w:rPr>
              <w:t>1.6</w:t>
            </w:r>
          </w:p>
        </w:tc>
        <w:tc>
          <w:tcPr>
            <w:tcW w:w="536" w:type="dxa"/>
            <w:shd w:val="clear" w:color="auto" w:fill="FFFFFF"/>
            <w:vAlign w:val="center"/>
          </w:tcPr>
          <w:p>
            <w:pPr>
              <w:pStyle w:val="81"/>
              <w:rPr>
                <w:rFonts w:cs="Times New Roman"/>
                <w:color w:val="auto"/>
              </w:rPr>
            </w:pPr>
            <w:r>
              <w:rPr>
                <w:rFonts w:cs="Times New Roman"/>
                <w:color w:val="auto"/>
              </w:rPr>
              <w:t>1.7</w:t>
            </w:r>
          </w:p>
        </w:tc>
      </w:tr>
    </w:tbl>
    <w:p>
      <w:pPr>
        <w:pStyle w:val="27"/>
        <w:adjustRightInd w:val="0"/>
        <w:snapToGrid w:val="0"/>
        <w:spacing w:after="0" w:line="360" w:lineRule="auto"/>
        <w:ind w:firstLine="480" w:firstLineChars="200"/>
        <w:jc w:val="left"/>
        <w:rPr>
          <w:color w:val="auto"/>
          <w:sz w:val="24"/>
          <w:szCs w:val="24"/>
        </w:rPr>
      </w:pPr>
      <w:r>
        <w:rPr>
          <w:color w:val="auto"/>
          <w:sz w:val="24"/>
          <w:szCs w:val="24"/>
        </w:rPr>
        <w:t>②</w:t>
      </w:r>
      <w:r>
        <w:rPr>
          <w:rFonts w:hAnsi="宋体"/>
          <w:color w:val="auto"/>
          <w:sz w:val="24"/>
          <w:szCs w:val="24"/>
        </w:rPr>
        <w:t>风向频率</w:t>
      </w:r>
    </w:p>
    <w:p>
      <w:pPr>
        <w:pStyle w:val="27"/>
        <w:adjustRightInd w:val="0"/>
        <w:snapToGrid w:val="0"/>
        <w:spacing w:after="0" w:line="360" w:lineRule="auto"/>
        <w:ind w:firstLine="480" w:firstLineChars="200"/>
        <w:jc w:val="left"/>
        <w:rPr>
          <w:color w:val="auto"/>
          <w:sz w:val="24"/>
          <w:szCs w:val="24"/>
        </w:rPr>
      </w:pPr>
      <w:r>
        <w:rPr>
          <w:rFonts w:hAnsi="宋体"/>
          <w:color w:val="auto"/>
          <w:sz w:val="24"/>
          <w:szCs w:val="24"/>
        </w:rPr>
        <w:t>近</w:t>
      </w:r>
      <w:r>
        <w:rPr>
          <w:color w:val="auto"/>
          <w:sz w:val="24"/>
          <w:szCs w:val="24"/>
        </w:rPr>
        <w:t>20</w:t>
      </w:r>
      <w:r>
        <w:rPr>
          <w:rFonts w:hAnsi="宋体"/>
          <w:color w:val="auto"/>
          <w:sz w:val="24"/>
          <w:szCs w:val="24"/>
        </w:rPr>
        <w:t>年资料分析的风向玫瑰图如</w:t>
      </w:r>
      <w:r>
        <w:rPr>
          <w:rFonts w:hint="eastAsia" w:hAnsi="宋体"/>
          <w:color w:val="auto"/>
          <w:sz w:val="24"/>
          <w:szCs w:val="24"/>
        </w:rPr>
        <w:t>下图</w:t>
      </w:r>
      <w:r>
        <w:rPr>
          <w:rFonts w:hAnsi="宋体"/>
          <w:color w:val="auto"/>
          <w:sz w:val="24"/>
          <w:szCs w:val="24"/>
        </w:rPr>
        <w:t>所示，五华气象站主要风向为</w:t>
      </w:r>
      <w:r>
        <w:rPr>
          <w:color w:val="auto"/>
          <w:sz w:val="24"/>
          <w:szCs w:val="24"/>
        </w:rPr>
        <w:t>C</w:t>
      </w:r>
      <w:r>
        <w:rPr>
          <w:rFonts w:hAnsi="宋体"/>
          <w:color w:val="auto"/>
          <w:sz w:val="24"/>
          <w:szCs w:val="24"/>
        </w:rPr>
        <w:t>和</w:t>
      </w:r>
      <w:r>
        <w:rPr>
          <w:color w:val="auto"/>
          <w:sz w:val="24"/>
          <w:szCs w:val="24"/>
        </w:rPr>
        <w:t>SW</w:t>
      </w:r>
      <w:r>
        <w:rPr>
          <w:rFonts w:hAnsi="宋体"/>
          <w:color w:val="auto"/>
          <w:sz w:val="24"/>
          <w:szCs w:val="24"/>
        </w:rPr>
        <w:t>、</w:t>
      </w:r>
      <w:r>
        <w:rPr>
          <w:color w:val="auto"/>
          <w:sz w:val="24"/>
          <w:szCs w:val="24"/>
        </w:rPr>
        <w:t>NW</w:t>
      </w:r>
      <w:r>
        <w:rPr>
          <w:rFonts w:hAnsi="宋体"/>
          <w:color w:val="auto"/>
          <w:sz w:val="24"/>
          <w:szCs w:val="24"/>
        </w:rPr>
        <w:t>、</w:t>
      </w:r>
      <w:r>
        <w:rPr>
          <w:color w:val="auto"/>
          <w:sz w:val="24"/>
          <w:szCs w:val="24"/>
        </w:rPr>
        <w:t>SSW</w:t>
      </w:r>
      <w:r>
        <w:rPr>
          <w:rFonts w:hAnsi="宋体"/>
          <w:color w:val="auto"/>
          <w:sz w:val="24"/>
          <w:szCs w:val="24"/>
        </w:rPr>
        <w:t>，占</w:t>
      </w:r>
      <w:r>
        <w:rPr>
          <w:color w:val="auto"/>
          <w:sz w:val="24"/>
          <w:szCs w:val="24"/>
        </w:rPr>
        <w:t>36.2</w:t>
      </w:r>
      <w:r>
        <w:rPr>
          <w:rFonts w:hAnsi="宋体"/>
          <w:color w:val="auto"/>
          <w:sz w:val="24"/>
          <w:szCs w:val="24"/>
        </w:rPr>
        <w:t>％，其中以</w:t>
      </w:r>
      <w:r>
        <w:rPr>
          <w:color w:val="auto"/>
          <w:sz w:val="24"/>
          <w:szCs w:val="24"/>
        </w:rPr>
        <w:t>C</w:t>
      </w:r>
      <w:r>
        <w:rPr>
          <w:rFonts w:hAnsi="宋体"/>
          <w:color w:val="auto"/>
          <w:sz w:val="24"/>
          <w:szCs w:val="24"/>
        </w:rPr>
        <w:t>为主风向，占到全年</w:t>
      </w:r>
      <w:r>
        <w:rPr>
          <w:color w:val="auto"/>
          <w:sz w:val="24"/>
          <w:szCs w:val="24"/>
        </w:rPr>
        <w:t>11.1</w:t>
      </w:r>
      <w:r>
        <w:rPr>
          <w:rFonts w:hAnsi="宋体"/>
          <w:color w:val="auto"/>
          <w:sz w:val="24"/>
          <w:szCs w:val="24"/>
        </w:rPr>
        <w:t>％左右。</w:t>
      </w:r>
    </w:p>
    <w:p>
      <w:pPr>
        <w:pStyle w:val="83"/>
        <w:adjustRightInd w:val="0"/>
        <w:snapToGrid w:val="0"/>
        <w:rPr>
          <w:rFonts w:ascii="Times New Roman" w:hAnsi="Times New Roman" w:cs="Times New Roman"/>
          <w:color w:val="auto"/>
        </w:rPr>
      </w:pPr>
      <w:r>
        <w:rPr>
          <w:rFonts w:ascii="Times New Roman" w:hAnsi="Times New Roman" w:cs="Times New Roman"/>
          <w:color w:val="auto"/>
        </w:rPr>
        <w:drawing>
          <wp:inline distT="0" distB="0" distL="0" distR="0">
            <wp:extent cx="1764030" cy="1439545"/>
            <wp:effectExtent l="19050" t="0" r="7411" b="0"/>
            <wp:docPr id="102" name="图片 3" descr="C:\Users\ADMINI~1\AppData\Local\Temp\ksohtml4948\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3" descr="C:\Users\ADMINI~1\AppData\Local\Temp\ksohtml4948\wps1.jpg"/>
                    <pic:cNvPicPr>
                      <a:picLocks noChangeAspect="1" noChangeArrowheads="1"/>
                    </pic:cNvPicPr>
                  </pic:nvPicPr>
                  <pic:blipFill>
                    <a:blip r:embed="rId47" cstate="print"/>
                    <a:srcRect/>
                    <a:stretch>
                      <a:fillRect/>
                    </a:stretch>
                  </pic:blipFill>
                  <pic:spPr>
                    <a:xfrm>
                      <a:off x="0" y="0"/>
                      <a:ext cx="1764239" cy="1440000"/>
                    </a:xfrm>
                    <a:prstGeom prst="rect">
                      <a:avLst/>
                    </a:prstGeom>
                    <a:noFill/>
                    <a:ln w="9525">
                      <a:noFill/>
                      <a:miter lim="800000"/>
                      <a:headEnd/>
                      <a:tailEnd/>
                    </a:ln>
                  </pic:spPr>
                </pic:pic>
              </a:graphicData>
            </a:graphic>
          </wp:inline>
        </w:drawing>
      </w:r>
    </w:p>
    <w:p>
      <w:pPr>
        <w:pStyle w:val="82"/>
        <w:spacing w:beforeLines="50" w:beforeAutospacing="0" w:afterLines="50" w:afterAutospacing="0" w:line="240" w:lineRule="auto"/>
        <w:rPr>
          <w:rFonts w:cs="Times New Roman"/>
          <w:color w:val="auto"/>
        </w:rPr>
      </w:pPr>
      <w:r>
        <w:rPr>
          <w:rFonts w:hAnsi="宋体" w:cs="Times New Roman"/>
          <w:color w:val="auto"/>
        </w:rPr>
        <w:t>图</w:t>
      </w:r>
      <w:r>
        <w:rPr>
          <w:rFonts w:cs="Times New Roman"/>
          <w:color w:val="auto"/>
        </w:rPr>
        <w:t xml:space="preserve">5-2-1   </w:t>
      </w:r>
      <w:r>
        <w:rPr>
          <w:rFonts w:hAnsi="宋体" w:cs="Times New Roman"/>
          <w:color w:val="auto"/>
        </w:rPr>
        <w:t>五华风向玫瑰图（静风频率</w:t>
      </w:r>
      <w:r>
        <w:rPr>
          <w:rFonts w:cs="Times New Roman"/>
          <w:color w:val="auto"/>
        </w:rPr>
        <w:t>11.1%</w:t>
      </w:r>
      <w:r>
        <w:rPr>
          <w:rFonts w:hAnsi="宋体" w:cs="Times New Roman"/>
          <w:color w:val="auto"/>
        </w:rPr>
        <w:t>）</w:t>
      </w:r>
    </w:p>
    <w:p>
      <w:pPr>
        <w:pStyle w:val="27"/>
        <w:adjustRightInd w:val="0"/>
        <w:snapToGrid w:val="0"/>
        <w:spacing w:after="0" w:line="360" w:lineRule="auto"/>
        <w:ind w:firstLine="480" w:firstLineChars="200"/>
        <w:jc w:val="left"/>
        <w:rPr>
          <w:color w:val="auto"/>
          <w:sz w:val="24"/>
          <w:szCs w:val="24"/>
        </w:rPr>
      </w:pPr>
      <w:r>
        <w:rPr>
          <w:rFonts w:hAnsi="宋体"/>
          <w:color w:val="auto"/>
          <w:sz w:val="24"/>
          <w:szCs w:val="24"/>
        </w:rPr>
        <w:t>各月风向频率如下图：</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2"/>
        <w:gridCol w:w="4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55495" cy="1799590"/>
                  <wp:effectExtent l="19050" t="0" r="1766" b="0"/>
                  <wp:docPr id="101" name="图片 4" descr="C:\Users\ADMINI~1\AppData\Local\Temp\ksohtml4948\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4" descr="C:\Users\ADMINI~1\AppData\Local\Temp\ksohtml4948\wps2.jpg"/>
                          <pic:cNvPicPr>
                            <a:picLocks noChangeAspect="1" noChangeArrowheads="1"/>
                          </pic:cNvPicPr>
                        </pic:nvPicPr>
                        <pic:blipFill>
                          <a:blip r:embed="rId48" cstate="print"/>
                          <a:srcRect/>
                          <a:stretch>
                            <a:fillRect/>
                          </a:stretch>
                        </pic:blipFill>
                        <pic:spPr>
                          <a:xfrm>
                            <a:off x="0" y="0"/>
                            <a:ext cx="2055634" cy="1800000"/>
                          </a:xfrm>
                          <a:prstGeom prst="rect">
                            <a:avLst/>
                          </a:prstGeom>
                          <a:noFill/>
                          <a:ln w="9525">
                            <a:noFill/>
                            <a:miter lim="800000"/>
                            <a:headEnd/>
                            <a:tailEnd/>
                          </a:ln>
                        </pic:spPr>
                      </pic:pic>
                    </a:graphicData>
                  </a:graphic>
                </wp:inline>
              </w:drawing>
            </w:r>
          </w:p>
        </w:tc>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46605" cy="1799590"/>
                  <wp:effectExtent l="19050" t="0" r="0" b="0"/>
                  <wp:docPr id="100" name="图片 5" descr="C:\Users\ADMINI~1\AppData\Local\Temp\ksohtml4948\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5" descr="C:\Users\ADMINI~1\AppData\Local\Temp\ksohtml4948\wps3.jpg"/>
                          <pic:cNvPicPr>
                            <a:picLocks noChangeAspect="1" noChangeArrowheads="1"/>
                          </pic:cNvPicPr>
                        </pic:nvPicPr>
                        <pic:blipFill>
                          <a:blip r:embed="rId49" cstate="print"/>
                          <a:srcRect/>
                          <a:stretch>
                            <a:fillRect/>
                          </a:stretch>
                        </pic:blipFill>
                        <pic:spPr>
                          <a:xfrm>
                            <a:off x="0" y="0"/>
                            <a:ext cx="2047183" cy="1800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1</w:t>
            </w:r>
            <w:r>
              <w:rPr>
                <w:rFonts w:hAnsi="宋体"/>
                <w:color w:val="auto"/>
                <w:sz w:val="24"/>
                <w:szCs w:val="24"/>
              </w:rPr>
              <w:t>月静风</w:t>
            </w:r>
            <w:r>
              <w:rPr>
                <w:color w:val="auto"/>
                <w:sz w:val="24"/>
                <w:szCs w:val="24"/>
              </w:rPr>
              <w:t>17.0%</w:t>
            </w:r>
          </w:p>
        </w:tc>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2</w:t>
            </w:r>
            <w:r>
              <w:rPr>
                <w:rFonts w:hAnsi="宋体"/>
                <w:color w:val="auto"/>
                <w:sz w:val="24"/>
                <w:szCs w:val="24"/>
              </w:rPr>
              <w:t>月静风</w:t>
            </w:r>
            <w:r>
              <w:rPr>
                <w:color w:val="auto"/>
                <w:sz w:val="24"/>
                <w:szCs w:val="24"/>
              </w:rPr>
              <w:t>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55495" cy="1799590"/>
                  <wp:effectExtent l="19050" t="0" r="1766" b="0"/>
                  <wp:docPr id="99" name="图片 6" descr="C:\Users\ADMINI~1\AppData\Local\Temp\ksohtml4948\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6" descr="C:\Users\ADMINI~1\AppData\Local\Temp\ksohtml4948\wps4.jpg"/>
                          <pic:cNvPicPr>
                            <a:picLocks noChangeAspect="1" noChangeArrowheads="1"/>
                          </pic:cNvPicPr>
                        </pic:nvPicPr>
                        <pic:blipFill>
                          <a:blip r:embed="rId50" cstate="print"/>
                          <a:srcRect/>
                          <a:stretch>
                            <a:fillRect/>
                          </a:stretch>
                        </pic:blipFill>
                        <pic:spPr>
                          <a:xfrm>
                            <a:off x="0" y="0"/>
                            <a:ext cx="2055634" cy="1800000"/>
                          </a:xfrm>
                          <a:prstGeom prst="rect">
                            <a:avLst/>
                          </a:prstGeom>
                          <a:noFill/>
                          <a:ln w="9525">
                            <a:noFill/>
                            <a:miter lim="800000"/>
                            <a:headEnd/>
                            <a:tailEnd/>
                          </a:ln>
                        </pic:spPr>
                      </pic:pic>
                    </a:graphicData>
                  </a:graphic>
                </wp:inline>
              </w:drawing>
            </w:r>
          </w:p>
        </w:tc>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1976755" cy="1799590"/>
                  <wp:effectExtent l="19050" t="0" r="3946" b="0"/>
                  <wp:docPr id="98" name="图片 7" descr="C:\Users\ADMINI~1\AppData\Local\Temp\ksohtml4948\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7" descr="C:\Users\ADMINI~1\AppData\Local\Temp\ksohtml4948\wps5.jpg"/>
                          <pic:cNvPicPr>
                            <a:picLocks noChangeAspect="1" noChangeArrowheads="1"/>
                          </pic:cNvPicPr>
                        </pic:nvPicPr>
                        <pic:blipFill>
                          <a:blip r:embed="rId51" cstate="print"/>
                          <a:srcRect/>
                          <a:stretch>
                            <a:fillRect/>
                          </a:stretch>
                        </pic:blipFill>
                        <pic:spPr>
                          <a:xfrm>
                            <a:off x="0" y="0"/>
                            <a:ext cx="1977254" cy="1800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3</w:t>
            </w:r>
            <w:r>
              <w:rPr>
                <w:rFonts w:hAnsi="宋体"/>
                <w:color w:val="auto"/>
                <w:sz w:val="24"/>
                <w:szCs w:val="24"/>
              </w:rPr>
              <w:t>月静风</w:t>
            </w:r>
            <w:r>
              <w:rPr>
                <w:color w:val="auto"/>
                <w:sz w:val="24"/>
                <w:szCs w:val="24"/>
              </w:rPr>
              <w:t>11.0%</w:t>
            </w:r>
          </w:p>
        </w:tc>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4</w:t>
            </w:r>
            <w:r>
              <w:rPr>
                <w:rFonts w:hAnsi="宋体"/>
                <w:color w:val="auto"/>
                <w:sz w:val="24"/>
                <w:szCs w:val="24"/>
              </w:rPr>
              <w:t>月静风</w:t>
            </w:r>
            <w:r>
              <w:rPr>
                <w:color w:val="auto"/>
                <w:sz w:val="24"/>
                <w:szCs w:val="24"/>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83435" cy="1799590"/>
                  <wp:effectExtent l="19050" t="0" r="0" b="0"/>
                  <wp:docPr id="97" name="图片 8" descr="C:\Users\ADMINI~1\AppData\Local\Temp\ksohtml4948\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8" descr="C:\Users\ADMINI~1\AppData\Local\Temp\ksohtml4948\wps6.jpg"/>
                          <pic:cNvPicPr>
                            <a:picLocks noChangeAspect="1" noChangeArrowheads="1"/>
                          </pic:cNvPicPr>
                        </pic:nvPicPr>
                        <pic:blipFill>
                          <a:blip r:embed="rId52" cstate="print"/>
                          <a:srcRect/>
                          <a:stretch>
                            <a:fillRect/>
                          </a:stretch>
                        </pic:blipFill>
                        <pic:spPr>
                          <a:xfrm>
                            <a:off x="0" y="0"/>
                            <a:ext cx="2084014" cy="1800000"/>
                          </a:xfrm>
                          <a:prstGeom prst="rect">
                            <a:avLst/>
                          </a:prstGeom>
                          <a:noFill/>
                          <a:ln w="9525">
                            <a:noFill/>
                            <a:miter lim="800000"/>
                            <a:headEnd/>
                            <a:tailEnd/>
                          </a:ln>
                        </pic:spPr>
                      </pic:pic>
                    </a:graphicData>
                  </a:graphic>
                </wp:inline>
              </w:drawing>
            </w:r>
          </w:p>
        </w:tc>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30095" cy="1799590"/>
                  <wp:effectExtent l="19050" t="0" r="8067" b="0"/>
                  <wp:docPr id="96" name="图片 9" descr="C:\Users\ADMINI~1\AppData\Local\Temp\ksohtml4948\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 descr="C:\Users\ADMINI~1\AppData\Local\Temp\ksohtml4948\wps7.jpg"/>
                          <pic:cNvPicPr>
                            <a:picLocks noChangeAspect="1" noChangeArrowheads="1"/>
                          </pic:cNvPicPr>
                        </pic:nvPicPr>
                        <pic:blipFill>
                          <a:blip r:embed="rId53" cstate="print"/>
                          <a:srcRect/>
                          <a:stretch>
                            <a:fillRect/>
                          </a:stretch>
                        </pic:blipFill>
                        <pic:spPr>
                          <a:xfrm>
                            <a:off x="0" y="0"/>
                            <a:ext cx="2030283" cy="1800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5</w:t>
            </w:r>
            <w:r>
              <w:rPr>
                <w:rFonts w:hAnsi="宋体"/>
                <w:color w:val="auto"/>
                <w:sz w:val="24"/>
                <w:szCs w:val="24"/>
              </w:rPr>
              <w:t>月静风</w:t>
            </w:r>
            <w:r>
              <w:rPr>
                <w:color w:val="auto"/>
                <w:sz w:val="24"/>
                <w:szCs w:val="24"/>
              </w:rPr>
              <w:t>8.9%</w:t>
            </w:r>
          </w:p>
        </w:tc>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6</w:t>
            </w:r>
            <w:r>
              <w:rPr>
                <w:rFonts w:hAnsi="宋体"/>
                <w:color w:val="auto"/>
                <w:sz w:val="24"/>
                <w:szCs w:val="24"/>
              </w:rPr>
              <w:t>月静风</w:t>
            </w:r>
            <w:r>
              <w:rPr>
                <w:color w:val="auto"/>
                <w:sz w:val="24"/>
                <w:szCs w:val="24"/>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72005" cy="1799590"/>
                  <wp:effectExtent l="19050" t="0" r="3914" b="0"/>
                  <wp:docPr id="95" name="图片 10" descr="C:\Users\ADMINI~1\AppData\Local\Temp\ksohtml4948\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0" descr="C:\Users\ADMINI~1\AppData\Local\Temp\ksohtml4948\wps8.jpg"/>
                          <pic:cNvPicPr>
                            <a:picLocks noChangeAspect="1" noChangeArrowheads="1"/>
                          </pic:cNvPicPr>
                        </pic:nvPicPr>
                        <pic:blipFill>
                          <a:blip r:embed="rId54" cstate="print"/>
                          <a:srcRect/>
                          <a:stretch>
                            <a:fillRect/>
                          </a:stretch>
                        </pic:blipFill>
                        <pic:spPr>
                          <a:xfrm>
                            <a:off x="0" y="0"/>
                            <a:ext cx="2072536" cy="1800000"/>
                          </a:xfrm>
                          <a:prstGeom prst="rect">
                            <a:avLst/>
                          </a:prstGeom>
                          <a:noFill/>
                          <a:ln w="9525">
                            <a:noFill/>
                            <a:miter lim="800000"/>
                            <a:headEnd/>
                            <a:tailEnd/>
                          </a:ln>
                        </pic:spPr>
                      </pic:pic>
                    </a:graphicData>
                  </a:graphic>
                </wp:inline>
              </w:drawing>
            </w:r>
          </w:p>
        </w:tc>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63115" cy="1799590"/>
                  <wp:effectExtent l="19050" t="0" r="0" b="0"/>
                  <wp:docPr id="94" name="图片 11" descr="C:\Users\ADMINI~1\AppData\Local\Temp\ksohtml4948\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1" descr="C:\Users\ADMINI~1\AppData\Local\Temp\ksohtml4948\wps9.jpg"/>
                          <pic:cNvPicPr>
                            <a:picLocks noChangeAspect="1" noChangeArrowheads="1"/>
                          </pic:cNvPicPr>
                        </pic:nvPicPr>
                        <pic:blipFill>
                          <a:blip r:embed="rId55" cstate="print"/>
                          <a:srcRect/>
                          <a:stretch>
                            <a:fillRect/>
                          </a:stretch>
                        </pic:blipFill>
                        <pic:spPr>
                          <a:xfrm>
                            <a:off x="0" y="0"/>
                            <a:ext cx="2063239" cy="1800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7</w:t>
            </w:r>
            <w:r>
              <w:rPr>
                <w:rFonts w:hAnsi="宋体"/>
                <w:color w:val="auto"/>
                <w:sz w:val="24"/>
                <w:szCs w:val="24"/>
              </w:rPr>
              <w:t>月静风</w:t>
            </w:r>
            <w:r>
              <w:rPr>
                <w:color w:val="auto"/>
                <w:sz w:val="24"/>
                <w:szCs w:val="24"/>
              </w:rPr>
              <w:t>7.7%</w:t>
            </w:r>
          </w:p>
        </w:tc>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8</w:t>
            </w:r>
            <w:r>
              <w:rPr>
                <w:rFonts w:hAnsi="宋体"/>
                <w:color w:val="auto"/>
                <w:sz w:val="24"/>
                <w:szCs w:val="24"/>
              </w:rPr>
              <w:t>月静风</w:t>
            </w:r>
            <w:r>
              <w:rPr>
                <w:color w:val="auto"/>
                <w:sz w:val="24"/>
                <w:szCs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1953895" cy="1799590"/>
                  <wp:effectExtent l="19050" t="0" r="7924" b="0"/>
                  <wp:docPr id="93" name="图片 12" descr="C:\Users\ADMINI~1\AppData\Local\Temp\ksohtml4948\wp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2" descr="C:\Users\ADMINI~1\AppData\Local\Temp\ksohtml4948\wps10.jpg"/>
                          <pic:cNvPicPr>
                            <a:picLocks noChangeAspect="1" noChangeArrowheads="1"/>
                          </pic:cNvPicPr>
                        </pic:nvPicPr>
                        <pic:blipFill>
                          <a:blip r:embed="rId56" cstate="print"/>
                          <a:srcRect/>
                          <a:stretch>
                            <a:fillRect/>
                          </a:stretch>
                        </pic:blipFill>
                        <pic:spPr>
                          <a:xfrm>
                            <a:off x="0" y="0"/>
                            <a:ext cx="1954226" cy="1800000"/>
                          </a:xfrm>
                          <a:prstGeom prst="rect">
                            <a:avLst/>
                          </a:prstGeom>
                          <a:noFill/>
                          <a:ln w="9525">
                            <a:noFill/>
                            <a:miter lim="800000"/>
                            <a:headEnd/>
                            <a:tailEnd/>
                          </a:ln>
                        </pic:spPr>
                      </pic:pic>
                    </a:graphicData>
                  </a:graphic>
                </wp:inline>
              </w:drawing>
            </w:r>
          </w:p>
        </w:tc>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16760" cy="1799590"/>
                  <wp:effectExtent l="19050" t="0" r="2117" b="0"/>
                  <wp:docPr id="92" name="图片 13" descr="C:\Users\ADMINI~1\AppData\Local\Temp\ksohtml4948\wp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3" descr="C:\Users\ADMINI~1\AppData\Local\Temp\ksohtml4948\wps11.jpg"/>
                          <pic:cNvPicPr>
                            <a:picLocks noChangeAspect="1" noChangeArrowheads="1"/>
                          </pic:cNvPicPr>
                        </pic:nvPicPr>
                        <pic:blipFill>
                          <a:blip r:embed="rId57" cstate="print"/>
                          <a:srcRect/>
                          <a:stretch>
                            <a:fillRect/>
                          </a:stretch>
                        </pic:blipFill>
                        <pic:spPr>
                          <a:xfrm>
                            <a:off x="0" y="0"/>
                            <a:ext cx="2017183" cy="1800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9</w:t>
            </w:r>
            <w:r>
              <w:rPr>
                <w:rFonts w:hAnsi="宋体"/>
                <w:color w:val="auto"/>
                <w:sz w:val="24"/>
                <w:szCs w:val="24"/>
              </w:rPr>
              <w:t>月静风</w:t>
            </w:r>
            <w:r>
              <w:rPr>
                <w:color w:val="auto"/>
                <w:sz w:val="24"/>
                <w:szCs w:val="24"/>
              </w:rPr>
              <w:t>8.8%</w:t>
            </w:r>
          </w:p>
        </w:tc>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10</w:t>
            </w:r>
            <w:r>
              <w:rPr>
                <w:rFonts w:hAnsi="宋体"/>
                <w:color w:val="auto"/>
                <w:sz w:val="24"/>
                <w:szCs w:val="24"/>
              </w:rPr>
              <w:t>月静风</w:t>
            </w:r>
            <w:r>
              <w:rPr>
                <w:color w:val="auto"/>
                <w:sz w:val="24"/>
                <w:szCs w:val="24"/>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81530" cy="1799590"/>
                  <wp:effectExtent l="19050" t="0" r="0" b="0"/>
                  <wp:docPr id="91" name="图片 14" descr="C:\Users\ADMINI~1\AppData\Local\Temp\ksohtml4948\wp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4" descr="C:\Users\ADMINI~1\AppData\Local\Temp\ksohtml4948\wps12.jpg"/>
                          <pic:cNvPicPr>
                            <a:picLocks noChangeAspect="1" noChangeArrowheads="1"/>
                          </pic:cNvPicPr>
                        </pic:nvPicPr>
                        <pic:blipFill>
                          <a:blip r:embed="rId58" cstate="print"/>
                          <a:srcRect/>
                          <a:stretch>
                            <a:fillRect/>
                          </a:stretch>
                        </pic:blipFill>
                        <pic:spPr>
                          <a:xfrm>
                            <a:off x="0" y="0"/>
                            <a:ext cx="2081690" cy="1800000"/>
                          </a:xfrm>
                          <a:prstGeom prst="rect">
                            <a:avLst/>
                          </a:prstGeom>
                          <a:noFill/>
                          <a:ln w="9525">
                            <a:noFill/>
                            <a:miter lim="800000"/>
                            <a:headEnd/>
                            <a:tailEnd/>
                          </a:ln>
                        </pic:spPr>
                      </pic:pic>
                    </a:graphicData>
                  </a:graphic>
                </wp:inline>
              </w:drawing>
            </w:r>
          </w:p>
        </w:tc>
        <w:tc>
          <w:tcPr>
            <w:tcW w:w="4212" w:type="dxa"/>
            <w:vAlign w:val="center"/>
          </w:tcPr>
          <w:p>
            <w:pPr>
              <w:pStyle w:val="27"/>
              <w:adjustRightInd w:val="0"/>
              <w:snapToGrid w:val="0"/>
              <w:spacing w:after="0"/>
              <w:ind w:firstLine="0" w:firstLineChars="0"/>
              <w:jc w:val="center"/>
              <w:rPr>
                <w:color w:val="auto"/>
                <w:spacing w:val="-1"/>
                <w:sz w:val="24"/>
                <w:szCs w:val="24"/>
              </w:rPr>
            </w:pPr>
            <w:r>
              <w:rPr>
                <w:color w:val="auto"/>
                <w:sz w:val="24"/>
                <w:szCs w:val="24"/>
              </w:rPr>
              <w:drawing>
                <wp:inline distT="0" distB="0" distL="0" distR="0">
                  <wp:extent cx="2030095" cy="1799590"/>
                  <wp:effectExtent l="19050" t="0" r="8067" b="0"/>
                  <wp:docPr id="90" name="图片 15" descr="C:\Users\ADMINI~1\AppData\Local\Temp\ksohtml4948\wp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5" descr="C:\Users\ADMINI~1\AppData\Local\Temp\ksohtml4948\wps13.jpg"/>
                          <pic:cNvPicPr>
                            <a:picLocks noChangeAspect="1" noChangeArrowheads="1"/>
                          </pic:cNvPicPr>
                        </pic:nvPicPr>
                        <pic:blipFill>
                          <a:blip r:embed="rId59" cstate="print"/>
                          <a:srcRect/>
                          <a:stretch>
                            <a:fillRect/>
                          </a:stretch>
                        </pic:blipFill>
                        <pic:spPr>
                          <a:xfrm>
                            <a:off x="0" y="0"/>
                            <a:ext cx="2030283" cy="1800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11</w:t>
            </w:r>
            <w:r>
              <w:rPr>
                <w:rFonts w:hAnsi="宋体"/>
                <w:color w:val="auto"/>
                <w:sz w:val="24"/>
                <w:szCs w:val="24"/>
              </w:rPr>
              <w:t>月静风</w:t>
            </w:r>
            <w:r>
              <w:rPr>
                <w:color w:val="auto"/>
                <w:sz w:val="24"/>
                <w:szCs w:val="24"/>
              </w:rPr>
              <w:t>14.5%</w:t>
            </w:r>
          </w:p>
        </w:tc>
        <w:tc>
          <w:tcPr>
            <w:tcW w:w="4212" w:type="dxa"/>
            <w:vAlign w:val="center"/>
          </w:tcPr>
          <w:p>
            <w:pPr>
              <w:pStyle w:val="27"/>
              <w:adjustRightInd w:val="0"/>
              <w:snapToGrid w:val="0"/>
              <w:spacing w:after="0"/>
              <w:ind w:firstLine="0" w:firstLineChars="0"/>
              <w:jc w:val="center"/>
              <w:rPr>
                <w:color w:val="auto"/>
                <w:sz w:val="24"/>
                <w:szCs w:val="24"/>
              </w:rPr>
            </w:pPr>
            <w:r>
              <w:rPr>
                <w:color w:val="auto"/>
                <w:sz w:val="24"/>
                <w:szCs w:val="24"/>
              </w:rPr>
              <w:t>12</w:t>
            </w:r>
            <w:r>
              <w:rPr>
                <w:rFonts w:hAnsi="宋体"/>
                <w:color w:val="auto"/>
                <w:sz w:val="24"/>
                <w:szCs w:val="24"/>
              </w:rPr>
              <w:t>月静风</w:t>
            </w:r>
            <w:r>
              <w:rPr>
                <w:color w:val="auto"/>
                <w:sz w:val="24"/>
                <w:szCs w:val="24"/>
              </w:rPr>
              <w:t>12.6%</w:t>
            </w:r>
          </w:p>
        </w:tc>
      </w:tr>
    </w:tbl>
    <w:p>
      <w:pPr>
        <w:pStyle w:val="82"/>
        <w:spacing w:beforeLines="50" w:beforeAutospacing="0" w:afterLines="50" w:afterAutospacing="0" w:line="240" w:lineRule="auto"/>
        <w:rPr>
          <w:rFonts w:cs="Times New Roman"/>
          <w:color w:val="auto"/>
        </w:rPr>
      </w:pPr>
      <w:r>
        <w:rPr>
          <w:rFonts w:hAnsi="宋体" w:cs="Times New Roman"/>
          <w:color w:val="auto"/>
        </w:rPr>
        <w:t>图</w:t>
      </w:r>
      <w:r>
        <w:rPr>
          <w:rFonts w:cs="Times New Roman"/>
          <w:color w:val="auto"/>
        </w:rPr>
        <w:t xml:space="preserve">5-2-2  </w:t>
      </w:r>
      <w:r>
        <w:rPr>
          <w:rFonts w:hAnsi="宋体" w:cs="Times New Roman"/>
          <w:color w:val="auto"/>
        </w:rPr>
        <w:t>各月风向频率玫瑰图</w:t>
      </w:r>
    </w:p>
    <w:p>
      <w:pPr>
        <w:adjustRightInd w:val="0"/>
        <w:snapToGrid w:val="0"/>
        <w:spacing w:line="360" w:lineRule="auto"/>
        <w:ind w:firstLine="480" w:firstLineChars="200"/>
        <w:jc w:val="left"/>
        <w:rPr>
          <w:color w:val="auto"/>
          <w:sz w:val="24"/>
          <w:szCs w:val="24"/>
        </w:rPr>
      </w:pPr>
      <w:r>
        <w:rPr>
          <w:rFonts w:hint="eastAsia" w:ascii="宋体" w:hAnsi="宋体" w:cs="宋体"/>
          <w:color w:val="auto"/>
          <w:sz w:val="24"/>
          <w:szCs w:val="24"/>
        </w:rPr>
        <w:t>③</w:t>
      </w:r>
      <w:r>
        <w:rPr>
          <w:color w:val="auto"/>
          <w:sz w:val="24"/>
          <w:szCs w:val="24"/>
        </w:rPr>
        <w:t>风速年际变化特征与周期分析</w:t>
      </w:r>
    </w:p>
    <w:p>
      <w:pPr>
        <w:adjustRightInd w:val="0"/>
        <w:snapToGrid w:val="0"/>
        <w:spacing w:line="360" w:lineRule="auto"/>
        <w:ind w:firstLine="480" w:firstLineChars="200"/>
        <w:jc w:val="left"/>
        <w:rPr>
          <w:rFonts w:hAnsi="宋体"/>
          <w:color w:val="auto"/>
          <w:sz w:val="24"/>
          <w:szCs w:val="24"/>
        </w:rPr>
      </w:pPr>
      <w:r>
        <w:rPr>
          <w:rFonts w:hAnsi="宋体"/>
          <w:color w:val="auto"/>
          <w:sz w:val="24"/>
          <w:szCs w:val="24"/>
        </w:rPr>
        <w:t>根据近</w:t>
      </w:r>
      <w:r>
        <w:rPr>
          <w:color w:val="auto"/>
          <w:sz w:val="24"/>
          <w:szCs w:val="24"/>
        </w:rPr>
        <w:t>20</w:t>
      </w:r>
      <w:r>
        <w:rPr>
          <w:rFonts w:hAnsi="宋体"/>
          <w:color w:val="auto"/>
          <w:sz w:val="24"/>
          <w:szCs w:val="24"/>
        </w:rPr>
        <w:t>年资料分析，五华气象站风速呈现上升趋势</w:t>
      </w:r>
      <w:r>
        <w:rPr>
          <w:color w:val="auto"/>
          <w:sz w:val="24"/>
          <w:szCs w:val="24"/>
        </w:rPr>
        <w:t>,</w:t>
      </w:r>
      <w:r>
        <w:rPr>
          <w:rFonts w:hAnsi="宋体"/>
          <w:color w:val="auto"/>
          <w:sz w:val="24"/>
          <w:szCs w:val="24"/>
        </w:rPr>
        <w:t>每年上升</w:t>
      </w:r>
      <w:r>
        <w:rPr>
          <w:color w:val="auto"/>
          <w:sz w:val="24"/>
          <w:szCs w:val="24"/>
        </w:rPr>
        <w:t>0.05%</w:t>
      </w:r>
      <w:r>
        <w:rPr>
          <w:rFonts w:hAnsi="宋体"/>
          <w:color w:val="auto"/>
          <w:sz w:val="24"/>
          <w:szCs w:val="24"/>
        </w:rPr>
        <w:t>，</w:t>
      </w:r>
      <w:r>
        <w:rPr>
          <w:color w:val="auto"/>
          <w:sz w:val="24"/>
          <w:szCs w:val="24"/>
        </w:rPr>
        <w:t>2011</w:t>
      </w:r>
      <w:r>
        <w:rPr>
          <w:rFonts w:hAnsi="宋体"/>
          <w:color w:val="auto"/>
          <w:sz w:val="24"/>
          <w:szCs w:val="24"/>
        </w:rPr>
        <w:t>年年平均风速最大（</w:t>
      </w:r>
      <w:r>
        <w:rPr>
          <w:color w:val="auto"/>
          <w:sz w:val="24"/>
          <w:szCs w:val="24"/>
        </w:rPr>
        <w:t>2.5</w:t>
      </w:r>
      <w:r>
        <w:rPr>
          <w:rFonts w:hAnsi="宋体"/>
          <w:color w:val="auto"/>
          <w:sz w:val="24"/>
          <w:szCs w:val="24"/>
        </w:rPr>
        <w:t>米</w:t>
      </w:r>
      <w:r>
        <w:rPr>
          <w:color w:val="auto"/>
          <w:sz w:val="24"/>
          <w:szCs w:val="24"/>
        </w:rPr>
        <w:t>/</w:t>
      </w:r>
      <w:r>
        <w:rPr>
          <w:rFonts w:hAnsi="宋体"/>
          <w:color w:val="auto"/>
          <w:sz w:val="24"/>
          <w:szCs w:val="24"/>
        </w:rPr>
        <w:t>秒），</w:t>
      </w:r>
      <w:r>
        <w:rPr>
          <w:color w:val="auto"/>
          <w:sz w:val="24"/>
          <w:szCs w:val="24"/>
        </w:rPr>
        <w:t>2005</w:t>
      </w:r>
      <w:r>
        <w:rPr>
          <w:rFonts w:hAnsi="宋体"/>
          <w:color w:val="auto"/>
          <w:sz w:val="24"/>
          <w:szCs w:val="24"/>
        </w:rPr>
        <w:t>年年平均风速最小（</w:t>
      </w:r>
      <w:r>
        <w:rPr>
          <w:color w:val="auto"/>
          <w:sz w:val="24"/>
          <w:szCs w:val="24"/>
        </w:rPr>
        <w:t>1.1</w:t>
      </w:r>
      <w:r>
        <w:rPr>
          <w:rFonts w:hAnsi="宋体"/>
          <w:color w:val="auto"/>
          <w:sz w:val="24"/>
          <w:szCs w:val="24"/>
        </w:rPr>
        <w:t>米</w:t>
      </w:r>
      <w:r>
        <w:rPr>
          <w:color w:val="auto"/>
          <w:sz w:val="24"/>
          <w:szCs w:val="24"/>
        </w:rPr>
        <w:t>/</w:t>
      </w:r>
      <w:r>
        <w:rPr>
          <w:rFonts w:hAnsi="宋体"/>
          <w:color w:val="auto"/>
          <w:sz w:val="24"/>
          <w:szCs w:val="24"/>
        </w:rPr>
        <w:t>秒），周期为</w:t>
      </w:r>
      <w:r>
        <w:rPr>
          <w:color w:val="auto"/>
          <w:sz w:val="24"/>
          <w:szCs w:val="24"/>
        </w:rPr>
        <w:t>6-7</w:t>
      </w:r>
      <w:r>
        <w:rPr>
          <w:rFonts w:hAnsi="宋体"/>
          <w:color w:val="auto"/>
          <w:sz w:val="24"/>
          <w:szCs w:val="24"/>
        </w:rPr>
        <w:t>年。</w:t>
      </w:r>
    </w:p>
    <w:p>
      <w:pPr>
        <w:adjustRightInd w:val="0"/>
        <w:snapToGrid w:val="0"/>
        <w:spacing w:line="360" w:lineRule="auto"/>
        <w:ind w:firstLine="480" w:firstLineChars="200"/>
        <w:jc w:val="center"/>
        <w:rPr>
          <w:color w:val="auto"/>
          <w:sz w:val="24"/>
          <w:szCs w:val="24"/>
        </w:rPr>
      </w:pPr>
      <w:r>
        <w:rPr>
          <w:color w:val="auto"/>
          <w:sz w:val="24"/>
          <w:szCs w:val="24"/>
        </w:rPr>
        <w:drawing>
          <wp:inline distT="0" distB="0" distL="0" distR="0">
            <wp:extent cx="2879725" cy="2143125"/>
            <wp:effectExtent l="19050" t="0" r="0" b="0"/>
            <wp:docPr id="89" name="图片 16" descr="C:\Users\ADMINI~1\AppData\Local\Temp\ksohtml4948\wp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6" descr="C:\Users\ADMINI~1\AppData\Local\Temp\ksohtml4948\wps14.jpg"/>
                    <pic:cNvPicPr>
                      <a:picLocks noChangeAspect="1" noChangeArrowheads="1"/>
                    </pic:cNvPicPr>
                  </pic:nvPicPr>
                  <pic:blipFill>
                    <a:blip r:embed="rId60" cstate="print"/>
                    <a:srcRect/>
                    <a:stretch>
                      <a:fillRect/>
                    </a:stretch>
                  </pic:blipFill>
                  <pic:spPr>
                    <a:xfrm>
                      <a:off x="0" y="0"/>
                      <a:ext cx="2880000" cy="2143528"/>
                    </a:xfrm>
                    <a:prstGeom prst="rect">
                      <a:avLst/>
                    </a:prstGeom>
                    <a:noFill/>
                    <a:ln w="9525">
                      <a:noFill/>
                      <a:miter lim="800000"/>
                      <a:headEnd/>
                      <a:tailEnd/>
                    </a:ln>
                  </pic:spPr>
                </pic:pic>
              </a:graphicData>
            </a:graphic>
          </wp:inline>
        </w:drawing>
      </w:r>
    </w:p>
    <w:p>
      <w:pPr>
        <w:pStyle w:val="82"/>
        <w:spacing w:beforeLines="50" w:beforeAutospacing="0" w:afterLines="50" w:afterAutospacing="0" w:line="240" w:lineRule="auto"/>
        <w:rPr>
          <w:rFonts w:cs="Times New Roman"/>
          <w:color w:val="auto"/>
        </w:rPr>
      </w:pPr>
      <w:r>
        <w:rPr>
          <w:rFonts w:hAnsi="宋体" w:cs="Times New Roman"/>
          <w:color w:val="auto"/>
        </w:rPr>
        <w:t>图</w:t>
      </w:r>
      <w:r>
        <w:rPr>
          <w:rFonts w:cs="Times New Roman"/>
          <w:color w:val="auto"/>
        </w:rPr>
        <w:t xml:space="preserve">5-2-3   </w:t>
      </w:r>
      <w:r>
        <w:rPr>
          <w:rFonts w:hAnsi="宋体" w:cs="Times New Roman"/>
          <w:color w:val="auto"/>
        </w:rPr>
        <w:t>五华（</w:t>
      </w:r>
      <w:r>
        <w:rPr>
          <w:rFonts w:cs="Times New Roman"/>
          <w:color w:val="auto"/>
        </w:rPr>
        <w:t>1999-2018</w:t>
      </w:r>
      <w:r>
        <w:rPr>
          <w:rFonts w:hAnsi="宋体" w:cs="Times New Roman"/>
          <w:color w:val="auto"/>
        </w:rPr>
        <w:t>）年平均风速（单位：</w:t>
      </w:r>
      <w:r>
        <w:rPr>
          <w:rFonts w:cs="Times New Roman"/>
          <w:color w:val="auto"/>
        </w:rPr>
        <w:t>m/s</w:t>
      </w:r>
      <w:r>
        <w:rPr>
          <w:rFonts w:hAnsi="宋体" w:cs="Times New Roman"/>
          <w:color w:val="auto"/>
        </w:rPr>
        <w:t>，虚线为趋势线）</w:t>
      </w:r>
    </w:p>
    <w:p>
      <w:pPr>
        <w:pStyle w:val="27"/>
        <w:adjustRightInd w:val="0"/>
        <w:snapToGrid w:val="0"/>
        <w:spacing w:after="0" w:line="360" w:lineRule="auto"/>
        <w:ind w:firstLine="480" w:firstLineChars="200"/>
        <w:jc w:val="left"/>
        <w:rPr>
          <w:color w:val="auto"/>
          <w:sz w:val="24"/>
          <w:szCs w:val="24"/>
        </w:rPr>
      </w:pPr>
      <w:r>
        <w:rPr>
          <w:rFonts w:hAnsi="宋体"/>
          <w:color w:val="auto"/>
          <w:sz w:val="24"/>
          <w:szCs w:val="24"/>
        </w:rPr>
        <w:t>（</w:t>
      </w:r>
      <w:r>
        <w:rPr>
          <w:color w:val="auto"/>
          <w:sz w:val="24"/>
          <w:szCs w:val="24"/>
        </w:rPr>
        <w:t>3</w:t>
      </w:r>
      <w:r>
        <w:rPr>
          <w:rFonts w:hAnsi="宋体"/>
          <w:color w:val="auto"/>
          <w:sz w:val="24"/>
          <w:szCs w:val="24"/>
        </w:rPr>
        <w:t>）气象站温度分析</w:t>
      </w:r>
    </w:p>
    <w:p>
      <w:pPr>
        <w:pStyle w:val="27"/>
        <w:adjustRightInd w:val="0"/>
        <w:snapToGrid w:val="0"/>
        <w:spacing w:after="0" w:line="360" w:lineRule="auto"/>
        <w:ind w:firstLine="480" w:firstLineChars="200"/>
        <w:jc w:val="left"/>
        <w:rPr>
          <w:color w:val="auto"/>
          <w:sz w:val="24"/>
          <w:szCs w:val="24"/>
        </w:rPr>
      </w:pPr>
      <w:r>
        <w:rPr>
          <w:color w:val="auto"/>
          <w:sz w:val="24"/>
          <w:szCs w:val="24"/>
        </w:rPr>
        <w:t>①</w:t>
      </w:r>
      <w:r>
        <w:rPr>
          <w:rFonts w:hAnsi="宋体"/>
          <w:color w:val="auto"/>
          <w:sz w:val="24"/>
          <w:szCs w:val="24"/>
        </w:rPr>
        <w:t>月平均气温与极端气温</w:t>
      </w:r>
    </w:p>
    <w:p>
      <w:pPr>
        <w:pStyle w:val="27"/>
        <w:adjustRightInd w:val="0"/>
        <w:snapToGrid w:val="0"/>
        <w:spacing w:after="0" w:line="360" w:lineRule="auto"/>
        <w:ind w:firstLine="480" w:firstLineChars="200"/>
        <w:jc w:val="left"/>
        <w:rPr>
          <w:color w:val="auto"/>
          <w:sz w:val="24"/>
          <w:szCs w:val="24"/>
        </w:rPr>
      </w:pPr>
      <w:r>
        <w:rPr>
          <w:rFonts w:hAnsi="宋体"/>
          <w:color w:val="auto"/>
          <w:sz w:val="24"/>
          <w:szCs w:val="24"/>
        </w:rPr>
        <w:t>五华气象站</w:t>
      </w:r>
      <w:r>
        <w:rPr>
          <w:color w:val="auto"/>
          <w:sz w:val="24"/>
          <w:szCs w:val="24"/>
        </w:rPr>
        <w:t>07</w:t>
      </w:r>
      <w:r>
        <w:rPr>
          <w:rFonts w:hAnsi="宋体"/>
          <w:color w:val="auto"/>
          <w:sz w:val="24"/>
          <w:szCs w:val="24"/>
        </w:rPr>
        <w:t>月气温最高（</w:t>
      </w:r>
      <w:r>
        <w:rPr>
          <w:color w:val="auto"/>
          <w:sz w:val="24"/>
          <w:szCs w:val="24"/>
        </w:rPr>
        <w:t>28.8</w:t>
      </w:r>
      <w:r>
        <w:rPr>
          <w:rFonts w:hAnsi="宋体"/>
          <w:color w:val="auto"/>
          <w:sz w:val="24"/>
          <w:szCs w:val="24"/>
        </w:rPr>
        <w:t>℃），</w:t>
      </w:r>
      <w:r>
        <w:rPr>
          <w:color w:val="auto"/>
          <w:sz w:val="24"/>
          <w:szCs w:val="24"/>
        </w:rPr>
        <w:t>01</w:t>
      </w:r>
      <w:r>
        <w:rPr>
          <w:rFonts w:hAnsi="宋体"/>
          <w:color w:val="auto"/>
          <w:sz w:val="24"/>
          <w:szCs w:val="24"/>
        </w:rPr>
        <w:t>月气温最低（</w:t>
      </w:r>
      <w:r>
        <w:rPr>
          <w:color w:val="auto"/>
          <w:sz w:val="24"/>
          <w:szCs w:val="24"/>
        </w:rPr>
        <w:t>12.4</w:t>
      </w:r>
      <w:r>
        <w:rPr>
          <w:rFonts w:hAnsi="宋体"/>
          <w:color w:val="auto"/>
          <w:sz w:val="24"/>
          <w:szCs w:val="24"/>
        </w:rPr>
        <w:t>℃），近</w:t>
      </w:r>
      <w:r>
        <w:rPr>
          <w:color w:val="auto"/>
          <w:sz w:val="24"/>
          <w:szCs w:val="24"/>
        </w:rPr>
        <w:t>20</w:t>
      </w:r>
      <w:r>
        <w:rPr>
          <w:rFonts w:hAnsi="宋体"/>
          <w:color w:val="auto"/>
          <w:sz w:val="24"/>
          <w:szCs w:val="24"/>
        </w:rPr>
        <w:t>年极端最高气温出现在</w:t>
      </w:r>
      <w:r>
        <w:rPr>
          <w:color w:val="auto"/>
          <w:sz w:val="24"/>
          <w:szCs w:val="24"/>
        </w:rPr>
        <w:t>2016-07-29</w:t>
      </w:r>
      <w:r>
        <w:rPr>
          <w:rFonts w:hAnsi="宋体"/>
          <w:color w:val="auto"/>
          <w:sz w:val="24"/>
          <w:szCs w:val="24"/>
        </w:rPr>
        <w:t>（</w:t>
      </w:r>
      <w:r>
        <w:rPr>
          <w:color w:val="auto"/>
          <w:sz w:val="24"/>
          <w:szCs w:val="24"/>
        </w:rPr>
        <w:t>38.6</w:t>
      </w:r>
      <w:r>
        <w:rPr>
          <w:rFonts w:hAnsi="宋体"/>
          <w:color w:val="auto"/>
          <w:sz w:val="24"/>
          <w:szCs w:val="24"/>
        </w:rPr>
        <w:t>℃），近</w:t>
      </w:r>
      <w:r>
        <w:rPr>
          <w:color w:val="auto"/>
          <w:sz w:val="24"/>
          <w:szCs w:val="24"/>
        </w:rPr>
        <w:t>20</w:t>
      </w:r>
      <w:r>
        <w:rPr>
          <w:rFonts w:hAnsi="宋体"/>
          <w:color w:val="auto"/>
          <w:sz w:val="24"/>
          <w:szCs w:val="24"/>
        </w:rPr>
        <w:t>年极端最低气温出现在</w:t>
      </w:r>
      <w:r>
        <w:rPr>
          <w:color w:val="auto"/>
          <w:sz w:val="24"/>
          <w:szCs w:val="24"/>
        </w:rPr>
        <w:t>1999-12-23</w:t>
      </w:r>
      <w:r>
        <w:rPr>
          <w:rFonts w:hAnsi="宋体"/>
          <w:color w:val="auto"/>
          <w:sz w:val="24"/>
          <w:szCs w:val="24"/>
        </w:rPr>
        <w:t>（</w:t>
      </w:r>
      <w:r>
        <w:rPr>
          <w:color w:val="auto"/>
          <w:sz w:val="24"/>
          <w:szCs w:val="24"/>
        </w:rPr>
        <w:t>-2.5</w:t>
      </w:r>
      <w:r>
        <w:rPr>
          <w:rFonts w:hAnsi="宋体"/>
          <w:color w:val="auto"/>
          <w:sz w:val="24"/>
          <w:szCs w:val="24"/>
        </w:rPr>
        <w:t>℃）。</w:t>
      </w:r>
    </w:p>
    <w:p>
      <w:pPr>
        <w:pStyle w:val="27"/>
        <w:adjustRightInd w:val="0"/>
        <w:snapToGrid w:val="0"/>
        <w:spacing w:after="0"/>
        <w:ind w:firstLine="0" w:firstLineChars="0"/>
        <w:jc w:val="center"/>
        <w:rPr>
          <w:color w:val="auto"/>
          <w:sz w:val="24"/>
          <w:szCs w:val="24"/>
        </w:rPr>
      </w:pPr>
      <w:r>
        <w:rPr>
          <w:color w:val="auto"/>
          <w:sz w:val="24"/>
          <w:szCs w:val="24"/>
        </w:rPr>
        <w:drawing>
          <wp:inline distT="0" distB="0" distL="0" distR="0">
            <wp:extent cx="2879725" cy="2113280"/>
            <wp:effectExtent l="19050" t="0" r="0" b="0"/>
            <wp:docPr id="88" name="图片 17" descr="C:\Users\ADMINI~1\AppData\Local\Temp\ksohtml4948\wp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7" descr="C:\Users\ADMINI~1\AppData\Local\Temp\ksohtml4948\wps15.jpg"/>
                    <pic:cNvPicPr>
                      <a:picLocks noChangeAspect="1" noChangeArrowheads="1"/>
                    </pic:cNvPicPr>
                  </pic:nvPicPr>
                  <pic:blipFill>
                    <a:blip r:embed="rId61" cstate="print"/>
                    <a:srcRect/>
                    <a:stretch>
                      <a:fillRect/>
                    </a:stretch>
                  </pic:blipFill>
                  <pic:spPr>
                    <a:xfrm>
                      <a:off x="0" y="0"/>
                      <a:ext cx="2880000" cy="2113619"/>
                    </a:xfrm>
                    <a:prstGeom prst="rect">
                      <a:avLst/>
                    </a:prstGeom>
                    <a:noFill/>
                    <a:ln w="9525">
                      <a:noFill/>
                      <a:miter lim="800000"/>
                      <a:headEnd/>
                      <a:tailEnd/>
                    </a:ln>
                  </pic:spPr>
                </pic:pic>
              </a:graphicData>
            </a:graphic>
          </wp:inline>
        </w:drawing>
      </w:r>
    </w:p>
    <w:p>
      <w:pPr>
        <w:pStyle w:val="82"/>
        <w:spacing w:beforeLines="50" w:beforeAutospacing="0" w:afterLines="50" w:afterAutospacing="0" w:line="240" w:lineRule="auto"/>
        <w:rPr>
          <w:rFonts w:cs="Times New Roman"/>
          <w:color w:val="auto"/>
        </w:rPr>
      </w:pPr>
      <w:r>
        <w:rPr>
          <w:rFonts w:hAnsi="宋体" w:cs="Times New Roman"/>
          <w:color w:val="auto"/>
        </w:rPr>
        <w:t>图</w:t>
      </w:r>
      <w:r>
        <w:rPr>
          <w:rFonts w:cs="Times New Roman"/>
          <w:color w:val="auto"/>
        </w:rPr>
        <w:t xml:space="preserve">5-2-4  </w:t>
      </w:r>
      <w:r>
        <w:rPr>
          <w:rFonts w:hAnsi="宋体" w:cs="Times New Roman"/>
          <w:color w:val="auto"/>
        </w:rPr>
        <w:t>五华月平均气温（单位：℃）</w:t>
      </w:r>
    </w:p>
    <w:p>
      <w:pPr>
        <w:pStyle w:val="27"/>
        <w:adjustRightInd w:val="0"/>
        <w:snapToGrid w:val="0"/>
        <w:spacing w:after="0" w:line="360" w:lineRule="auto"/>
        <w:ind w:firstLine="480" w:firstLineChars="200"/>
        <w:jc w:val="left"/>
        <w:rPr>
          <w:color w:val="auto"/>
          <w:sz w:val="24"/>
          <w:szCs w:val="24"/>
        </w:rPr>
      </w:pPr>
      <w:r>
        <w:rPr>
          <w:color w:val="auto"/>
          <w:sz w:val="24"/>
          <w:szCs w:val="24"/>
        </w:rPr>
        <w:t>②</w:t>
      </w:r>
      <w:r>
        <w:rPr>
          <w:rFonts w:hAnsi="宋体"/>
          <w:color w:val="auto"/>
          <w:sz w:val="24"/>
          <w:szCs w:val="24"/>
        </w:rPr>
        <w:t>温度年际变化趋势与周期分析</w:t>
      </w:r>
    </w:p>
    <w:p>
      <w:pPr>
        <w:pStyle w:val="27"/>
        <w:adjustRightInd w:val="0"/>
        <w:snapToGrid w:val="0"/>
        <w:spacing w:after="0" w:line="360" w:lineRule="auto"/>
        <w:ind w:firstLine="480" w:firstLineChars="200"/>
        <w:jc w:val="left"/>
        <w:rPr>
          <w:color w:val="auto"/>
          <w:sz w:val="24"/>
          <w:szCs w:val="24"/>
        </w:rPr>
      </w:pPr>
      <w:r>
        <w:rPr>
          <w:rFonts w:hAnsi="宋体"/>
          <w:color w:val="auto"/>
          <w:sz w:val="24"/>
          <w:szCs w:val="24"/>
        </w:rPr>
        <w:t>五华气象站近</w:t>
      </w:r>
      <w:r>
        <w:rPr>
          <w:color w:val="auto"/>
          <w:sz w:val="24"/>
          <w:szCs w:val="24"/>
        </w:rPr>
        <w:t>20</w:t>
      </w:r>
      <w:r>
        <w:rPr>
          <w:rFonts w:hAnsi="宋体"/>
          <w:color w:val="auto"/>
          <w:sz w:val="24"/>
          <w:szCs w:val="24"/>
        </w:rPr>
        <w:t>年气温无明显变化趋势，</w:t>
      </w:r>
      <w:r>
        <w:rPr>
          <w:color w:val="auto"/>
          <w:sz w:val="24"/>
          <w:szCs w:val="24"/>
        </w:rPr>
        <w:t>2002</w:t>
      </w:r>
      <w:r>
        <w:rPr>
          <w:rFonts w:hAnsi="宋体"/>
          <w:color w:val="auto"/>
          <w:sz w:val="24"/>
          <w:szCs w:val="24"/>
        </w:rPr>
        <w:t>年年平均气温最高（</w:t>
      </w:r>
      <w:r>
        <w:rPr>
          <w:color w:val="auto"/>
          <w:sz w:val="24"/>
          <w:szCs w:val="24"/>
        </w:rPr>
        <w:t>22.2</w:t>
      </w:r>
      <w:r>
        <w:rPr>
          <w:rFonts w:hAnsi="宋体"/>
          <w:color w:val="auto"/>
          <w:sz w:val="24"/>
          <w:szCs w:val="24"/>
        </w:rPr>
        <w:t>℃），</w:t>
      </w:r>
      <w:r>
        <w:rPr>
          <w:color w:val="auto"/>
          <w:sz w:val="24"/>
          <w:szCs w:val="24"/>
        </w:rPr>
        <w:t>2011</w:t>
      </w:r>
      <w:r>
        <w:rPr>
          <w:rFonts w:hAnsi="宋体"/>
          <w:color w:val="auto"/>
          <w:sz w:val="24"/>
          <w:szCs w:val="24"/>
        </w:rPr>
        <w:t>年年平均气温最低（</w:t>
      </w:r>
      <w:r>
        <w:rPr>
          <w:color w:val="auto"/>
          <w:sz w:val="24"/>
          <w:szCs w:val="24"/>
        </w:rPr>
        <w:t>21.0</w:t>
      </w:r>
      <w:r>
        <w:rPr>
          <w:rFonts w:hAnsi="宋体"/>
          <w:color w:val="auto"/>
          <w:sz w:val="24"/>
          <w:szCs w:val="24"/>
        </w:rPr>
        <w:t>℃），周期为</w:t>
      </w:r>
      <w:r>
        <w:rPr>
          <w:color w:val="auto"/>
          <w:sz w:val="24"/>
          <w:szCs w:val="24"/>
        </w:rPr>
        <w:t>5</w:t>
      </w:r>
      <w:r>
        <w:rPr>
          <w:rFonts w:hAnsi="宋体"/>
          <w:color w:val="auto"/>
          <w:sz w:val="24"/>
          <w:szCs w:val="24"/>
        </w:rPr>
        <w:t>年。</w:t>
      </w:r>
    </w:p>
    <w:p>
      <w:pPr>
        <w:pStyle w:val="27"/>
        <w:adjustRightInd w:val="0"/>
        <w:snapToGrid w:val="0"/>
        <w:spacing w:after="0"/>
        <w:ind w:firstLine="0" w:firstLineChars="0"/>
        <w:jc w:val="center"/>
        <w:rPr>
          <w:color w:val="auto"/>
          <w:sz w:val="24"/>
          <w:szCs w:val="24"/>
        </w:rPr>
      </w:pPr>
      <w:r>
        <w:rPr>
          <w:color w:val="auto"/>
          <w:sz w:val="24"/>
          <w:szCs w:val="24"/>
        </w:rPr>
        <w:drawing>
          <wp:inline distT="0" distB="0" distL="0" distR="0">
            <wp:extent cx="2879725" cy="2038350"/>
            <wp:effectExtent l="19050" t="0" r="0" b="0"/>
            <wp:docPr id="87" name="图片 18" descr="C:\Users\ADMINI~1\AppData\Local\Temp\ksohtml4948\wp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8" descr="C:\Users\ADMINI~1\AppData\Local\Temp\ksohtml4948\wps16.jpg"/>
                    <pic:cNvPicPr>
                      <a:picLocks noChangeAspect="1" noChangeArrowheads="1"/>
                    </pic:cNvPicPr>
                  </pic:nvPicPr>
                  <pic:blipFill>
                    <a:blip r:embed="rId62" cstate="print"/>
                    <a:srcRect/>
                    <a:stretch>
                      <a:fillRect/>
                    </a:stretch>
                  </pic:blipFill>
                  <pic:spPr>
                    <a:xfrm>
                      <a:off x="0" y="0"/>
                      <a:ext cx="2880000" cy="2038697"/>
                    </a:xfrm>
                    <a:prstGeom prst="rect">
                      <a:avLst/>
                    </a:prstGeom>
                    <a:noFill/>
                    <a:ln w="9525">
                      <a:noFill/>
                      <a:miter lim="800000"/>
                      <a:headEnd/>
                      <a:tailEnd/>
                    </a:ln>
                  </pic:spPr>
                </pic:pic>
              </a:graphicData>
            </a:graphic>
          </wp:inline>
        </w:drawing>
      </w:r>
    </w:p>
    <w:p>
      <w:pPr>
        <w:pStyle w:val="82"/>
        <w:spacing w:beforeLines="50" w:beforeAutospacing="0" w:afterLines="50" w:afterAutospacing="0" w:line="240" w:lineRule="auto"/>
        <w:rPr>
          <w:rFonts w:cs="Times New Roman"/>
          <w:color w:val="auto"/>
        </w:rPr>
      </w:pPr>
      <w:r>
        <w:rPr>
          <w:rFonts w:hAnsi="宋体" w:cs="Times New Roman"/>
          <w:color w:val="auto"/>
        </w:rPr>
        <w:t>图</w:t>
      </w:r>
      <w:r>
        <w:rPr>
          <w:rFonts w:cs="Times New Roman"/>
          <w:color w:val="auto"/>
        </w:rPr>
        <w:t xml:space="preserve">5-2-5  </w:t>
      </w:r>
      <w:r>
        <w:rPr>
          <w:rFonts w:hAnsi="宋体" w:cs="Times New Roman"/>
          <w:color w:val="auto"/>
        </w:rPr>
        <w:t>五华（</w:t>
      </w:r>
      <w:r>
        <w:rPr>
          <w:rFonts w:cs="Times New Roman"/>
          <w:color w:val="auto"/>
        </w:rPr>
        <w:t>1999-2018</w:t>
      </w:r>
      <w:r>
        <w:rPr>
          <w:rFonts w:hAnsi="宋体" w:cs="Times New Roman"/>
          <w:color w:val="auto"/>
        </w:rPr>
        <w:t>）年平均气温（单位：℃，虚线为趋势线）</w:t>
      </w:r>
    </w:p>
    <w:p>
      <w:pPr>
        <w:pStyle w:val="5"/>
        <w:rPr>
          <w:color w:val="auto"/>
        </w:rPr>
      </w:pPr>
      <w:r>
        <w:rPr>
          <w:rFonts w:hint="eastAsia"/>
          <w:color w:val="auto"/>
        </w:rPr>
        <w:t>5.2.1.2预测模式</w:t>
      </w:r>
    </w:p>
    <w:p>
      <w:pPr>
        <w:spacing w:line="360" w:lineRule="auto"/>
        <w:ind w:firstLine="480" w:firstLineChars="200"/>
        <w:jc w:val="left"/>
        <w:rPr>
          <w:color w:val="auto"/>
          <w:sz w:val="24"/>
          <w:szCs w:val="24"/>
        </w:rPr>
      </w:pPr>
      <w:r>
        <w:rPr>
          <w:rFonts w:hint="eastAsia"/>
          <w:color w:val="auto"/>
          <w:sz w:val="24"/>
          <w:szCs w:val="24"/>
        </w:rPr>
        <w:t>本评价采用《环境影响评价技术导则 大气环境》（HJ2.2-2018）中推荐的估算模式AERSCREEN进行预测分析与评价。AERSCREEN中嵌入了多种预设的气象组合条件，包括一些最不利的气象条件，在某个地区有可能发生，也有可能没有此种不利气象条件。所以经估算模式计算出来的是某一污染源对环境空气质量最大影响程度和影响范围保守的计算结果。</w:t>
      </w:r>
    </w:p>
    <w:p>
      <w:pPr>
        <w:pStyle w:val="5"/>
        <w:rPr>
          <w:color w:val="auto"/>
        </w:rPr>
      </w:pPr>
      <w:r>
        <w:rPr>
          <w:rFonts w:hint="eastAsia"/>
          <w:color w:val="auto"/>
          <w:kern w:val="0"/>
        </w:rPr>
        <w:t>5.2.1.3评价因子及评价标准筛选</w:t>
      </w:r>
    </w:p>
    <w:p>
      <w:pPr>
        <w:spacing w:line="360" w:lineRule="auto"/>
        <w:ind w:firstLine="480" w:firstLineChars="200"/>
        <w:jc w:val="left"/>
        <w:rPr>
          <w:color w:val="auto"/>
          <w:sz w:val="24"/>
          <w:szCs w:val="24"/>
        </w:rPr>
      </w:pPr>
      <w:r>
        <w:rPr>
          <w:rFonts w:hint="eastAsia"/>
          <w:color w:val="auto"/>
          <w:sz w:val="24"/>
          <w:szCs w:val="24"/>
        </w:rPr>
        <w:t>项目运营期产生的废气污染物包括氨、硫化氢、食堂油烟，根据项目特征及污染物排放情况，本次评价选取氨、硫化氢为评价因子。</w:t>
      </w:r>
      <w:r>
        <w:rPr>
          <w:rFonts w:hAnsi="宋体"/>
          <w:color w:val="auto"/>
          <w:sz w:val="24"/>
          <w:lang w:val="zh-CN"/>
        </w:rPr>
        <w:t>根据《环境影响评价技术导则</w:t>
      </w:r>
      <w:r>
        <w:rPr>
          <w:color w:val="auto"/>
          <w:sz w:val="24"/>
          <w:lang w:val="zh-CN"/>
        </w:rPr>
        <w:t xml:space="preserve"> </w:t>
      </w:r>
      <w:r>
        <w:rPr>
          <w:rFonts w:hAnsi="宋体"/>
          <w:color w:val="auto"/>
          <w:sz w:val="24"/>
          <w:lang w:val="zh-CN"/>
        </w:rPr>
        <w:t>大气环境》（</w:t>
      </w:r>
      <w:r>
        <w:rPr>
          <w:color w:val="auto"/>
          <w:sz w:val="24"/>
          <w:lang w:val="zh-CN"/>
        </w:rPr>
        <w:t>HJ2.2-2018</w:t>
      </w:r>
      <w:r>
        <w:rPr>
          <w:rFonts w:hAnsi="宋体"/>
          <w:color w:val="auto"/>
          <w:sz w:val="24"/>
          <w:lang w:val="zh-CN"/>
        </w:rPr>
        <w:t>），项目选择</w:t>
      </w:r>
      <w:r>
        <w:rPr>
          <w:rFonts w:hint="eastAsia"/>
          <w:color w:val="auto"/>
          <w:sz w:val="24"/>
          <w:szCs w:val="24"/>
        </w:rPr>
        <w:t>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Ansi="宋体"/>
          <w:color w:val="auto"/>
          <w:sz w:val="24"/>
          <w:lang w:val="zh-CN"/>
        </w:rPr>
        <w:t>作为主要污染物评价因子计算最大地面浓度占标率，以确定项目评价工作等级。</w:t>
      </w:r>
    </w:p>
    <w:p>
      <w:pPr>
        <w:pStyle w:val="48"/>
        <w:ind w:firstLine="0" w:firstLineChars="0"/>
        <w:jc w:val="center"/>
        <w:rPr>
          <w:rFonts w:ascii="Times New Roman" w:hAnsi="宋体" w:eastAsia="宋体"/>
          <w:b/>
          <w:color w:val="auto"/>
          <w:sz w:val="24"/>
        </w:rPr>
      </w:pPr>
      <w:r>
        <w:rPr>
          <w:rFonts w:hint="eastAsia" w:ascii="Times New Roman" w:hAnsi="宋体" w:eastAsia="宋体"/>
          <w:b/>
          <w:color w:val="auto"/>
          <w:sz w:val="24"/>
        </w:rPr>
        <w:t xml:space="preserve">表5-2-3  </w:t>
      </w:r>
      <w:r>
        <w:rPr>
          <w:rFonts w:ascii="Times New Roman" w:hAnsi="宋体" w:eastAsia="宋体"/>
          <w:b/>
          <w:color w:val="auto"/>
          <w:sz w:val="24"/>
        </w:rPr>
        <w:t>评价因子和评价标准表</w:t>
      </w:r>
    </w:p>
    <w:tbl>
      <w:tblPr>
        <w:tblStyle w:val="28"/>
        <w:tblW w:w="8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3"/>
        <w:gridCol w:w="1276"/>
        <w:gridCol w:w="1984"/>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3"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评价因子</w:t>
            </w:r>
          </w:p>
        </w:tc>
        <w:tc>
          <w:tcPr>
            <w:tcW w:w="1276"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平均时段</w:t>
            </w:r>
          </w:p>
        </w:tc>
        <w:tc>
          <w:tcPr>
            <w:tcW w:w="1984"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标准值（μ</w:t>
            </w:r>
            <w:r>
              <w:rPr>
                <w:rFonts w:ascii="Times New Roman" w:hAnsi="Times New Roman" w:eastAsia="宋体"/>
                <w:b/>
                <w:color w:val="auto"/>
                <w:sz w:val="21"/>
                <w:szCs w:val="21"/>
              </w:rPr>
              <w:t>g/m</w:t>
            </w:r>
            <w:r>
              <w:rPr>
                <w:rFonts w:ascii="Times New Roman" w:hAnsi="Times New Roman" w:eastAsia="宋体"/>
                <w:b/>
                <w:color w:val="auto"/>
                <w:sz w:val="21"/>
                <w:szCs w:val="21"/>
                <w:vertAlign w:val="superscript"/>
              </w:rPr>
              <w:t>3</w:t>
            </w:r>
            <w:r>
              <w:rPr>
                <w:rFonts w:hint="eastAsia" w:ascii="Times New Roman" w:hAnsi="Times New Roman" w:eastAsia="宋体"/>
                <w:b/>
                <w:color w:val="auto"/>
                <w:sz w:val="21"/>
                <w:szCs w:val="21"/>
              </w:rPr>
              <w:t>）</w:t>
            </w:r>
          </w:p>
        </w:tc>
        <w:tc>
          <w:tcPr>
            <w:tcW w:w="4040" w:type="dxa"/>
            <w:vAlign w:val="center"/>
          </w:tcPr>
          <w:p>
            <w:pPr>
              <w:pStyle w:val="48"/>
              <w:spacing w:line="240" w:lineRule="auto"/>
              <w:ind w:firstLine="0" w:firstLineChars="0"/>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3"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宋体" w:eastAsia="宋体"/>
                <w:color w:val="auto"/>
                <w:sz w:val="21"/>
                <w:szCs w:val="21"/>
                <w:lang w:val="zh-CN"/>
              </w:rPr>
              <w:t>H</w:t>
            </w:r>
            <w:r>
              <w:rPr>
                <w:rFonts w:hint="eastAsia" w:ascii="Times New Roman" w:hAnsi="宋体" w:eastAsia="宋体"/>
                <w:color w:val="auto"/>
                <w:sz w:val="21"/>
                <w:szCs w:val="21"/>
                <w:vertAlign w:val="subscript"/>
                <w:lang w:val="zh-CN"/>
              </w:rPr>
              <w:t>2</w:t>
            </w:r>
            <w:r>
              <w:rPr>
                <w:rFonts w:hint="eastAsia" w:ascii="Times New Roman" w:hAnsi="宋体" w:eastAsia="宋体"/>
                <w:color w:val="auto"/>
                <w:sz w:val="21"/>
                <w:szCs w:val="21"/>
                <w:lang w:val="zh-CN"/>
              </w:rPr>
              <w:t>S</w:t>
            </w:r>
          </w:p>
        </w:tc>
        <w:tc>
          <w:tcPr>
            <w:tcW w:w="1276"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1h</w:t>
            </w:r>
          </w:p>
        </w:tc>
        <w:tc>
          <w:tcPr>
            <w:tcW w:w="1984"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10</w:t>
            </w:r>
          </w:p>
        </w:tc>
        <w:tc>
          <w:tcPr>
            <w:tcW w:w="4040" w:type="dxa"/>
            <w:vMerge w:val="restart"/>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《环境影响评价技术导则 大气环境》（HJ2.2-2018）附录D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3" w:type="dxa"/>
            <w:vAlign w:val="center"/>
          </w:tcPr>
          <w:p>
            <w:pPr>
              <w:pStyle w:val="48"/>
              <w:spacing w:line="240" w:lineRule="auto"/>
              <w:ind w:firstLine="0" w:firstLineChars="0"/>
              <w:jc w:val="center"/>
              <w:rPr>
                <w:rFonts w:ascii="Times New Roman" w:hAnsi="宋体" w:eastAsia="宋体"/>
                <w:color w:val="auto"/>
                <w:sz w:val="21"/>
                <w:szCs w:val="21"/>
                <w:lang w:val="zh-CN"/>
              </w:rPr>
            </w:pPr>
            <w:r>
              <w:rPr>
                <w:rFonts w:hint="eastAsia" w:ascii="Times New Roman" w:hAnsi="宋体" w:eastAsia="宋体"/>
                <w:color w:val="auto"/>
                <w:sz w:val="21"/>
                <w:szCs w:val="21"/>
                <w:lang w:val="zh-CN"/>
              </w:rPr>
              <w:t>NH</w:t>
            </w:r>
            <w:r>
              <w:rPr>
                <w:rFonts w:hint="eastAsia" w:ascii="Times New Roman" w:hAnsi="宋体" w:eastAsia="宋体"/>
                <w:color w:val="auto"/>
                <w:sz w:val="21"/>
                <w:szCs w:val="21"/>
                <w:vertAlign w:val="subscript"/>
                <w:lang w:val="zh-CN"/>
              </w:rPr>
              <w:t>3</w:t>
            </w:r>
          </w:p>
        </w:tc>
        <w:tc>
          <w:tcPr>
            <w:tcW w:w="1276"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1h</w:t>
            </w:r>
          </w:p>
        </w:tc>
        <w:tc>
          <w:tcPr>
            <w:tcW w:w="1984" w:type="dxa"/>
            <w:vAlign w:val="center"/>
          </w:tcPr>
          <w:p>
            <w:pPr>
              <w:pStyle w:val="48"/>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200</w:t>
            </w:r>
          </w:p>
        </w:tc>
        <w:tc>
          <w:tcPr>
            <w:tcW w:w="4040" w:type="dxa"/>
            <w:vMerge w:val="continue"/>
            <w:vAlign w:val="center"/>
          </w:tcPr>
          <w:p>
            <w:pPr>
              <w:pStyle w:val="48"/>
              <w:spacing w:line="240" w:lineRule="auto"/>
              <w:ind w:firstLine="0" w:firstLineChars="0"/>
              <w:jc w:val="center"/>
              <w:rPr>
                <w:rFonts w:ascii="Times New Roman" w:hAnsi="Times New Roman" w:eastAsia="宋体"/>
                <w:color w:val="auto"/>
                <w:sz w:val="21"/>
                <w:szCs w:val="21"/>
              </w:rPr>
            </w:pPr>
          </w:p>
        </w:tc>
      </w:tr>
    </w:tbl>
    <w:p>
      <w:pPr>
        <w:pStyle w:val="5"/>
        <w:rPr>
          <w:color w:val="auto"/>
        </w:rPr>
      </w:pPr>
      <w:r>
        <w:rPr>
          <w:rFonts w:hint="eastAsia"/>
          <w:color w:val="auto"/>
        </w:rPr>
        <w:t>5.2.1.4项目废气产排概况</w:t>
      </w:r>
    </w:p>
    <w:p>
      <w:pPr>
        <w:spacing w:line="360" w:lineRule="auto"/>
        <w:ind w:firstLine="480" w:firstLineChars="200"/>
        <w:jc w:val="left"/>
        <w:rPr>
          <w:color w:val="auto"/>
          <w:sz w:val="24"/>
          <w:szCs w:val="24"/>
        </w:rPr>
      </w:pPr>
      <w:r>
        <w:rPr>
          <w:rFonts w:hint="eastAsia"/>
          <w:color w:val="auto"/>
          <w:sz w:val="24"/>
          <w:szCs w:val="24"/>
        </w:rPr>
        <w:t>根据工程分析，本项目污水预处理区域H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int="eastAsia"/>
          <w:color w:val="auto"/>
          <w:sz w:val="24"/>
          <w:szCs w:val="24"/>
        </w:rPr>
        <w:t>产生速率分别为0.06kg/h和0.03kg/h；生化处理区域H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int="eastAsia"/>
          <w:color w:val="auto"/>
          <w:sz w:val="24"/>
          <w:szCs w:val="24"/>
        </w:rPr>
        <w:t>产生速率分别为0.000581kg/h和0.000195kg/h；污泥处理区域H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int="eastAsia"/>
          <w:color w:val="auto"/>
          <w:sz w:val="24"/>
          <w:szCs w:val="24"/>
        </w:rPr>
        <w:t>产生速率分别为0.66kg/h和0.22kg/h。项目分别在污水预处理单元及污泥脱水机房设置除臭装置，采用化学洗涤+生物滤池工艺。其中，污水预处理单元处除臭装置（主要收集并处理粗格栅及进水泵房、细格栅及曝气沉砂池、应急沉淀池内臭气）处理风量为6000m</w:t>
      </w:r>
      <w:r>
        <w:rPr>
          <w:rFonts w:hint="eastAsia"/>
          <w:color w:val="auto"/>
          <w:sz w:val="24"/>
          <w:szCs w:val="24"/>
          <w:vertAlign w:val="superscript"/>
        </w:rPr>
        <w:t>3</w:t>
      </w:r>
      <w:r>
        <w:rPr>
          <w:rFonts w:hint="eastAsia"/>
          <w:color w:val="auto"/>
          <w:sz w:val="24"/>
          <w:szCs w:val="24"/>
        </w:rPr>
        <w:t>/h，污泥脱水机房处除臭装置（主要收集并处理污泥浓缩池、污泥均质池、污泥脱水机房内臭气）处理风量为22000m</w:t>
      </w:r>
      <w:r>
        <w:rPr>
          <w:rFonts w:hint="eastAsia"/>
          <w:color w:val="auto"/>
          <w:sz w:val="24"/>
          <w:szCs w:val="24"/>
          <w:vertAlign w:val="superscript"/>
        </w:rPr>
        <w:t>3</w:t>
      </w:r>
      <w:r>
        <w:rPr>
          <w:rFonts w:hint="eastAsia"/>
          <w:color w:val="auto"/>
          <w:sz w:val="24"/>
          <w:szCs w:val="24"/>
        </w:rPr>
        <w:t>/h。项目污水预处理单元均加盖封闭，污水预处理和污泥处理建构筑物均为全封闭密封设计，在易散发到大气的地点（如盖板附近）布置收集风口，闸门等可能存在臭气泄露的区域使用不锈钢+丁腈橡胶对闸门接缝处密闭，保证臭气不外溢，通过负压抽吸的方式收集恶臭气体，污水预处理单元及污泥脱水机房产生的臭气通过抽风机收集至化学洗涤+生物滤池除臭装置，收集效率可达100%。参考同类项目，化学洗涤+生物滤池工艺对H</w:t>
      </w:r>
      <w:r>
        <w:rPr>
          <w:rFonts w:hint="eastAsia"/>
          <w:color w:val="auto"/>
          <w:sz w:val="24"/>
          <w:szCs w:val="24"/>
          <w:vertAlign w:val="subscript"/>
        </w:rPr>
        <w:t>2</w:t>
      </w:r>
      <w:r>
        <w:rPr>
          <w:rFonts w:hint="eastAsia"/>
          <w:color w:val="auto"/>
          <w:sz w:val="24"/>
          <w:szCs w:val="24"/>
        </w:rPr>
        <w:t>S实测处理效率大于99%，对NH</w:t>
      </w:r>
      <w:r>
        <w:rPr>
          <w:rFonts w:hint="eastAsia"/>
          <w:color w:val="auto"/>
          <w:sz w:val="24"/>
          <w:szCs w:val="24"/>
          <w:vertAlign w:val="subscript"/>
        </w:rPr>
        <w:t>3</w:t>
      </w:r>
      <w:r>
        <w:rPr>
          <w:rFonts w:hint="eastAsia"/>
          <w:color w:val="auto"/>
          <w:sz w:val="24"/>
          <w:szCs w:val="24"/>
        </w:rPr>
        <w:t>实测处理效率大于90%。经计算，项目H</w:t>
      </w:r>
      <w:r>
        <w:rPr>
          <w:rFonts w:hint="eastAsia"/>
          <w:color w:val="auto"/>
          <w:sz w:val="24"/>
          <w:szCs w:val="24"/>
          <w:vertAlign w:val="subscript"/>
        </w:rPr>
        <w:t>2</w:t>
      </w:r>
      <w:r>
        <w:rPr>
          <w:rFonts w:hint="eastAsia"/>
          <w:color w:val="auto"/>
          <w:sz w:val="24"/>
          <w:szCs w:val="24"/>
        </w:rPr>
        <w:t>S、NH</w:t>
      </w:r>
      <w:r>
        <w:rPr>
          <w:rFonts w:hint="eastAsia"/>
          <w:color w:val="auto"/>
          <w:sz w:val="24"/>
          <w:szCs w:val="24"/>
          <w:vertAlign w:val="subscript"/>
        </w:rPr>
        <w:t>3</w:t>
      </w:r>
      <w:r>
        <w:rPr>
          <w:rFonts w:hint="eastAsia"/>
          <w:color w:val="auto"/>
          <w:sz w:val="24"/>
          <w:szCs w:val="24"/>
        </w:rPr>
        <w:t>无组织排放可以达到《城镇污水处理厂污染物排放标准》（GB18918-2002）及其修改单中表4“厂界（防护带边缘）废气排放最高允许浓度”二级标准限值；有组织排放可以达到《恶臭污染物排放标准》（GB 14554-93）表2排放标准限值</w:t>
      </w:r>
      <w:r>
        <w:rPr>
          <w:rFonts w:hint="eastAsia"/>
          <w:color w:val="auto"/>
          <w:kern w:val="0"/>
          <w:sz w:val="24"/>
          <w:szCs w:val="24"/>
        </w:rPr>
        <w:t>，不会对厂内及周边环境造成明显影响</w:t>
      </w:r>
      <w:r>
        <w:rPr>
          <w:rFonts w:hint="eastAsia"/>
          <w:color w:val="auto"/>
          <w:sz w:val="24"/>
          <w:szCs w:val="24"/>
        </w:rPr>
        <w:t>。</w:t>
      </w:r>
    </w:p>
    <w:p>
      <w:pPr>
        <w:spacing w:line="360" w:lineRule="auto"/>
        <w:ind w:firstLine="480" w:firstLineChars="200"/>
        <w:jc w:val="left"/>
        <w:rPr>
          <w:rFonts w:hAnsi="宋体"/>
          <w:color w:val="auto"/>
          <w:sz w:val="24"/>
        </w:rPr>
      </w:pPr>
      <w:r>
        <w:rPr>
          <w:rFonts w:hAnsi="宋体"/>
          <w:color w:val="auto"/>
          <w:sz w:val="24"/>
        </w:rPr>
        <w:t>经核算，项目大气污染源排放情况如下：</w:t>
      </w:r>
    </w:p>
    <w:p>
      <w:pPr>
        <w:spacing w:line="360" w:lineRule="auto"/>
        <w:ind w:firstLine="480" w:firstLineChars="200"/>
        <w:jc w:val="left"/>
        <w:rPr>
          <w:rFonts w:hAnsi="宋体"/>
          <w:color w:val="auto"/>
          <w:sz w:val="24"/>
        </w:rPr>
      </w:pPr>
    </w:p>
    <w:p>
      <w:pPr>
        <w:spacing w:line="360" w:lineRule="auto"/>
        <w:ind w:firstLine="480" w:firstLineChars="200"/>
        <w:jc w:val="left"/>
        <w:rPr>
          <w:rFonts w:hAnsi="宋体"/>
          <w:color w:val="auto"/>
          <w:sz w:val="24"/>
        </w:rPr>
      </w:pPr>
    </w:p>
    <w:p>
      <w:pPr>
        <w:pStyle w:val="47"/>
        <w:ind w:left="420"/>
        <w:rPr>
          <w:rFonts w:ascii="Times New Roman" w:hAnsi="Times New Roman" w:eastAsia="宋体"/>
          <w:b/>
          <w:color w:val="auto"/>
          <w:sz w:val="24"/>
        </w:rPr>
      </w:pPr>
      <w:r>
        <w:rPr>
          <w:rFonts w:hint="eastAsia" w:ascii="Times New Roman" w:hAnsi="宋体" w:eastAsia="宋体"/>
          <w:b/>
          <w:color w:val="auto"/>
          <w:sz w:val="24"/>
        </w:rPr>
        <w:t xml:space="preserve">表5-2-4   </w:t>
      </w:r>
      <w:r>
        <w:rPr>
          <w:rFonts w:ascii="Times New Roman" w:hAnsi="宋体" w:eastAsia="宋体"/>
          <w:b/>
          <w:color w:val="auto"/>
          <w:sz w:val="24"/>
        </w:rPr>
        <w:t>大气污染物有组织排放量核算表</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442"/>
        <w:gridCol w:w="1330"/>
        <w:gridCol w:w="1845"/>
        <w:gridCol w:w="1931"/>
        <w:gridCol w:w="1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序号</w:t>
            </w:r>
          </w:p>
        </w:tc>
        <w:tc>
          <w:tcPr>
            <w:tcW w:w="1442"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排放口编号</w:t>
            </w:r>
          </w:p>
        </w:tc>
        <w:tc>
          <w:tcPr>
            <w:tcW w:w="1330"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污染物</w:t>
            </w:r>
          </w:p>
        </w:tc>
        <w:tc>
          <w:tcPr>
            <w:tcW w:w="1845"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核算排放浓度/</w:t>
            </w:r>
          </w:p>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（mg/m</w:t>
            </w:r>
            <w:r>
              <w:rPr>
                <w:rFonts w:ascii="Times New Roman" w:hAnsi="Times New Roman" w:eastAsia="宋体"/>
                <w:b/>
                <w:color w:val="auto"/>
                <w:sz w:val="21"/>
                <w:szCs w:val="21"/>
                <w:vertAlign w:val="superscript"/>
              </w:rPr>
              <w:t>3</w:t>
            </w:r>
            <w:r>
              <w:rPr>
                <w:rFonts w:ascii="Times New Roman" w:hAnsi="Times New Roman" w:eastAsia="宋体"/>
                <w:b/>
                <w:color w:val="auto"/>
                <w:sz w:val="21"/>
                <w:szCs w:val="21"/>
              </w:rPr>
              <w:t>）</w:t>
            </w:r>
          </w:p>
        </w:tc>
        <w:tc>
          <w:tcPr>
            <w:tcW w:w="1931"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核算排放速率/</w:t>
            </w:r>
          </w:p>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（kg/h）</w:t>
            </w:r>
          </w:p>
        </w:tc>
        <w:tc>
          <w:tcPr>
            <w:tcW w:w="1927"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核算年排放量/</w:t>
            </w:r>
          </w:p>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0" w:type="dxa"/>
            <w:gridSpan w:val="6"/>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一般</w:t>
            </w:r>
            <w:r>
              <w:rPr>
                <w:rFonts w:ascii="Times New Roman" w:hAnsi="Times New Roman" w:eastAsia="宋体"/>
                <w:color w:val="auto"/>
                <w:sz w:val="21"/>
                <w:szCs w:val="21"/>
              </w:rPr>
              <w:t>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1</w:t>
            </w:r>
          </w:p>
        </w:tc>
        <w:tc>
          <w:tcPr>
            <w:tcW w:w="1442"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w:t>
            </w:r>
          </w:p>
        </w:tc>
        <w:tc>
          <w:tcPr>
            <w:tcW w:w="133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1845" w:type="dxa"/>
            <w:vAlign w:val="center"/>
          </w:tcPr>
          <w:p>
            <w:pPr>
              <w:snapToGrid w:val="0"/>
              <w:jc w:val="center"/>
              <w:rPr>
                <w:color w:val="auto"/>
                <w:sz w:val="21"/>
                <w:szCs w:val="21"/>
              </w:rPr>
            </w:pPr>
            <w:r>
              <w:rPr>
                <w:rFonts w:hint="eastAsia"/>
                <w:color w:val="auto"/>
                <w:sz w:val="21"/>
                <w:szCs w:val="21"/>
              </w:rPr>
              <w:t>0.10</w:t>
            </w:r>
          </w:p>
        </w:tc>
        <w:tc>
          <w:tcPr>
            <w:tcW w:w="1931" w:type="dxa"/>
            <w:vAlign w:val="center"/>
          </w:tcPr>
          <w:p>
            <w:pPr>
              <w:snapToGrid w:val="0"/>
              <w:jc w:val="center"/>
              <w:rPr>
                <w:color w:val="auto"/>
                <w:sz w:val="21"/>
                <w:szCs w:val="21"/>
              </w:rPr>
            </w:pPr>
            <w:r>
              <w:rPr>
                <w:rFonts w:hint="eastAsia"/>
                <w:color w:val="auto"/>
                <w:sz w:val="21"/>
                <w:szCs w:val="21"/>
              </w:rPr>
              <w:t>0.0006</w:t>
            </w:r>
          </w:p>
        </w:tc>
        <w:tc>
          <w:tcPr>
            <w:tcW w:w="1927" w:type="dxa"/>
            <w:vAlign w:val="center"/>
          </w:tcPr>
          <w:p>
            <w:pPr>
              <w:jc w:val="center"/>
              <w:rPr>
                <w:rFonts w:ascii="宋体" w:hAnsi="宋体" w:cs="宋体"/>
                <w:color w:val="auto"/>
                <w:sz w:val="21"/>
                <w:szCs w:val="21"/>
              </w:rPr>
            </w:pPr>
            <w:r>
              <w:rPr>
                <w:rFonts w:hint="eastAsia"/>
                <w:color w:val="auto"/>
                <w:sz w:val="21"/>
                <w:szCs w:val="21"/>
              </w:rPr>
              <w:t>0.0053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2</w:t>
            </w:r>
          </w:p>
        </w:tc>
        <w:tc>
          <w:tcPr>
            <w:tcW w:w="1442"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w:t>
            </w:r>
          </w:p>
        </w:tc>
        <w:tc>
          <w:tcPr>
            <w:tcW w:w="133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c>
          <w:tcPr>
            <w:tcW w:w="1845" w:type="dxa"/>
            <w:vAlign w:val="center"/>
          </w:tcPr>
          <w:p>
            <w:pPr>
              <w:snapToGrid w:val="0"/>
              <w:jc w:val="center"/>
              <w:rPr>
                <w:color w:val="auto"/>
                <w:sz w:val="21"/>
                <w:szCs w:val="21"/>
              </w:rPr>
            </w:pPr>
            <w:r>
              <w:rPr>
                <w:rFonts w:hint="eastAsia"/>
                <w:color w:val="auto"/>
                <w:sz w:val="21"/>
                <w:szCs w:val="21"/>
              </w:rPr>
              <w:t>0.50</w:t>
            </w:r>
          </w:p>
        </w:tc>
        <w:tc>
          <w:tcPr>
            <w:tcW w:w="1931" w:type="dxa"/>
            <w:vAlign w:val="center"/>
          </w:tcPr>
          <w:p>
            <w:pPr>
              <w:snapToGrid w:val="0"/>
              <w:jc w:val="center"/>
              <w:rPr>
                <w:color w:val="auto"/>
                <w:sz w:val="21"/>
                <w:szCs w:val="21"/>
              </w:rPr>
            </w:pPr>
            <w:r>
              <w:rPr>
                <w:rFonts w:hint="eastAsia"/>
                <w:color w:val="auto"/>
                <w:sz w:val="21"/>
                <w:szCs w:val="21"/>
              </w:rPr>
              <w:t>0.0030</w:t>
            </w:r>
          </w:p>
        </w:tc>
        <w:tc>
          <w:tcPr>
            <w:tcW w:w="1927" w:type="dxa"/>
            <w:vAlign w:val="center"/>
          </w:tcPr>
          <w:p>
            <w:pPr>
              <w:jc w:val="center"/>
              <w:rPr>
                <w:rFonts w:ascii="宋体" w:hAnsi="宋体" w:cs="宋体"/>
                <w:color w:val="auto"/>
                <w:sz w:val="21"/>
                <w:szCs w:val="21"/>
              </w:rPr>
            </w:pPr>
            <w:r>
              <w:rPr>
                <w:rFonts w:hint="eastAsia"/>
                <w:color w:val="auto"/>
                <w:sz w:val="21"/>
                <w:szCs w:val="21"/>
              </w:rPr>
              <w:t>0.0263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3</w:t>
            </w:r>
          </w:p>
        </w:tc>
        <w:tc>
          <w:tcPr>
            <w:tcW w:w="1442"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2</w:t>
            </w:r>
          </w:p>
        </w:tc>
        <w:tc>
          <w:tcPr>
            <w:tcW w:w="133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1845" w:type="dxa"/>
            <w:vAlign w:val="center"/>
          </w:tcPr>
          <w:p>
            <w:pPr>
              <w:snapToGrid w:val="0"/>
              <w:jc w:val="center"/>
              <w:rPr>
                <w:color w:val="auto"/>
                <w:sz w:val="21"/>
                <w:szCs w:val="21"/>
              </w:rPr>
            </w:pPr>
            <w:r>
              <w:rPr>
                <w:rFonts w:hint="eastAsia"/>
                <w:color w:val="auto"/>
                <w:sz w:val="21"/>
                <w:szCs w:val="21"/>
              </w:rPr>
              <w:t>0.30</w:t>
            </w:r>
          </w:p>
        </w:tc>
        <w:tc>
          <w:tcPr>
            <w:tcW w:w="1931" w:type="dxa"/>
            <w:vAlign w:val="center"/>
          </w:tcPr>
          <w:p>
            <w:pPr>
              <w:snapToGrid w:val="0"/>
              <w:jc w:val="center"/>
              <w:rPr>
                <w:color w:val="auto"/>
                <w:sz w:val="21"/>
                <w:szCs w:val="21"/>
              </w:rPr>
            </w:pPr>
            <w:r>
              <w:rPr>
                <w:rFonts w:hint="eastAsia"/>
                <w:color w:val="auto"/>
                <w:sz w:val="21"/>
                <w:szCs w:val="21"/>
              </w:rPr>
              <w:t>0.0066</w:t>
            </w:r>
          </w:p>
        </w:tc>
        <w:tc>
          <w:tcPr>
            <w:tcW w:w="1927" w:type="dxa"/>
            <w:vAlign w:val="center"/>
          </w:tcPr>
          <w:p>
            <w:pPr>
              <w:jc w:val="center"/>
              <w:rPr>
                <w:rFonts w:ascii="宋体" w:hAnsi="宋体" w:cs="宋体"/>
                <w:color w:val="auto"/>
                <w:sz w:val="21"/>
                <w:szCs w:val="21"/>
              </w:rPr>
            </w:pPr>
            <w:r>
              <w:rPr>
                <w:rFonts w:hint="eastAsia"/>
                <w:color w:val="auto"/>
                <w:sz w:val="21"/>
                <w:szCs w:val="21"/>
              </w:rPr>
              <w:t>0.0578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4</w:t>
            </w:r>
          </w:p>
        </w:tc>
        <w:tc>
          <w:tcPr>
            <w:tcW w:w="1442"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2</w:t>
            </w:r>
          </w:p>
        </w:tc>
        <w:tc>
          <w:tcPr>
            <w:tcW w:w="133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c>
          <w:tcPr>
            <w:tcW w:w="1845" w:type="dxa"/>
            <w:vAlign w:val="center"/>
          </w:tcPr>
          <w:p>
            <w:pPr>
              <w:snapToGrid w:val="0"/>
              <w:jc w:val="center"/>
              <w:rPr>
                <w:color w:val="auto"/>
                <w:sz w:val="21"/>
                <w:szCs w:val="21"/>
              </w:rPr>
            </w:pPr>
            <w:r>
              <w:rPr>
                <w:rFonts w:hint="eastAsia"/>
                <w:color w:val="auto"/>
                <w:sz w:val="21"/>
                <w:szCs w:val="21"/>
              </w:rPr>
              <w:t>1.00</w:t>
            </w:r>
          </w:p>
        </w:tc>
        <w:tc>
          <w:tcPr>
            <w:tcW w:w="1931" w:type="dxa"/>
            <w:vAlign w:val="center"/>
          </w:tcPr>
          <w:p>
            <w:pPr>
              <w:snapToGrid w:val="0"/>
              <w:jc w:val="center"/>
              <w:rPr>
                <w:color w:val="auto"/>
                <w:sz w:val="21"/>
                <w:szCs w:val="21"/>
              </w:rPr>
            </w:pPr>
            <w:r>
              <w:rPr>
                <w:rFonts w:hint="eastAsia"/>
                <w:color w:val="auto"/>
                <w:sz w:val="21"/>
                <w:szCs w:val="21"/>
              </w:rPr>
              <w:t>0.0220</w:t>
            </w:r>
          </w:p>
        </w:tc>
        <w:tc>
          <w:tcPr>
            <w:tcW w:w="1927" w:type="dxa"/>
            <w:vAlign w:val="center"/>
          </w:tcPr>
          <w:p>
            <w:pPr>
              <w:jc w:val="center"/>
              <w:rPr>
                <w:rFonts w:ascii="宋体" w:hAnsi="宋体" w:cs="宋体"/>
                <w:color w:val="auto"/>
                <w:sz w:val="21"/>
                <w:szCs w:val="21"/>
              </w:rPr>
            </w:pPr>
            <w:r>
              <w:rPr>
                <w:rFonts w:hint="eastAsia"/>
                <w:color w:val="auto"/>
                <w:sz w:val="21"/>
                <w:szCs w:val="21"/>
              </w:rPr>
              <w:t>0.1927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7" w:type="dxa"/>
            <w:gridSpan w:val="2"/>
            <w:vMerge w:val="restart"/>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一般</w:t>
            </w:r>
            <w:r>
              <w:rPr>
                <w:rFonts w:ascii="Times New Roman" w:hAnsi="Times New Roman" w:eastAsia="宋体"/>
                <w:color w:val="auto"/>
                <w:sz w:val="21"/>
                <w:szCs w:val="21"/>
              </w:rPr>
              <w:t>排放口合计</w:t>
            </w:r>
          </w:p>
        </w:tc>
        <w:tc>
          <w:tcPr>
            <w:tcW w:w="5106" w:type="dxa"/>
            <w:gridSpan w:val="3"/>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192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7" w:type="dxa"/>
            <w:gridSpan w:val="2"/>
            <w:vMerge w:val="continue"/>
            <w:vAlign w:val="center"/>
          </w:tcPr>
          <w:p>
            <w:pPr>
              <w:pStyle w:val="49"/>
              <w:spacing w:line="240" w:lineRule="auto"/>
              <w:rPr>
                <w:rFonts w:ascii="Times New Roman" w:hAnsi="Times New Roman" w:eastAsia="宋体"/>
                <w:color w:val="auto"/>
                <w:sz w:val="21"/>
                <w:szCs w:val="21"/>
              </w:rPr>
            </w:pPr>
          </w:p>
        </w:tc>
        <w:tc>
          <w:tcPr>
            <w:tcW w:w="5106" w:type="dxa"/>
            <w:gridSpan w:val="3"/>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c>
          <w:tcPr>
            <w:tcW w:w="192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0.2190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0" w:type="dxa"/>
            <w:gridSpan w:val="6"/>
            <w:vAlign w:val="center"/>
          </w:tcPr>
          <w:p>
            <w:pPr>
              <w:pStyle w:val="49"/>
              <w:spacing w:line="240" w:lineRule="auto"/>
              <w:rPr>
                <w:rFonts w:ascii="Times New Roman" w:hAnsi="Times New Roman" w:eastAsia="宋体"/>
                <w:bCs/>
                <w:color w:val="auto"/>
                <w:sz w:val="21"/>
                <w:szCs w:val="21"/>
              </w:rPr>
            </w:pPr>
            <w:r>
              <w:rPr>
                <w:rFonts w:ascii="Times New Roman" w:hAnsi="Times New Roman" w:eastAsia="宋体"/>
                <w:color w:val="auto"/>
                <w:sz w:val="21"/>
                <w:szCs w:val="21"/>
              </w:rPr>
              <w:t>有组织排放总计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7" w:type="dxa"/>
            <w:gridSpan w:val="2"/>
            <w:vMerge w:val="restart"/>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有组织排放总计</w:t>
            </w:r>
          </w:p>
        </w:tc>
        <w:tc>
          <w:tcPr>
            <w:tcW w:w="5106" w:type="dxa"/>
            <w:gridSpan w:val="3"/>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192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7" w:type="dxa"/>
            <w:gridSpan w:val="2"/>
            <w:vMerge w:val="continue"/>
            <w:vAlign w:val="center"/>
          </w:tcPr>
          <w:p>
            <w:pPr>
              <w:pStyle w:val="49"/>
              <w:spacing w:line="240" w:lineRule="auto"/>
              <w:rPr>
                <w:rFonts w:ascii="Times New Roman" w:hAnsi="Times New Roman" w:eastAsia="宋体"/>
                <w:color w:val="auto"/>
                <w:sz w:val="21"/>
                <w:szCs w:val="21"/>
              </w:rPr>
            </w:pPr>
          </w:p>
        </w:tc>
        <w:tc>
          <w:tcPr>
            <w:tcW w:w="5106" w:type="dxa"/>
            <w:gridSpan w:val="3"/>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c>
          <w:tcPr>
            <w:tcW w:w="192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0.2190</w:t>
            </w:r>
          </w:p>
        </w:tc>
      </w:tr>
    </w:tbl>
    <w:p>
      <w:pPr>
        <w:pStyle w:val="47"/>
        <w:rPr>
          <w:rFonts w:ascii="Times New Roman" w:hAnsi="宋体" w:eastAsia="宋体"/>
          <w:b/>
          <w:color w:val="auto"/>
          <w:sz w:val="24"/>
        </w:rPr>
      </w:pPr>
      <w:r>
        <w:rPr>
          <w:rFonts w:hint="eastAsia" w:ascii="Times New Roman" w:hAnsi="宋体" w:eastAsia="宋体"/>
          <w:b/>
          <w:color w:val="auto"/>
          <w:sz w:val="24"/>
        </w:rPr>
        <w:t xml:space="preserve">表5-2-5   </w:t>
      </w:r>
      <w:r>
        <w:rPr>
          <w:rFonts w:ascii="Times New Roman" w:hAnsi="宋体" w:eastAsia="宋体"/>
          <w:b/>
          <w:color w:val="auto"/>
          <w:sz w:val="24"/>
        </w:rPr>
        <w:t>大气污染物</w:t>
      </w:r>
      <w:r>
        <w:rPr>
          <w:rFonts w:hint="eastAsia" w:ascii="Times New Roman" w:hAnsi="宋体" w:eastAsia="宋体"/>
          <w:b/>
          <w:color w:val="auto"/>
          <w:sz w:val="24"/>
        </w:rPr>
        <w:t>无</w:t>
      </w:r>
      <w:r>
        <w:rPr>
          <w:rFonts w:ascii="Times New Roman" w:hAnsi="宋体" w:eastAsia="宋体"/>
          <w:b/>
          <w:color w:val="auto"/>
          <w:sz w:val="24"/>
        </w:rPr>
        <w:t>组织排放量核算表</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084"/>
        <w:gridCol w:w="525"/>
        <w:gridCol w:w="366"/>
        <w:gridCol w:w="1086"/>
        <w:gridCol w:w="2487"/>
        <w:gridCol w:w="1477"/>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序号</w:t>
            </w:r>
          </w:p>
        </w:tc>
        <w:tc>
          <w:tcPr>
            <w:tcW w:w="1084"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排放口</w:t>
            </w:r>
          </w:p>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编号</w:t>
            </w:r>
          </w:p>
        </w:tc>
        <w:tc>
          <w:tcPr>
            <w:tcW w:w="891" w:type="dxa"/>
            <w:gridSpan w:val="2"/>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产污</w:t>
            </w:r>
          </w:p>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环节</w:t>
            </w:r>
          </w:p>
        </w:tc>
        <w:tc>
          <w:tcPr>
            <w:tcW w:w="1086"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污染物</w:t>
            </w:r>
          </w:p>
        </w:tc>
        <w:tc>
          <w:tcPr>
            <w:tcW w:w="3964" w:type="dxa"/>
            <w:gridSpan w:val="2"/>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国家或地方污染物排放标准</w:t>
            </w:r>
          </w:p>
        </w:tc>
        <w:tc>
          <w:tcPr>
            <w:tcW w:w="1538"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年排放量</w:t>
            </w:r>
            <w:r>
              <w:rPr>
                <w:rFonts w:ascii="Times New Roman" w:hAnsi="Times New Roman" w:eastAsia="宋体"/>
                <w:b/>
                <w:color w:val="auto"/>
                <w:sz w:val="21"/>
                <w:szCs w:val="21"/>
              </w:rPr>
              <w:t>/</w:t>
            </w:r>
          </w:p>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w:t>
            </w:r>
            <w:r>
              <w:rPr>
                <w:rFonts w:ascii="Times New Roman" w:hAnsi="Times New Roman" w:eastAsia="宋体"/>
                <w:b/>
                <w:color w:val="auto"/>
                <w:sz w:val="21"/>
                <w:szCs w:val="21"/>
              </w:rPr>
              <w:t>t/a</w:t>
            </w:r>
            <w:r>
              <w:rPr>
                <w:rFonts w:ascii="Times New Roman" w:hAnsi="宋体" w:eastAsia="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continue"/>
            <w:vAlign w:val="center"/>
          </w:tcPr>
          <w:p>
            <w:pPr>
              <w:pStyle w:val="49"/>
              <w:spacing w:line="240" w:lineRule="auto"/>
              <w:rPr>
                <w:rFonts w:ascii="Times New Roman" w:hAnsi="Times New Roman" w:eastAsia="宋体"/>
                <w:color w:val="auto"/>
                <w:sz w:val="21"/>
                <w:szCs w:val="21"/>
              </w:rPr>
            </w:pPr>
          </w:p>
        </w:tc>
        <w:tc>
          <w:tcPr>
            <w:tcW w:w="1084" w:type="dxa"/>
            <w:vMerge w:val="continue"/>
            <w:vAlign w:val="center"/>
          </w:tcPr>
          <w:p>
            <w:pPr>
              <w:pStyle w:val="49"/>
              <w:spacing w:line="240" w:lineRule="auto"/>
              <w:rPr>
                <w:rFonts w:ascii="Times New Roman" w:hAnsi="Times New Roman" w:eastAsia="宋体"/>
                <w:color w:val="auto"/>
                <w:sz w:val="21"/>
                <w:szCs w:val="21"/>
              </w:rPr>
            </w:pPr>
          </w:p>
        </w:tc>
        <w:tc>
          <w:tcPr>
            <w:tcW w:w="891" w:type="dxa"/>
            <w:gridSpan w:val="2"/>
            <w:vMerge w:val="continue"/>
            <w:vAlign w:val="center"/>
          </w:tcPr>
          <w:p>
            <w:pPr>
              <w:pStyle w:val="49"/>
              <w:spacing w:line="240" w:lineRule="auto"/>
              <w:rPr>
                <w:rFonts w:ascii="Times New Roman" w:hAnsi="Times New Roman" w:eastAsia="宋体"/>
                <w:color w:val="auto"/>
                <w:sz w:val="21"/>
                <w:szCs w:val="21"/>
              </w:rPr>
            </w:pPr>
          </w:p>
        </w:tc>
        <w:tc>
          <w:tcPr>
            <w:tcW w:w="1086" w:type="dxa"/>
            <w:vMerge w:val="continue"/>
            <w:vAlign w:val="center"/>
          </w:tcPr>
          <w:p>
            <w:pPr>
              <w:pStyle w:val="49"/>
              <w:spacing w:line="240" w:lineRule="auto"/>
              <w:rPr>
                <w:rFonts w:ascii="Times New Roman" w:hAnsi="Times New Roman" w:eastAsia="宋体"/>
                <w:color w:val="auto"/>
                <w:sz w:val="21"/>
                <w:szCs w:val="21"/>
              </w:rPr>
            </w:pPr>
          </w:p>
        </w:tc>
        <w:tc>
          <w:tcPr>
            <w:tcW w:w="2487"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标准名称</w:t>
            </w:r>
          </w:p>
        </w:tc>
        <w:tc>
          <w:tcPr>
            <w:tcW w:w="1477"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浓度限值</w:t>
            </w:r>
            <w:r>
              <w:rPr>
                <w:rFonts w:ascii="Times New Roman" w:hAnsi="Times New Roman" w:eastAsia="宋体"/>
                <w:b/>
                <w:color w:val="auto"/>
                <w:sz w:val="21"/>
                <w:szCs w:val="21"/>
              </w:rPr>
              <w:t>/</w:t>
            </w:r>
          </w:p>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w:t>
            </w:r>
            <w:r>
              <w:rPr>
                <w:rFonts w:hint="eastAsia" w:ascii="Times New Roman" w:hAnsi="Times New Roman" w:eastAsia="宋体"/>
                <w:b/>
                <w:color w:val="auto"/>
                <w:sz w:val="21"/>
                <w:szCs w:val="21"/>
              </w:rPr>
              <w:t>μ</w:t>
            </w:r>
            <w:r>
              <w:rPr>
                <w:rFonts w:ascii="Times New Roman" w:hAnsi="Times New Roman" w:eastAsia="宋体"/>
                <w:b/>
                <w:color w:val="auto"/>
                <w:sz w:val="21"/>
                <w:szCs w:val="21"/>
              </w:rPr>
              <w:t>g/m</w:t>
            </w:r>
            <w:r>
              <w:rPr>
                <w:rFonts w:ascii="Times New Roman" w:hAnsi="Times New Roman" w:eastAsia="宋体"/>
                <w:b/>
                <w:color w:val="auto"/>
                <w:sz w:val="21"/>
                <w:szCs w:val="21"/>
                <w:vertAlign w:val="superscript"/>
              </w:rPr>
              <w:t>3</w:t>
            </w:r>
            <w:r>
              <w:rPr>
                <w:rFonts w:ascii="Times New Roman" w:hAnsi="宋体" w:eastAsia="宋体"/>
                <w:b/>
                <w:color w:val="auto"/>
                <w:sz w:val="21"/>
                <w:szCs w:val="21"/>
              </w:rPr>
              <w:t>）</w:t>
            </w:r>
          </w:p>
        </w:tc>
        <w:tc>
          <w:tcPr>
            <w:tcW w:w="1538" w:type="dxa"/>
            <w:vMerge w:val="continue"/>
            <w:vAlign w:val="center"/>
          </w:tcPr>
          <w:p>
            <w:pPr>
              <w:pStyle w:val="49"/>
              <w:spacing w:line="240" w:lineRule="auto"/>
              <w:rPr>
                <w:rFonts w:ascii="Times New Roman" w:hAnsi="Times New Roman"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3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w:t>
            </w:r>
          </w:p>
        </w:tc>
        <w:tc>
          <w:tcPr>
            <w:tcW w:w="1084" w:type="dxa"/>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w:t>
            </w:r>
          </w:p>
        </w:tc>
        <w:tc>
          <w:tcPr>
            <w:tcW w:w="891" w:type="dxa"/>
            <w:gridSpan w:val="2"/>
            <w:vMerge w:val="restart"/>
            <w:vAlign w:val="center"/>
          </w:tcPr>
          <w:p>
            <w:pPr>
              <w:pStyle w:val="49"/>
              <w:spacing w:line="240" w:lineRule="auto"/>
              <w:rPr>
                <w:rFonts w:ascii="Times New Roman" w:hAnsi="Times New Roman" w:eastAsia="宋体"/>
                <w:color w:val="auto"/>
                <w:kern w:val="0"/>
                <w:sz w:val="21"/>
                <w:szCs w:val="21"/>
              </w:rPr>
            </w:pPr>
            <w:r>
              <w:rPr>
                <w:rFonts w:hint="eastAsia" w:ascii="Times New Roman" w:hAnsi="宋体" w:eastAsia="宋体"/>
                <w:color w:val="auto"/>
                <w:sz w:val="21"/>
                <w:szCs w:val="21"/>
              </w:rPr>
              <w:t>生化处理</w:t>
            </w:r>
          </w:p>
        </w:tc>
        <w:tc>
          <w:tcPr>
            <w:tcW w:w="1086"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2487" w:type="dxa"/>
            <w:vMerge w:val="restart"/>
            <w:vAlign w:val="center"/>
          </w:tcPr>
          <w:p>
            <w:pPr>
              <w:pStyle w:val="49"/>
              <w:spacing w:line="240" w:lineRule="auto"/>
              <w:rPr>
                <w:rFonts w:ascii="Times New Roman" w:hAnsi="Times New Roman" w:eastAsia="宋体"/>
                <w:bCs/>
                <w:color w:val="auto"/>
                <w:kern w:val="0"/>
                <w:sz w:val="21"/>
                <w:szCs w:val="21"/>
              </w:rPr>
            </w:pPr>
            <w:r>
              <w:rPr>
                <w:rFonts w:ascii="Times New Roman" w:hAnsi="宋体" w:eastAsia="宋体"/>
                <w:color w:val="auto"/>
                <w:sz w:val="21"/>
                <w:szCs w:val="21"/>
              </w:rPr>
              <w:t>《城镇污水处理厂污染</w:t>
            </w:r>
            <w:r>
              <w:rPr>
                <w:rFonts w:hint="eastAsia" w:ascii="Times New Roman" w:hAnsi="宋体" w:eastAsia="宋体"/>
                <w:color w:val="auto"/>
                <w:sz w:val="21"/>
                <w:szCs w:val="21"/>
              </w:rPr>
              <w:t>物</w:t>
            </w:r>
            <w:r>
              <w:rPr>
                <w:rFonts w:ascii="Times New Roman" w:hAnsi="宋体" w:eastAsia="宋体"/>
                <w:color w:val="auto"/>
                <w:sz w:val="21"/>
                <w:szCs w:val="21"/>
              </w:rPr>
              <w:t>排放标准》（</w:t>
            </w:r>
            <w:r>
              <w:rPr>
                <w:rFonts w:ascii="Times New Roman" w:hAnsi="Times New Roman" w:eastAsia="宋体"/>
                <w:color w:val="auto"/>
                <w:sz w:val="21"/>
                <w:szCs w:val="21"/>
              </w:rPr>
              <w:t>GB18918-2002</w:t>
            </w:r>
            <w:r>
              <w:rPr>
                <w:rFonts w:ascii="Times New Roman" w:hAnsi="宋体" w:eastAsia="宋体"/>
                <w:color w:val="auto"/>
                <w:sz w:val="21"/>
                <w:szCs w:val="21"/>
              </w:rPr>
              <w:t>）及其修改单</w:t>
            </w:r>
          </w:p>
        </w:tc>
        <w:tc>
          <w:tcPr>
            <w:tcW w:w="147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60</w:t>
            </w:r>
          </w:p>
        </w:tc>
        <w:tc>
          <w:tcPr>
            <w:tcW w:w="1538"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2</w:t>
            </w:r>
          </w:p>
        </w:tc>
        <w:tc>
          <w:tcPr>
            <w:tcW w:w="108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w:t>
            </w:r>
          </w:p>
        </w:tc>
        <w:tc>
          <w:tcPr>
            <w:tcW w:w="891" w:type="dxa"/>
            <w:gridSpan w:val="2"/>
            <w:vMerge w:val="continue"/>
            <w:vAlign w:val="center"/>
          </w:tcPr>
          <w:p>
            <w:pPr>
              <w:pStyle w:val="49"/>
              <w:spacing w:line="240" w:lineRule="auto"/>
              <w:rPr>
                <w:rFonts w:ascii="Times New Roman" w:hAnsi="宋体" w:eastAsia="宋体"/>
                <w:color w:val="auto"/>
                <w:sz w:val="21"/>
                <w:szCs w:val="21"/>
              </w:rPr>
            </w:pPr>
          </w:p>
        </w:tc>
        <w:tc>
          <w:tcPr>
            <w:tcW w:w="1086"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c>
          <w:tcPr>
            <w:tcW w:w="2487" w:type="dxa"/>
            <w:vMerge w:val="continue"/>
            <w:vAlign w:val="center"/>
          </w:tcPr>
          <w:p>
            <w:pPr>
              <w:pStyle w:val="49"/>
              <w:spacing w:line="240" w:lineRule="auto"/>
              <w:rPr>
                <w:rFonts w:ascii="Times New Roman" w:hAnsi="Times New Roman" w:eastAsia="宋体"/>
                <w:bCs/>
                <w:color w:val="auto"/>
                <w:kern w:val="0"/>
                <w:sz w:val="21"/>
                <w:szCs w:val="21"/>
              </w:rPr>
            </w:pPr>
          </w:p>
        </w:tc>
        <w:tc>
          <w:tcPr>
            <w:tcW w:w="1477"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1500</w:t>
            </w:r>
          </w:p>
        </w:tc>
        <w:tc>
          <w:tcPr>
            <w:tcW w:w="1538"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300" w:type="dxa"/>
            <w:gridSpan w:val="8"/>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 xml:space="preserve"> </w:t>
            </w:r>
            <w:r>
              <w:rPr>
                <w:rFonts w:ascii="Times New Roman" w:hAnsi="宋体" w:eastAsia="宋体"/>
                <w:color w:val="auto"/>
                <w:sz w:val="21"/>
                <w:szCs w:val="21"/>
              </w:rPr>
              <w:t>无组织排放总计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2346" w:type="dxa"/>
            <w:gridSpan w:val="3"/>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无组织排放总计</w:t>
            </w:r>
          </w:p>
        </w:tc>
        <w:tc>
          <w:tcPr>
            <w:tcW w:w="5416" w:type="dxa"/>
            <w:gridSpan w:val="4"/>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1538"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6" w:type="dxa"/>
            <w:gridSpan w:val="3"/>
            <w:vMerge w:val="continue"/>
            <w:vAlign w:val="center"/>
          </w:tcPr>
          <w:p>
            <w:pPr>
              <w:pStyle w:val="49"/>
              <w:spacing w:line="240" w:lineRule="auto"/>
              <w:rPr>
                <w:rFonts w:ascii="Times New Roman" w:hAnsi="宋体" w:eastAsia="宋体"/>
                <w:color w:val="auto"/>
                <w:sz w:val="21"/>
                <w:szCs w:val="21"/>
              </w:rPr>
            </w:pPr>
          </w:p>
        </w:tc>
        <w:tc>
          <w:tcPr>
            <w:tcW w:w="5416" w:type="dxa"/>
            <w:gridSpan w:val="4"/>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c>
          <w:tcPr>
            <w:tcW w:w="1538"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0.0017</w:t>
            </w:r>
          </w:p>
        </w:tc>
      </w:tr>
    </w:tbl>
    <w:p>
      <w:pPr>
        <w:pStyle w:val="47"/>
        <w:rPr>
          <w:rFonts w:ascii="Times New Roman" w:hAnsi="Times New Roman" w:eastAsia="宋体"/>
          <w:b/>
          <w:color w:val="auto"/>
          <w:sz w:val="24"/>
        </w:rPr>
      </w:pPr>
      <w:r>
        <w:rPr>
          <w:rFonts w:hint="eastAsia" w:ascii="Times New Roman" w:hAnsi="宋体" w:eastAsia="宋体"/>
          <w:b/>
          <w:color w:val="auto"/>
          <w:sz w:val="24"/>
        </w:rPr>
        <w:t xml:space="preserve">表5-2-6   </w:t>
      </w:r>
      <w:r>
        <w:rPr>
          <w:rFonts w:ascii="Times New Roman" w:hAnsi="宋体" w:eastAsia="宋体"/>
          <w:b/>
          <w:color w:val="auto"/>
          <w:sz w:val="24"/>
        </w:rPr>
        <w:t>大气污染物年排放量核算表</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4072"/>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9"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序号</w:t>
            </w:r>
          </w:p>
        </w:tc>
        <w:tc>
          <w:tcPr>
            <w:tcW w:w="4072"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污染物</w:t>
            </w:r>
          </w:p>
        </w:tc>
        <w:tc>
          <w:tcPr>
            <w:tcW w:w="3099"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w:t>
            </w:r>
          </w:p>
        </w:tc>
        <w:tc>
          <w:tcPr>
            <w:tcW w:w="4072"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309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2</w:t>
            </w:r>
          </w:p>
        </w:tc>
        <w:tc>
          <w:tcPr>
            <w:tcW w:w="4072"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c>
          <w:tcPr>
            <w:tcW w:w="309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0.2207</w:t>
            </w:r>
          </w:p>
        </w:tc>
      </w:tr>
    </w:tbl>
    <w:p>
      <w:pPr>
        <w:pStyle w:val="5"/>
        <w:rPr>
          <w:color w:val="auto"/>
        </w:rPr>
      </w:pPr>
      <w:r>
        <w:rPr>
          <w:rFonts w:hint="eastAsia"/>
          <w:color w:val="auto"/>
        </w:rPr>
        <w:t>5.2.1.5预测源强</w:t>
      </w:r>
    </w:p>
    <w:p>
      <w:pPr>
        <w:spacing w:line="360" w:lineRule="auto"/>
        <w:ind w:firstLine="480" w:firstLineChars="200"/>
        <w:jc w:val="left"/>
        <w:rPr>
          <w:color w:val="auto"/>
          <w:sz w:val="24"/>
          <w:szCs w:val="24"/>
        </w:rPr>
      </w:pPr>
      <w:r>
        <w:rPr>
          <w:rFonts w:hint="eastAsia"/>
          <w:color w:val="auto"/>
          <w:sz w:val="24"/>
        </w:rPr>
        <w:t>本项目主要污染源参数表和估算模型参数表详见下表。</w:t>
      </w:r>
    </w:p>
    <w:p>
      <w:pPr>
        <w:spacing w:line="360" w:lineRule="auto"/>
        <w:ind w:firstLine="482" w:firstLineChars="200"/>
        <w:jc w:val="center"/>
        <w:rPr>
          <w:b/>
          <w:color w:val="auto"/>
          <w:sz w:val="24"/>
          <w:szCs w:val="24"/>
        </w:rPr>
      </w:pPr>
      <w:r>
        <w:rPr>
          <w:rFonts w:hint="eastAsia"/>
          <w:b/>
          <w:color w:val="auto"/>
          <w:sz w:val="24"/>
          <w:szCs w:val="24"/>
        </w:rPr>
        <w:t>表5-2-7   点源参数表</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709"/>
        <w:gridCol w:w="709"/>
        <w:gridCol w:w="1134"/>
        <w:gridCol w:w="850"/>
        <w:gridCol w:w="851"/>
        <w:gridCol w:w="850"/>
        <w:gridCol w:w="1134"/>
        <w:gridCol w:w="1134"/>
        <w:gridCol w:w="645"/>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名称</w:t>
            </w:r>
          </w:p>
        </w:tc>
        <w:tc>
          <w:tcPr>
            <w:tcW w:w="1418" w:type="dxa"/>
            <w:gridSpan w:val="2"/>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排气筒底部中心坐标</w:t>
            </w:r>
            <w:r>
              <w:rPr>
                <w:rFonts w:ascii="Times New Roman" w:hAnsi="Times New Roman" w:eastAsia="宋体"/>
                <w:color w:val="auto"/>
                <w:sz w:val="21"/>
                <w:szCs w:val="21"/>
              </w:rPr>
              <w:t>/m</w:t>
            </w:r>
          </w:p>
        </w:tc>
        <w:tc>
          <w:tcPr>
            <w:tcW w:w="1134" w:type="dxa"/>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排气筒底部海拔高度</w:t>
            </w:r>
            <w:r>
              <w:rPr>
                <w:rFonts w:ascii="Times New Roman" w:hAnsi="Times New Roman" w:eastAsia="宋体"/>
                <w:color w:val="auto"/>
                <w:sz w:val="21"/>
                <w:szCs w:val="21"/>
              </w:rPr>
              <w:t>/m</w:t>
            </w:r>
          </w:p>
        </w:tc>
        <w:tc>
          <w:tcPr>
            <w:tcW w:w="850" w:type="dxa"/>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排气筒高度</w:t>
            </w:r>
            <w:r>
              <w:rPr>
                <w:rFonts w:ascii="Times New Roman" w:hAnsi="Times New Roman" w:eastAsia="宋体"/>
                <w:color w:val="auto"/>
                <w:sz w:val="21"/>
                <w:szCs w:val="21"/>
              </w:rPr>
              <w:t>/m</w:t>
            </w:r>
          </w:p>
        </w:tc>
        <w:tc>
          <w:tcPr>
            <w:tcW w:w="851" w:type="dxa"/>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排气筒出口内径</w:t>
            </w:r>
            <w:r>
              <w:rPr>
                <w:rFonts w:ascii="Times New Roman" w:hAnsi="Times New Roman" w:eastAsia="宋体"/>
                <w:color w:val="auto"/>
                <w:sz w:val="21"/>
                <w:szCs w:val="21"/>
              </w:rPr>
              <w:t>/m</w:t>
            </w:r>
          </w:p>
        </w:tc>
        <w:tc>
          <w:tcPr>
            <w:tcW w:w="850" w:type="dxa"/>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烟气速率</w:t>
            </w:r>
            <w:r>
              <w:rPr>
                <w:rFonts w:ascii="Times New Roman" w:hAnsi="Times New Roman" w:eastAsia="宋体"/>
                <w:color w:val="auto"/>
                <w:sz w:val="21"/>
                <w:szCs w:val="21"/>
              </w:rPr>
              <w:t>/</w:t>
            </w:r>
            <w:r>
              <w:rPr>
                <w:rFonts w:ascii="Times New Roman" w:hAnsi="宋体" w:eastAsia="宋体"/>
                <w:color w:val="auto"/>
                <w:sz w:val="21"/>
                <w:szCs w:val="21"/>
              </w:rPr>
              <w:t>（</w:t>
            </w:r>
            <w:r>
              <w:rPr>
                <w:rFonts w:ascii="Times New Roman" w:hAnsi="Times New Roman" w:eastAsia="宋体"/>
                <w:color w:val="auto"/>
                <w:sz w:val="21"/>
                <w:szCs w:val="21"/>
              </w:rPr>
              <w:t>m/s</w:t>
            </w:r>
            <w:r>
              <w:rPr>
                <w:rFonts w:ascii="Times New Roman" w:hAnsi="宋体" w:eastAsia="宋体"/>
                <w:color w:val="auto"/>
                <w:sz w:val="21"/>
                <w:szCs w:val="21"/>
              </w:rPr>
              <w:t>）</w:t>
            </w:r>
          </w:p>
        </w:tc>
        <w:tc>
          <w:tcPr>
            <w:tcW w:w="1134" w:type="dxa"/>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烟气温度</w:t>
            </w:r>
            <w:r>
              <w:rPr>
                <w:rFonts w:ascii="Times New Roman" w:hAnsi="Times New Roman" w:eastAsia="宋体"/>
                <w:color w:val="auto"/>
                <w:sz w:val="21"/>
                <w:szCs w:val="21"/>
              </w:rPr>
              <w:t>/</w:t>
            </w:r>
            <w:r>
              <w:rPr>
                <w:rFonts w:ascii="宋体" w:hAnsi="宋体" w:eastAsia="宋体"/>
                <w:color w:val="auto"/>
                <w:sz w:val="21"/>
                <w:szCs w:val="21"/>
              </w:rPr>
              <w:t>℃</w:t>
            </w:r>
          </w:p>
        </w:tc>
        <w:tc>
          <w:tcPr>
            <w:tcW w:w="1134" w:type="dxa"/>
            <w:vMerge w:val="restart"/>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年排放小时数</w:t>
            </w:r>
            <w:r>
              <w:rPr>
                <w:rFonts w:ascii="Times New Roman" w:hAnsi="Times New Roman" w:eastAsia="宋体"/>
                <w:color w:val="auto"/>
                <w:sz w:val="21"/>
                <w:szCs w:val="21"/>
              </w:rPr>
              <w:t>/h</w:t>
            </w:r>
          </w:p>
        </w:tc>
        <w:tc>
          <w:tcPr>
            <w:tcW w:w="1290" w:type="dxa"/>
            <w:gridSpan w:val="2"/>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污染源排放速率（</w:t>
            </w:r>
            <w:r>
              <w:rPr>
                <w:rFonts w:ascii="Times New Roman" w:hAnsi="Times New Roman" w:eastAsia="宋体"/>
                <w:color w:val="auto"/>
                <w:sz w:val="21"/>
                <w:szCs w:val="21"/>
              </w:rPr>
              <w:t>kg/h</w:t>
            </w:r>
            <w:r>
              <w:rPr>
                <w:rFonts w:ascii="Times New Roman"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vMerge w:val="continue"/>
            <w:vAlign w:val="center"/>
          </w:tcPr>
          <w:p>
            <w:pPr>
              <w:pStyle w:val="49"/>
              <w:spacing w:line="240" w:lineRule="auto"/>
              <w:rPr>
                <w:rFonts w:ascii="Times New Roman" w:hAnsi="Times New Roman" w:eastAsia="宋体"/>
                <w:color w:val="auto"/>
                <w:sz w:val="21"/>
                <w:szCs w:val="21"/>
              </w:rPr>
            </w:pPr>
          </w:p>
        </w:tc>
        <w:tc>
          <w:tcPr>
            <w:tcW w:w="709" w:type="dxa"/>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X</w:t>
            </w:r>
          </w:p>
        </w:tc>
        <w:tc>
          <w:tcPr>
            <w:tcW w:w="709" w:type="dxa"/>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Y</w:t>
            </w:r>
          </w:p>
        </w:tc>
        <w:tc>
          <w:tcPr>
            <w:tcW w:w="1134" w:type="dxa"/>
            <w:vMerge w:val="continue"/>
            <w:vAlign w:val="center"/>
          </w:tcPr>
          <w:p>
            <w:pPr>
              <w:pStyle w:val="49"/>
              <w:spacing w:line="240" w:lineRule="auto"/>
              <w:rPr>
                <w:rFonts w:ascii="Times New Roman" w:hAnsi="Times New Roman" w:eastAsia="宋体"/>
                <w:color w:val="auto"/>
                <w:sz w:val="21"/>
                <w:szCs w:val="21"/>
              </w:rPr>
            </w:pPr>
          </w:p>
        </w:tc>
        <w:tc>
          <w:tcPr>
            <w:tcW w:w="850" w:type="dxa"/>
            <w:vMerge w:val="continue"/>
            <w:vAlign w:val="center"/>
          </w:tcPr>
          <w:p>
            <w:pPr>
              <w:pStyle w:val="49"/>
              <w:spacing w:line="240" w:lineRule="auto"/>
              <w:rPr>
                <w:rFonts w:ascii="Times New Roman" w:hAnsi="Times New Roman" w:eastAsia="宋体"/>
                <w:color w:val="auto"/>
                <w:sz w:val="21"/>
                <w:szCs w:val="21"/>
              </w:rPr>
            </w:pPr>
          </w:p>
        </w:tc>
        <w:tc>
          <w:tcPr>
            <w:tcW w:w="851" w:type="dxa"/>
            <w:vMerge w:val="continue"/>
            <w:vAlign w:val="center"/>
          </w:tcPr>
          <w:p>
            <w:pPr>
              <w:pStyle w:val="49"/>
              <w:spacing w:line="240" w:lineRule="auto"/>
              <w:rPr>
                <w:rFonts w:ascii="Times New Roman" w:hAnsi="Times New Roman" w:eastAsia="宋体"/>
                <w:color w:val="auto"/>
                <w:sz w:val="21"/>
                <w:szCs w:val="21"/>
              </w:rPr>
            </w:pPr>
          </w:p>
        </w:tc>
        <w:tc>
          <w:tcPr>
            <w:tcW w:w="850" w:type="dxa"/>
            <w:vMerge w:val="continue"/>
            <w:vAlign w:val="center"/>
          </w:tcPr>
          <w:p>
            <w:pPr>
              <w:pStyle w:val="49"/>
              <w:spacing w:line="240" w:lineRule="auto"/>
              <w:rPr>
                <w:rFonts w:ascii="Times New Roman" w:hAnsi="Times New Roman" w:eastAsia="宋体"/>
                <w:color w:val="auto"/>
                <w:sz w:val="21"/>
                <w:szCs w:val="21"/>
              </w:rPr>
            </w:pPr>
          </w:p>
        </w:tc>
        <w:tc>
          <w:tcPr>
            <w:tcW w:w="1134" w:type="dxa"/>
            <w:vMerge w:val="continue"/>
            <w:vAlign w:val="center"/>
          </w:tcPr>
          <w:p>
            <w:pPr>
              <w:pStyle w:val="49"/>
              <w:spacing w:line="240" w:lineRule="auto"/>
              <w:rPr>
                <w:rFonts w:ascii="Times New Roman" w:hAnsi="Times New Roman" w:eastAsia="宋体"/>
                <w:color w:val="auto"/>
                <w:sz w:val="21"/>
                <w:szCs w:val="21"/>
              </w:rPr>
            </w:pPr>
          </w:p>
        </w:tc>
        <w:tc>
          <w:tcPr>
            <w:tcW w:w="1134" w:type="dxa"/>
            <w:vMerge w:val="continue"/>
            <w:vAlign w:val="center"/>
          </w:tcPr>
          <w:p>
            <w:pPr>
              <w:pStyle w:val="49"/>
              <w:spacing w:line="240" w:lineRule="auto"/>
              <w:rPr>
                <w:rFonts w:ascii="Times New Roman" w:hAnsi="Times New Roman" w:eastAsia="宋体"/>
                <w:color w:val="auto"/>
                <w:sz w:val="21"/>
                <w:szCs w:val="21"/>
              </w:rPr>
            </w:pPr>
          </w:p>
        </w:tc>
        <w:tc>
          <w:tcPr>
            <w:tcW w:w="64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H</w:t>
            </w:r>
            <w:r>
              <w:rPr>
                <w:rFonts w:hint="eastAsia" w:ascii="Times New Roman" w:hAnsi="Times New Roman" w:eastAsia="宋体"/>
                <w:color w:val="auto"/>
                <w:sz w:val="21"/>
                <w:szCs w:val="21"/>
                <w:vertAlign w:val="subscript"/>
              </w:rPr>
              <w:t>2</w:t>
            </w:r>
            <w:r>
              <w:rPr>
                <w:rFonts w:hint="eastAsia" w:ascii="Times New Roman" w:hAnsi="Times New Roman" w:eastAsia="宋体"/>
                <w:color w:val="auto"/>
                <w:sz w:val="21"/>
                <w:szCs w:val="21"/>
              </w:rPr>
              <w:t>S</w:t>
            </w:r>
          </w:p>
        </w:tc>
        <w:tc>
          <w:tcPr>
            <w:tcW w:w="64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NH</w:t>
            </w:r>
            <w:r>
              <w:rPr>
                <w:rFonts w:hint="eastAsia" w:ascii="Times New Roman" w:hAnsi="Times New Roman" w:eastAsia="宋体"/>
                <w:color w:val="auto"/>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vAlign w:val="center"/>
          </w:tcPr>
          <w:p>
            <w:pPr>
              <w:pStyle w:val="49"/>
              <w:spacing w:line="240" w:lineRule="auto"/>
              <w:rPr>
                <w:rFonts w:ascii="Times New Roman" w:hAnsi="Times New Roman" w:eastAsia="宋体"/>
                <w:color w:val="auto"/>
                <w:sz w:val="21"/>
                <w:szCs w:val="21"/>
              </w:rPr>
            </w:pPr>
            <w:r>
              <w:rPr>
                <w:rFonts w:hint="eastAsia" w:ascii="Times New Roman" w:hAnsi="宋体" w:eastAsia="宋体"/>
                <w:color w:val="auto"/>
                <w:sz w:val="21"/>
                <w:szCs w:val="21"/>
              </w:rPr>
              <w:t>污水预处理排气筒</w:t>
            </w:r>
          </w:p>
        </w:tc>
        <w:tc>
          <w:tcPr>
            <w:tcW w:w="70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-47</w:t>
            </w:r>
          </w:p>
        </w:tc>
        <w:tc>
          <w:tcPr>
            <w:tcW w:w="70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-50</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w:t>
            </w:r>
          </w:p>
        </w:tc>
        <w:tc>
          <w:tcPr>
            <w:tcW w:w="85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15</w:t>
            </w:r>
          </w:p>
        </w:tc>
        <w:tc>
          <w:tcPr>
            <w:tcW w:w="851"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0.6</w:t>
            </w:r>
          </w:p>
        </w:tc>
        <w:tc>
          <w:tcPr>
            <w:tcW w:w="85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5.89</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20</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8760</w:t>
            </w:r>
          </w:p>
        </w:tc>
        <w:tc>
          <w:tcPr>
            <w:tcW w:w="64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0.0006</w:t>
            </w:r>
          </w:p>
        </w:tc>
        <w:tc>
          <w:tcPr>
            <w:tcW w:w="64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vAlign w:val="center"/>
          </w:tcPr>
          <w:p>
            <w:pPr>
              <w:pStyle w:val="49"/>
              <w:spacing w:line="240" w:lineRule="auto"/>
              <w:rPr>
                <w:rFonts w:ascii="Times New Roman" w:hAnsi="宋体" w:eastAsia="宋体"/>
                <w:color w:val="auto"/>
                <w:sz w:val="21"/>
                <w:szCs w:val="21"/>
              </w:rPr>
            </w:pPr>
            <w:r>
              <w:rPr>
                <w:rFonts w:hint="eastAsia" w:ascii="Times New Roman" w:hAnsi="宋体" w:eastAsia="宋体"/>
                <w:color w:val="auto"/>
                <w:sz w:val="21"/>
                <w:szCs w:val="21"/>
              </w:rPr>
              <w:t>污泥处理排气筒</w:t>
            </w:r>
          </w:p>
        </w:tc>
        <w:tc>
          <w:tcPr>
            <w:tcW w:w="70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-13</w:t>
            </w:r>
          </w:p>
        </w:tc>
        <w:tc>
          <w:tcPr>
            <w:tcW w:w="70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-64</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w:t>
            </w:r>
          </w:p>
        </w:tc>
        <w:tc>
          <w:tcPr>
            <w:tcW w:w="85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15</w:t>
            </w:r>
          </w:p>
        </w:tc>
        <w:tc>
          <w:tcPr>
            <w:tcW w:w="851"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1.0</w:t>
            </w:r>
          </w:p>
        </w:tc>
        <w:tc>
          <w:tcPr>
            <w:tcW w:w="85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7.78</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20</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8760</w:t>
            </w:r>
          </w:p>
        </w:tc>
        <w:tc>
          <w:tcPr>
            <w:tcW w:w="64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0.0066</w:t>
            </w:r>
          </w:p>
        </w:tc>
        <w:tc>
          <w:tcPr>
            <w:tcW w:w="645"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0.0220</w:t>
            </w:r>
          </w:p>
        </w:tc>
      </w:tr>
    </w:tbl>
    <w:p>
      <w:pPr>
        <w:spacing w:line="360" w:lineRule="auto"/>
        <w:ind w:firstLine="480" w:firstLineChars="200"/>
        <w:jc w:val="left"/>
        <w:rPr>
          <w:rFonts w:hAnsi="宋体"/>
          <w:color w:val="auto"/>
          <w:sz w:val="24"/>
        </w:rPr>
      </w:pPr>
      <w:r>
        <w:rPr>
          <w:rFonts w:hAnsi="宋体"/>
          <w:color w:val="auto"/>
          <w:sz w:val="24"/>
        </w:rPr>
        <w:t>注：</w:t>
      </w:r>
      <w:r>
        <w:rPr>
          <w:rFonts w:hint="eastAsia" w:hAnsi="宋体"/>
          <w:color w:val="auto"/>
          <w:sz w:val="24"/>
        </w:rPr>
        <w:t>以</w:t>
      </w:r>
      <w:r>
        <w:rPr>
          <w:rFonts w:hAnsi="宋体"/>
          <w:color w:val="auto"/>
          <w:sz w:val="24"/>
        </w:rPr>
        <w:t>厂区中心点为</w:t>
      </w:r>
      <w:r>
        <w:rPr>
          <w:rFonts w:hint="eastAsia" w:hAnsi="宋体"/>
          <w:color w:val="auto"/>
          <w:sz w:val="24"/>
        </w:rPr>
        <w:t>原</w:t>
      </w:r>
      <w:r>
        <w:rPr>
          <w:rFonts w:hAnsi="宋体"/>
          <w:color w:val="auto"/>
          <w:sz w:val="24"/>
        </w:rPr>
        <w:t>点，各污染源的坐标</w:t>
      </w:r>
      <w:r>
        <w:rPr>
          <w:rFonts w:hint="eastAsia" w:hAnsi="宋体"/>
          <w:color w:val="auto"/>
          <w:sz w:val="24"/>
        </w:rPr>
        <w:t>为</w:t>
      </w:r>
      <w:r>
        <w:rPr>
          <w:rFonts w:hAnsi="宋体"/>
          <w:color w:val="auto"/>
          <w:sz w:val="24"/>
        </w:rPr>
        <w:t>相对于</w:t>
      </w:r>
      <w:r>
        <w:rPr>
          <w:rFonts w:hint="eastAsia" w:hAnsi="宋体"/>
          <w:color w:val="auto"/>
          <w:sz w:val="24"/>
        </w:rPr>
        <w:t>原</w:t>
      </w:r>
      <w:r>
        <w:rPr>
          <w:rFonts w:hAnsi="宋体"/>
          <w:color w:val="auto"/>
          <w:sz w:val="24"/>
        </w:rPr>
        <w:t>点的相对坐标</w:t>
      </w:r>
      <w:r>
        <w:rPr>
          <w:rFonts w:hint="eastAsia" w:hAnsi="宋体"/>
          <w:color w:val="auto"/>
          <w:sz w:val="24"/>
        </w:rPr>
        <w:t>。</w:t>
      </w:r>
    </w:p>
    <w:p>
      <w:pPr>
        <w:spacing w:beforeLines="50" w:afterLines="50" w:line="360" w:lineRule="auto"/>
        <w:jc w:val="center"/>
        <w:rPr>
          <w:b/>
          <w:color w:val="auto"/>
          <w:sz w:val="24"/>
          <w:szCs w:val="24"/>
        </w:rPr>
      </w:pPr>
      <w:r>
        <w:rPr>
          <w:rFonts w:hint="eastAsia"/>
          <w:b/>
          <w:color w:val="auto"/>
          <w:sz w:val="24"/>
          <w:szCs w:val="24"/>
        </w:rPr>
        <w:t>表5-2-8   矩形面源参数表</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709"/>
        <w:gridCol w:w="709"/>
        <w:gridCol w:w="1134"/>
        <w:gridCol w:w="850"/>
        <w:gridCol w:w="851"/>
        <w:gridCol w:w="850"/>
        <w:gridCol w:w="1134"/>
        <w:gridCol w:w="992"/>
        <w:gridCol w:w="716"/>
        <w:gridCol w:w="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名称</w:t>
            </w:r>
          </w:p>
        </w:tc>
        <w:tc>
          <w:tcPr>
            <w:tcW w:w="1418" w:type="dxa"/>
            <w:gridSpan w:val="2"/>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面源</w:t>
            </w:r>
            <w:r>
              <w:rPr>
                <w:rFonts w:hint="eastAsia" w:ascii="Times New Roman" w:hAnsi="宋体" w:eastAsia="宋体"/>
                <w:b/>
                <w:color w:val="auto"/>
                <w:sz w:val="21"/>
                <w:szCs w:val="21"/>
              </w:rPr>
              <w:t>起</w:t>
            </w:r>
            <w:r>
              <w:rPr>
                <w:rFonts w:ascii="Times New Roman" w:hAnsi="宋体" w:eastAsia="宋体"/>
                <w:b/>
                <w:color w:val="auto"/>
                <w:sz w:val="21"/>
                <w:szCs w:val="21"/>
              </w:rPr>
              <w:t>点坐标</w:t>
            </w:r>
            <w:r>
              <w:rPr>
                <w:rFonts w:hint="eastAsia" w:ascii="Times New Roman" w:hAnsi="宋体" w:eastAsia="宋体"/>
                <w:b/>
                <w:color w:val="auto"/>
                <w:sz w:val="21"/>
                <w:szCs w:val="21"/>
              </w:rPr>
              <w:t>/m</w:t>
            </w:r>
          </w:p>
        </w:tc>
        <w:tc>
          <w:tcPr>
            <w:tcW w:w="1134"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面源海拔高度</w:t>
            </w:r>
            <w:r>
              <w:rPr>
                <w:rFonts w:hint="eastAsia" w:ascii="Times New Roman" w:hAnsi="宋体" w:eastAsia="宋体"/>
                <w:b/>
                <w:color w:val="auto"/>
                <w:sz w:val="21"/>
                <w:szCs w:val="21"/>
              </w:rPr>
              <w:t>/m</w:t>
            </w:r>
          </w:p>
        </w:tc>
        <w:tc>
          <w:tcPr>
            <w:tcW w:w="850" w:type="dxa"/>
            <w:vMerge w:val="restart"/>
            <w:vAlign w:val="center"/>
          </w:tcPr>
          <w:p>
            <w:pPr>
              <w:jc w:val="center"/>
              <w:rPr>
                <w:b/>
                <w:color w:val="auto"/>
                <w:sz w:val="21"/>
                <w:szCs w:val="22"/>
              </w:rPr>
            </w:pPr>
            <w:r>
              <w:rPr>
                <w:rFonts w:hAnsi="宋体"/>
                <w:b/>
                <w:color w:val="auto"/>
                <w:sz w:val="21"/>
                <w:szCs w:val="21"/>
              </w:rPr>
              <w:t>面源</w:t>
            </w:r>
            <w:r>
              <w:rPr>
                <w:rFonts w:hint="eastAsia" w:hAnsi="宋体"/>
                <w:b/>
                <w:color w:val="auto"/>
                <w:sz w:val="21"/>
                <w:szCs w:val="21"/>
              </w:rPr>
              <w:t>长</w:t>
            </w:r>
            <w:r>
              <w:rPr>
                <w:rFonts w:hAnsi="宋体"/>
                <w:b/>
                <w:color w:val="auto"/>
                <w:sz w:val="21"/>
                <w:szCs w:val="21"/>
              </w:rPr>
              <w:t>度</w:t>
            </w:r>
            <w:r>
              <w:rPr>
                <w:rFonts w:hint="eastAsia" w:hAnsi="宋体"/>
                <w:b/>
                <w:color w:val="auto"/>
                <w:sz w:val="21"/>
                <w:szCs w:val="21"/>
              </w:rPr>
              <w:t>/m</w:t>
            </w:r>
          </w:p>
        </w:tc>
        <w:tc>
          <w:tcPr>
            <w:tcW w:w="851" w:type="dxa"/>
            <w:vMerge w:val="restart"/>
            <w:vAlign w:val="center"/>
          </w:tcPr>
          <w:p>
            <w:pPr>
              <w:jc w:val="center"/>
              <w:rPr>
                <w:b/>
                <w:color w:val="auto"/>
                <w:sz w:val="21"/>
                <w:szCs w:val="22"/>
              </w:rPr>
            </w:pPr>
            <w:r>
              <w:rPr>
                <w:rFonts w:hAnsi="宋体"/>
                <w:b/>
                <w:color w:val="auto"/>
                <w:sz w:val="21"/>
                <w:szCs w:val="21"/>
              </w:rPr>
              <w:t>面源</w:t>
            </w:r>
            <w:r>
              <w:rPr>
                <w:rFonts w:hint="eastAsia" w:hAnsi="宋体"/>
                <w:b/>
                <w:color w:val="auto"/>
                <w:sz w:val="21"/>
                <w:szCs w:val="21"/>
              </w:rPr>
              <w:t>宽</w:t>
            </w:r>
            <w:r>
              <w:rPr>
                <w:rFonts w:hAnsi="宋体"/>
                <w:b/>
                <w:color w:val="auto"/>
                <w:sz w:val="21"/>
                <w:szCs w:val="21"/>
              </w:rPr>
              <w:t>度</w:t>
            </w:r>
            <w:r>
              <w:rPr>
                <w:rFonts w:hint="eastAsia" w:hAnsi="宋体"/>
                <w:b/>
                <w:color w:val="auto"/>
                <w:sz w:val="21"/>
                <w:szCs w:val="21"/>
              </w:rPr>
              <w:t>/m</w:t>
            </w:r>
          </w:p>
        </w:tc>
        <w:tc>
          <w:tcPr>
            <w:tcW w:w="850" w:type="dxa"/>
            <w:vMerge w:val="restart"/>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与正北向夹角/°</w:t>
            </w:r>
          </w:p>
        </w:tc>
        <w:tc>
          <w:tcPr>
            <w:tcW w:w="1134" w:type="dxa"/>
            <w:vMerge w:val="restart"/>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面源有效排放高度/m</w:t>
            </w:r>
          </w:p>
        </w:tc>
        <w:tc>
          <w:tcPr>
            <w:tcW w:w="992" w:type="dxa"/>
            <w:vMerge w:val="restart"/>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年排放小时数/h</w:t>
            </w:r>
          </w:p>
        </w:tc>
        <w:tc>
          <w:tcPr>
            <w:tcW w:w="1432" w:type="dxa"/>
            <w:gridSpan w:val="2"/>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污染源排放速率（</w:t>
            </w:r>
            <w:r>
              <w:rPr>
                <w:rFonts w:ascii="Times New Roman" w:hAnsi="Times New Roman" w:eastAsia="宋体"/>
                <w:b/>
                <w:color w:val="auto"/>
                <w:sz w:val="21"/>
                <w:szCs w:val="21"/>
              </w:rPr>
              <w:t>kg/h</w:t>
            </w:r>
            <w:r>
              <w:rPr>
                <w:rFonts w:ascii="Times New Roman" w:hAnsi="宋体" w:eastAsia="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vMerge w:val="continue"/>
            <w:vAlign w:val="center"/>
          </w:tcPr>
          <w:p>
            <w:pPr>
              <w:pStyle w:val="49"/>
              <w:spacing w:line="240" w:lineRule="auto"/>
              <w:rPr>
                <w:rFonts w:ascii="Times New Roman" w:hAnsi="Times New Roman" w:eastAsia="宋体"/>
                <w:b/>
                <w:color w:val="auto"/>
                <w:sz w:val="21"/>
                <w:szCs w:val="21"/>
              </w:rPr>
            </w:pPr>
          </w:p>
        </w:tc>
        <w:tc>
          <w:tcPr>
            <w:tcW w:w="709"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X</w:t>
            </w:r>
          </w:p>
        </w:tc>
        <w:tc>
          <w:tcPr>
            <w:tcW w:w="709" w:type="dxa"/>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Y</w:t>
            </w:r>
          </w:p>
        </w:tc>
        <w:tc>
          <w:tcPr>
            <w:tcW w:w="1134" w:type="dxa"/>
            <w:vMerge w:val="continue"/>
            <w:vAlign w:val="center"/>
          </w:tcPr>
          <w:p>
            <w:pPr>
              <w:pStyle w:val="49"/>
              <w:spacing w:line="240" w:lineRule="auto"/>
              <w:rPr>
                <w:rFonts w:ascii="Times New Roman" w:hAnsi="Times New Roman" w:eastAsia="宋体"/>
                <w:b/>
                <w:color w:val="auto"/>
                <w:sz w:val="21"/>
                <w:szCs w:val="21"/>
              </w:rPr>
            </w:pPr>
          </w:p>
        </w:tc>
        <w:tc>
          <w:tcPr>
            <w:tcW w:w="850" w:type="dxa"/>
            <w:vMerge w:val="continue"/>
            <w:vAlign w:val="center"/>
          </w:tcPr>
          <w:p>
            <w:pPr>
              <w:pStyle w:val="49"/>
              <w:spacing w:line="240" w:lineRule="auto"/>
              <w:rPr>
                <w:rFonts w:ascii="Times New Roman" w:hAnsi="Times New Roman" w:eastAsia="宋体"/>
                <w:b/>
                <w:color w:val="auto"/>
                <w:sz w:val="21"/>
                <w:szCs w:val="21"/>
              </w:rPr>
            </w:pPr>
          </w:p>
        </w:tc>
        <w:tc>
          <w:tcPr>
            <w:tcW w:w="851" w:type="dxa"/>
            <w:vMerge w:val="continue"/>
            <w:vAlign w:val="center"/>
          </w:tcPr>
          <w:p>
            <w:pPr>
              <w:pStyle w:val="49"/>
              <w:spacing w:line="240" w:lineRule="auto"/>
              <w:rPr>
                <w:rFonts w:ascii="Times New Roman" w:hAnsi="Times New Roman" w:eastAsia="宋体"/>
                <w:b/>
                <w:color w:val="auto"/>
                <w:sz w:val="21"/>
                <w:szCs w:val="21"/>
              </w:rPr>
            </w:pPr>
          </w:p>
        </w:tc>
        <w:tc>
          <w:tcPr>
            <w:tcW w:w="850" w:type="dxa"/>
            <w:vMerge w:val="continue"/>
            <w:vAlign w:val="center"/>
          </w:tcPr>
          <w:p>
            <w:pPr>
              <w:pStyle w:val="49"/>
              <w:spacing w:line="240" w:lineRule="auto"/>
              <w:rPr>
                <w:rFonts w:ascii="Times New Roman" w:hAnsi="Times New Roman" w:eastAsia="宋体"/>
                <w:b/>
                <w:color w:val="auto"/>
                <w:sz w:val="21"/>
                <w:szCs w:val="21"/>
              </w:rPr>
            </w:pPr>
          </w:p>
        </w:tc>
        <w:tc>
          <w:tcPr>
            <w:tcW w:w="1134" w:type="dxa"/>
            <w:vMerge w:val="continue"/>
            <w:vAlign w:val="center"/>
          </w:tcPr>
          <w:p>
            <w:pPr>
              <w:pStyle w:val="49"/>
              <w:spacing w:line="240" w:lineRule="auto"/>
              <w:rPr>
                <w:rFonts w:ascii="Times New Roman" w:hAnsi="Times New Roman" w:eastAsia="宋体"/>
                <w:b/>
                <w:color w:val="auto"/>
                <w:sz w:val="21"/>
                <w:szCs w:val="21"/>
              </w:rPr>
            </w:pPr>
          </w:p>
        </w:tc>
        <w:tc>
          <w:tcPr>
            <w:tcW w:w="992" w:type="dxa"/>
            <w:vMerge w:val="continue"/>
            <w:vAlign w:val="center"/>
          </w:tcPr>
          <w:p>
            <w:pPr>
              <w:pStyle w:val="49"/>
              <w:spacing w:line="240" w:lineRule="auto"/>
              <w:rPr>
                <w:rFonts w:ascii="Times New Roman" w:hAnsi="Times New Roman" w:eastAsia="宋体"/>
                <w:b/>
                <w:color w:val="auto"/>
                <w:sz w:val="21"/>
                <w:szCs w:val="21"/>
              </w:rPr>
            </w:pPr>
          </w:p>
        </w:tc>
        <w:tc>
          <w:tcPr>
            <w:tcW w:w="716" w:type="dxa"/>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H</w:t>
            </w:r>
            <w:r>
              <w:rPr>
                <w:rFonts w:hint="eastAsia" w:ascii="Times New Roman" w:hAnsi="Times New Roman" w:eastAsia="宋体"/>
                <w:b/>
                <w:color w:val="auto"/>
                <w:sz w:val="21"/>
                <w:szCs w:val="21"/>
                <w:vertAlign w:val="subscript"/>
              </w:rPr>
              <w:t>2</w:t>
            </w:r>
            <w:r>
              <w:rPr>
                <w:rFonts w:hint="eastAsia" w:ascii="Times New Roman" w:hAnsi="Times New Roman" w:eastAsia="宋体"/>
                <w:b/>
                <w:color w:val="auto"/>
                <w:sz w:val="21"/>
                <w:szCs w:val="21"/>
              </w:rPr>
              <w:t>S</w:t>
            </w:r>
          </w:p>
        </w:tc>
        <w:tc>
          <w:tcPr>
            <w:tcW w:w="716" w:type="dxa"/>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NH</w:t>
            </w:r>
            <w:r>
              <w:rPr>
                <w:rFonts w:hint="eastAsia" w:ascii="Times New Roman" w:hAnsi="Times New Roman" w:eastAsia="宋体"/>
                <w:b/>
                <w:color w:val="auto"/>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dxa"/>
            <w:vAlign w:val="center"/>
          </w:tcPr>
          <w:p>
            <w:pPr>
              <w:pStyle w:val="49"/>
              <w:spacing w:line="240" w:lineRule="auto"/>
              <w:rPr>
                <w:rFonts w:ascii="宋体" w:hAnsi="宋体" w:eastAsia="宋体"/>
                <w:color w:val="auto"/>
                <w:sz w:val="21"/>
                <w:szCs w:val="21"/>
              </w:rPr>
            </w:pPr>
            <w:r>
              <w:rPr>
                <w:rFonts w:hint="eastAsia" w:ascii="宋体" w:hAnsi="宋体" w:eastAsia="宋体"/>
                <w:color w:val="auto"/>
                <w:sz w:val="21"/>
                <w:szCs w:val="21"/>
              </w:rPr>
              <w:t>生产车间</w:t>
            </w:r>
          </w:p>
        </w:tc>
        <w:tc>
          <w:tcPr>
            <w:tcW w:w="70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-57</w:t>
            </w:r>
          </w:p>
        </w:tc>
        <w:tc>
          <w:tcPr>
            <w:tcW w:w="709"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-36</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0</w:t>
            </w:r>
          </w:p>
        </w:tc>
        <w:tc>
          <w:tcPr>
            <w:tcW w:w="85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60.5</w:t>
            </w:r>
          </w:p>
        </w:tc>
        <w:tc>
          <w:tcPr>
            <w:tcW w:w="851"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42.5</w:t>
            </w:r>
          </w:p>
        </w:tc>
        <w:tc>
          <w:tcPr>
            <w:tcW w:w="850"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15</w:t>
            </w:r>
          </w:p>
        </w:tc>
        <w:tc>
          <w:tcPr>
            <w:tcW w:w="1134"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8</w:t>
            </w:r>
          </w:p>
        </w:tc>
        <w:tc>
          <w:tcPr>
            <w:tcW w:w="992"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8760</w:t>
            </w:r>
          </w:p>
        </w:tc>
        <w:tc>
          <w:tcPr>
            <w:tcW w:w="716" w:type="dxa"/>
            <w:vAlign w:val="center"/>
          </w:tcPr>
          <w:p>
            <w:pPr>
              <w:jc w:val="center"/>
              <w:rPr>
                <w:color w:val="auto"/>
                <w:sz w:val="21"/>
                <w:szCs w:val="21"/>
              </w:rPr>
            </w:pPr>
            <w:r>
              <w:rPr>
                <w:color w:val="auto"/>
                <w:sz w:val="21"/>
                <w:szCs w:val="21"/>
              </w:rPr>
              <w:t>0.000581</w:t>
            </w:r>
          </w:p>
        </w:tc>
        <w:tc>
          <w:tcPr>
            <w:tcW w:w="716" w:type="dxa"/>
            <w:vAlign w:val="center"/>
          </w:tcPr>
          <w:p>
            <w:pPr>
              <w:jc w:val="center"/>
              <w:rPr>
                <w:color w:val="auto"/>
                <w:sz w:val="21"/>
                <w:szCs w:val="21"/>
              </w:rPr>
            </w:pPr>
            <w:r>
              <w:rPr>
                <w:color w:val="auto"/>
                <w:sz w:val="21"/>
                <w:szCs w:val="21"/>
              </w:rPr>
              <w:t>0.000195</w:t>
            </w:r>
          </w:p>
        </w:tc>
      </w:tr>
    </w:tbl>
    <w:p>
      <w:pPr>
        <w:spacing w:line="360" w:lineRule="auto"/>
        <w:ind w:firstLine="480" w:firstLineChars="200"/>
        <w:jc w:val="left"/>
        <w:rPr>
          <w:b/>
          <w:color w:val="auto"/>
          <w:sz w:val="24"/>
          <w:szCs w:val="24"/>
        </w:rPr>
      </w:pPr>
      <w:r>
        <w:rPr>
          <w:rFonts w:hAnsi="宋体"/>
          <w:color w:val="auto"/>
          <w:sz w:val="24"/>
        </w:rPr>
        <w:t>注：</w:t>
      </w:r>
      <w:r>
        <w:rPr>
          <w:rFonts w:hint="eastAsia" w:hAnsi="宋体"/>
          <w:color w:val="auto"/>
          <w:sz w:val="24"/>
        </w:rPr>
        <w:t>以</w:t>
      </w:r>
      <w:r>
        <w:rPr>
          <w:rFonts w:hAnsi="宋体"/>
          <w:color w:val="auto"/>
          <w:sz w:val="24"/>
        </w:rPr>
        <w:t>厂区中心点为</w:t>
      </w:r>
      <w:r>
        <w:rPr>
          <w:rFonts w:hint="eastAsia" w:hAnsi="宋体"/>
          <w:color w:val="auto"/>
          <w:sz w:val="24"/>
        </w:rPr>
        <w:t>原</w:t>
      </w:r>
      <w:r>
        <w:rPr>
          <w:rFonts w:hAnsi="宋体"/>
          <w:color w:val="auto"/>
          <w:sz w:val="24"/>
        </w:rPr>
        <w:t>点，各污染源的坐标</w:t>
      </w:r>
      <w:r>
        <w:rPr>
          <w:rFonts w:hint="eastAsia" w:hAnsi="宋体"/>
          <w:color w:val="auto"/>
          <w:sz w:val="24"/>
        </w:rPr>
        <w:t>为</w:t>
      </w:r>
      <w:r>
        <w:rPr>
          <w:rFonts w:hAnsi="宋体"/>
          <w:color w:val="auto"/>
          <w:sz w:val="24"/>
        </w:rPr>
        <w:t>相对于</w:t>
      </w:r>
      <w:r>
        <w:rPr>
          <w:rFonts w:hint="eastAsia" w:hAnsi="宋体"/>
          <w:color w:val="auto"/>
          <w:sz w:val="24"/>
        </w:rPr>
        <w:t>原</w:t>
      </w:r>
      <w:r>
        <w:rPr>
          <w:rFonts w:hAnsi="宋体"/>
          <w:color w:val="auto"/>
          <w:sz w:val="24"/>
        </w:rPr>
        <w:t>点的相对坐标</w:t>
      </w:r>
      <w:r>
        <w:rPr>
          <w:rFonts w:hint="eastAsia" w:hAnsi="宋体"/>
          <w:color w:val="auto"/>
          <w:sz w:val="24"/>
        </w:rPr>
        <w:t>。</w:t>
      </w:r>
    </w:p>
    <w:p>
      <w:pPr>
        <w:pStyle w:val="47"/>
        <w:rPr>
          <w:rFonts w:ascii="Times New Roman" w:hAnsi="Times New Roman" w:eastAsia="宋体"/>
          <w:b/>
          <w:color w:val="auto"/>
          <w:sz w:val="24"/>
        </w:rPr>
      </w:pPr>
      <w:r>
        <w:rPr>
          <w:rFonts w:hint="eastAsia" w:ascii="Times New Roman" w:hAnsi="宋体" w:eastAsia="宋体"/>
          <w:b/>
          <w:color w:val="auto"/>
          <w:sz w:val="24"/>
        </w:rPr>
        <w:t xml:space="preserve">表5-2-9   </w:t>
      </w:r>
      <w:r>
        <w:rPr>
          <w:rFonts w:ascii="Times New Roman" w:hAnsi="宋体" w:eastAsia="宋体"/>
          <w:b/>
          <w:color w:val="auto"/>
          <w:sz w:val="24"/>
        </w:rPr>
        <w:t>估算模型参数表</w:t>
      </w:r>
    </w:p>
    <w:tbl>
      <w:tblPr>
        <w:tblStyle w:val="28"/>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73"/>
        <w:gridCol w:w="2522"/>
        <w:gridCol w:w="4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2"/>
              <w:rPr>
                <w:rFonts w:ascii="Times New Roman" w:hAnsi="Times New Roman" w:eastAsia="宋体"/>
                <w:b/>
                <w:color w:val="auto"/>
                <w:sz w:val="21"/>
                <w:szCs w:val="21"/>
              </w:rPr>
            </w:pPr>
            <w:r>
              <w:rPr>
                <w:rFonts w:ascii="Times New Roman" w:hAnsi="宋体" w:eastAsia="宋体"/>
                <w:b/>
                <w:color w:val="auto"/>
                <w:sz w:val="21"/>
                <w:szCs w:val="21"/>
              </w:rPr>
              <w:t>参数</w:t>
            </w:r>
          </w:p>
        </w:tc>
        <w:tc>
          <w:tcPr>
            <w:tcW w:w="4648" w:type="dxa"/>
            <w:vAlign w:val="center"/>
          </w:tcPr>
          <w:p>
            <w:pPr>
              <w:pStyle w:val="49"/>
              <w:ind w:firstLine="422"/>
              <w:rPr>
                <w:rFonts w:ascii="Times New Roman" w:hAnsi="Times New Roman" w:eastAsia="宋体"/>
                <w:b/>
                <w:color w:val="auto"/>
                <w:sz w:val="21"/>
                <w:szCs w:val="21"/>
              </w:rPr>
            </w:pPr>
            <w:r>
              <w:rPr>
                <w:rFonts w:ascii="Times New Roman" w:hAnsi="宋体" w:eastAsia="宋体"/>
                <w:b/>
                <w:color w:val="auto"/>
                <w:sz w:val="21"/>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7" w:type="dxa"/>
            <w:vMerge w:val="restart"/>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城市</w:t>
            </w:r>
            <w:r>
              <w:rPr>
                <w:rFonts w:ascii="Times New Roman" w:hAnsi="Times New Roman" w:eastAsia="宋体"/>
                <w:color w:val="auto"/>
                <w:sz w:val="21"/>
                <w:szCs w:val="21"/>
              </w:rPr>
              <w:t>/</w:t>
            </w:r>
            <w:r>
              <w:rPr>
                <w:rFonts w:ascii="Times New Roman" w:hAnsi="宋体" w:eastAsia="宋体"/>
                <w:color w:val="auto"/>
                <w:sz w:val="21"/>
                <w:szCs w:val="21"/>
              </w:rPr>
              <w:t>农村选项</w:t>
            </w:r>
          </w:p>
        </w:tc>
        <w:tc>
          <w:tcPr>
            <w:tcW w:w="2595" w:type="dxa"/>
            <w:gridSpan w:val="2"/>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城市</w:t>
            </w:r>
            <w:r>
              <w:rPr>
                <w:rFonts w:ascii="Times New Roman" w:hAnsi="Times New Roman" w:eastAsia="宋体"/>
                <w:color w:val="auto"/>
                <w:sz w:val="21"/>
                <w:szCs w:val="21"/>
              </w:rPr>
              <w:t>/</w:t>
            </w:r>
            <w:r>
              <w:rPr>
                <w:rFonts w:ascii="Times New Roman" w:hAnsi="宋体" w:eastAsia="宋体"/>
                <w:color w:val="auto"/>
                <w:sz w:val="21"/>
                <w:szCs w:val="21"/>
              </w:rPr>
              <w:t>农村</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宋体" w:eastAsia="宋体"/>
                <w:color w:val="auto"/>
                <w:sz w:val="21"/>
                <w:szCs w:val="21"/>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7" w:type="dxa"/>
            <w:vMerge w:val="continue"/>
            <w:vAlign w:val="center"/>
          </w:tcPr>
          <w:p>
            <w:pPr>
              <w:pStyle w:val="49"/>
              <w:ind w:firstLine="420"/>
              <w:rPr>
                <w:rFonts w:ascii="Times New Roman" w:hAnsi="Times New Roman" w:eastAsia="宋体"/>
                <w:color w:val="auto"/>
                <w:sz w:val="21"/>
                <w:szCs w:val="21"/>
              </w:rPr>
            </w:pPr>
          </w:p>
        </w:tc>
        <w:tc>
          <w:tcPr>
            <w:tcW w:w="2595" w:type="dxa"/>
            <w:gridSpan w:val="2"/>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人口数（城市选项时）</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最高环境温度</w:t>
            </w:r>
            <w:r>
              <w:rPr>
                <w:rFonts w:ascii="Times New Roman" w:hAnsi="Times New Roman" w:eastAsia="宋体"/>
                <w:color w:val="auto"/>
                <w:sz w:val="21"/>
                <w:szCs w:val="21"/>
              </w:rPr>
              <w:t>/</w:t>
            </w:r>
            <w:r>
              <w:rPr>
                <w:rFonts w:ascii="宋体" w:hAnsi="宋体" w:eastAsia="宋体"/>
                <w:color w:val="auto"/>
                <w:sz w:val="21"/>
                <w:szCs w:val="21"/>
              </w:rPr>
              <w:t>℃</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最低环境温度</w:t>
            </w:r>
            <w:r>
              <w:rPr>
                <w:rFonts w:ascii="Times New Roman" w:hAnsi="Times New Roman" w:eastAsia="宋体"/>
                <w:color w:val="auto"/>
                <w:sz w:val="21"/>
                <w:szCs w:val="21"/>
              </w:rPr>
              <w:t>/</w:t>
            </w:r>
            <w:r>
              <w:rPr>
                <w:rFonts w:ascii="宋体" w:hAnsi="宋体" w:eastAsia="宋体"/>
                <w:color w:val="auto"/>
                <w:sz w:val="21"/>
                <w:szCs w:val="21"/>
              </w:rPr>
              <w:t>℃</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土地利用类型</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宋体" w:eastAsia="宋体"/>
                <w:color w:val="auto"/>
                <w:sz w:val="21"/>
                <w:szCs w:val="21"/>
              </w:rPr>
              <w:t>草地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2" w:type="dxa"/>
            <w:gridSpan w:val="3"/>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区域湿度条件</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宋体" w:eastAsia="宋体"/>
                <w:color w:val="auto"/>
                <w:sz w:val="21"/>
                <w:szCs w:val="21"/>
              </w:rPr>
              <w:t>潮湿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restart"/>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是否考虑地形</w:t>
            </w: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考虑地形</w:t>
            </w:r>
          </w:p>
        </w:tc>
        <w:tc>
          <w:tcPr>
            <w:tcW w:w="4648" w:type="dxa"/>
            <w:vAlign w:val="center"/>
          </w:tcPr>
          <w:p>
            <w:pPr>
              <w:pStyle w:val="49"/>
              <w:ind w:firstLine="420"/>
              <w:rPr>
                <w:rFonts w:ascii="Times New Roman" w:hAnsi="Times New Roman" w:eastAsia="宋体"/>
                <w:color w:val="auto"/>
                <w:sz w:val="21"/>
                <w:szCs w:val="21"/>
              </w:rPr>
            </w:pPr>
            <w:r>
              <w:rPr>
                <w:rFonts w:ascii="Times New Roman" w:hAnsi="Times New Roman" w:eastAsia="宋体"/>
                <w:color w:val="auto"/>
                <w:sz w:val="21"/>
                <w:szCs w:val="21"/>
              </w:rPr>
              <w:t>□</w:t>
            </w:r>
            <w:r>
              <w:rPr>
                <w:rFonts w:ascii="Times New Roman" w:hAnsi="宋体" w:eastAsia="宋体"/>
                <w:color w:val="auto"/>
                <w:sz w:val="21"/>
                <w:szCs w:val="21"/>
              </w:rPr>
              <w:t>是</w:t>
            </w:r>
            <w:r>
              <w:rPr>
                <w:rFonts w:ascii="Times New Roman" w:hAnsi="Times New Roman" w:eastAsia="宋体"/>
                <w:color w:val="auto"/>
                <w:sz w:val="21"/>
                <w:szCs w:val="21"/>
              </w:rPr>
              <w:t xml:space="preserve">    √</w:t>
            </w:r>
            <w:r>
              <w:rPr>
                <w:rFonts w:ascii="Times New Roman" w:hAnsi="宋体" w:eastAsia="宋体"/>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continue"/>
            <w:vAlign w:val="center"/>
          </w:tcPr>
          <w:p>
            <w:pPr>
              <w:pStyle w:val="49"/>
              <w:ind w:firstLine="420"/>
              <w:rPr>
                <w:rFonts w:ascii="Times New Roman" w:hAnsi="Times New Roman" w:eastAsia="宋体"/>
                <w:color w:val="auto"/>
                <w:sz w:val="21"/>
                <w:szCs w:val="21"/>
              </w:rPr>
            </w:pP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地形数据分辨率</w:t>
            </w:r>
            <w:r>
              <w:rPr>
                <w:rFonts w:ascii="Times New Roman" w:hAnsi="Times New Roman" w:eastAsia="宋体"/>
                <w:color w:val="auto"/>
                <w:sz w:val="21"/>
                <w:szCs w:val="21"/>
              </w:rPr>
              <w:t>/m</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restart"/>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是否考虑岸线熏烟</w:t>
            </w: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考虑岸线熏烟</w:t>
            </w:r>
          </w:p>
        </w:tc>
        <w:tc>
          <w:tcPr>
            <w:tcW w:w="4648" w:type="dxa"/>
            <w:vAlign w:val="center"/>
          </w:tcPr>
          <w:p>
            <w:pPr>
              <w:pStyle w:val="49"/>
              <w:ind w:firstLine="420"/>
              <w:rPr>
                <w:rFonts w:ascii="Times New Roman" w:hAnsi="Times New Roman" w:eastAsia="宋体"/>
                <w:color w:val="auto"/>
                <w:sz w:val="21"/>
                <w:szCs w:val="21"/>
              </w:rPr>
            </w:pPr>
            <w:r>
              <w:rPr>
                <w:rFonts w:ascii="Times New Roman" w:hAnsi="Times New Roman" w:eastAsia="宋体"/>
                <w:color w:val="auto"/>
                <w:sz w:val="21"/>
                <w:szCs w:val="21"/>
              </w:rPr>
              <w:t>□</w:t>
            </w:r>
            <w:r>
              <w:rPr>
                <w:rFonts w:ascii="Times New Roman" w:hAnsi="宋体" w:eastAsia="宋体"/>
                <w:color w:val="auto"/>
                <w:sz w:val="21"/>
                <w:szCs w:val="21"/>
              </w:rPr>
              <w:t>是</w:t>
            </w:r>
            <w:r>
              <w:rPr>
                <w:rFonts w:ascii="Times New Roman" w:hAnsi="Times New Roman" w:eastAsia="宋体"/>
                <w:color w:val="auto"/>
                <w:sz w:val="21"/>
                <w:szCs w:val="21"/>
              </w:rPr>
              <w:t xml:space="preserve">    √</w:t>
            </w:r>
            <w:r>
              <w:rPr>
                <w:rFonts w:ascii="Times New Roman" w:hAnsi="宋体" w:eastAsia="宋体"/>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continue"/>
            <w:vAlign w:val="center"/>
          </w:tcPr>
          <w:p>
            <w:pPr>
              <w:pStyle w:val="49"/>
              <w:ind w:firstLine="420"/>
              <w:rPr>
                <w:rFonts w:ascii="Times New Roman" w:hAnsi="Times New Roman" w:eastAsia="宋体"/>
                <w:color w:val="auto"/>
                <w:sz w:val="21"/>
                <w:szCs w:val="21"/>
              </w:rPr>
            </w:pP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岸线距离</w:t>
            </w:r>
            <w:r>
              <w:rPr>
                <w:rFonts w:ascii="Times New Roman" w:hAnsi="Times New Roman" w:eastAsia="宋体"/>
                <w:color w:val="auto"/>
                <w:sz w:val="21"/>
                <w:szCs w:val="21"/>
              </w:rPr>
              <w:t>/km</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gridSpan w:val="2"/>
            <w:vMerge w:val="continue"/>
            <w:vAlign w:val="center"/>
          </w:tcPr>
          <w:p>
            <w:pPr>
              <w:pStyle w:val="49"/>
              <w:ind w:firstLine="420"/>
              <w:rPr>
                <w:rFonts w:ascii="Times New Roman" w:hAnsi="Times New Roman" w:eastAsia="宋体"/>
                <w:color w:val="auto"/>
                <w:sz w:val="21"/>
                <w:szCs w:val="21"/>
              </w:rPr>
            </w:pPr>
          </w:p>
        </w:tc>
        <w:tc>
          <w:tcPr>
            <w:tcW w:w="2522" w:type="dxa"/>
            <w:vAlign w:val="center"/>
          </w:tcPr>
          <w:p>
            <w:pPr>
              <w:pStyle w:val="49"/>
              <w:ind w:firstLine="420"/>
              <w:rPr>
                <w:rFonts w:ascii="Times New Roman" w:hAnsi="Times New Roman" w:eastAsia="宋体"/>
                <w:color w:val="auto"/>
                <w:sz w:val="21"/>
                <w:szCs w:val="21"/>
              </w:rPr>
            </w:pPr>
            <w:r>
              <w:rPr>
                <w:rFonts w:ascii="Times New Roman" w:hAnsi="宋体" w:eastAsia="宋体"/>
                <w:color w:val="auto"/>
                <w:sz w:val="21"/>
                <w:szCs w:val="21"/>
              </w:rPr>
              <w:t>岸线方向</w:t>
            </w:r>
            <w:r>
              <w:rPr>
                <w:rFonts w:ascii="Times New Roman" w:hAnsi="Times New Roman" w:eastAsia="宋体"/>
                <w:color w:val="auto"/>
                <w:sz w:val="21"/>
                <w:szCs w:val="21"/>
              </w:rPr>
              <w:t>/°</w:t>
            </w:r>
          </w:p>
        </w:tc>
        <w:tc>
          <w:tcPr>
            <w:tcW w:w="4648" w:type="dxa"/>
            <w:vAlign w:val="center"/>
          </w:tcPr>
          <w:p>
            <w:pPr>
              <w:pStyle w:val="49"/>
              <w:ind w:firstLine="420"/>
              <w:rPr>
                <w:rFonts w:ascii="Times New Roman" w:hAnsi="Times New Roman" w:eastAsia="宋体"/>
                <w:color w:val="auto"/>
                <w:sz w:val="21"/>
                <w:szCs w:val="21"/>
              </w:rPr>
            </w:pPr>
            <w:r>
              <w:rPr>
                <w:rFonts w:hint="eastAsia" w:ascii="Times New Roman" w:hAnsi="Times New Roman" w:eastAsia="宋体"/>
                <w:color w:val="auto"/>
                <w:sz w:val="21"/>
                <w:szCs w:val="21"/>
              </w:rPr>
              <w:t>——</w:t>
            </w:r>
          </w:p>
        </w:tc>
      </w:tr>
    </w:tbl>
    <w:p>
      <w:pPr>
        <w:pStyle w:val="5"/>
        <w:rPr>
          <w:color w:val="auto"/>
        </w:rPr>
      </w:pPr>
      <w:r>
        <w:rPr>
          <w:rFonts w:hint="eastAsia"/>
          <w:color w:val="auto"/>
        </w:rPr>
        <w:t>5.2.1.6预测范围</w:t>
      </w:r>
    </w:p>
    <w:p>
      <w:pPr>
        <w:spacing w:line="360" w:lineRule="auto"/>
        <w:ind w:firstLine="480" w:firstLineChars="200"/>
        <w:jc w:val="left"/>
        <w:rPr>
          <w:color w:val="auto"/>
          <w:sz w:val="24"/>
          <w:szCs w:val="24"/>
        </w:rPr>
      </w:pPr>
      <w:r>
        <w:rPr>
          <w:rFonts w:hint="eastAsia"/>
          <w:color w:val="auto"/>
          <w:sz w:val="24"/>
          <w:szCs w:val="24"/>
        </w:rPr>
        <w:t>考虑项目周围环境特征和气象条件，本次大气评价范围确定为以项目厂址为中心，边长5km 的矩形区域。</w:t>
      </w:r>
    </w:p>
    <w:p>
      <w:pPr>
        <w:pStyle w:val="5"/>
        <w:rPr>
          <w:color w:val="auto"/>
        </w:rPr>
      </w:pPr>
      <w:r>
        <w:rPr>
          <w:rFonts w:hint="eastAsia"/>
          <w:color w:val="auto"/>
        </w:rPr>
        <w:t>5.2.1.7预测结果及分析</w:t>
      </w:r>
    </w:p>
    <w:p>
      <w:pPr>
        <w:pStyle w:val="48"/>
        <w:ind w:firstLine="480"/>
        <w:rPr>
          <w:rFonts w:ascii="Times New Roman" w:hAnsi="Times New Roman" w:eastAsia="宋体"/>
          <w:color w:val="auto"/>
          <w:sz w:val="24"/>
          <w:lang w:val="zh-CN"/>
        </w:rPr>
      </w:pPr>
      <w:r>
        <w:rPr>
          <w:rFonts w:hint="eastAsia" w:ascii="Times New Roman" w:hAnsi="Times New Roman" w:eastAsia="宋体"/>
          <w:color w:val="auto"/>
          <w:sz w:val="24"/>
          <w:lang w:val="zh-CN"/>
        </w:rPr>
        <w:t>利用《环境影响评价技术导则</w:t>
      </w:r>
      <w:r>
        <w:rPr>
          <w:rFonts w:ascii="Times New Roman" w:hAnsi="Times New Roman" w:eastAsia="宋体"/>
          <w:color w:val="auto"/>
          <w:sz w:val="24"/>
          <w:lang w:val="zh-CN"/>
        </w:rPr>
        <w:t xml:space="preserve"> 大气环境》（HJ2.2-2018）中推荐的估算模型AERSCREEN结合</w:t>
      </w:r>
      <w:r>
        <w:rPr>
          <w:rFonts w:hint="eastAsia" w:ascii="Times New Roman" w:hAnsi="Times New Roman" w:eastAsia="宋体"/>
          <w:color w:val="auto"/>
          <w:sz w:val="24"/>
          <w:lang w:val="zh-CN"/>
        </w:rPr>
        <w:t>预测源强</w:t>
      </w:r>
      <w:r>
        <w:rPr>
          <w:rFonts w:ascii="Times New Roman" w:hAnsi="Times New Roman" w:eastAsia="宋体"/>
          <w:color w:val="auto"/>
          <w:sz w:val="24"/>
          <w:lang w:val="zh-CN"/>
        </w:rPr>
        <w:t>进行主要污染源估算，估算结果见下表。</w:t>
      </w:r>
    </w:p>
    <w:p>
      <w:pPr>
        <w:pStyle w:val="48"/>
        <w:ind w:firstLine="0" w:firstLineChars="0"/>
        <w:rPr>
          <w:rFonts w:ascii="Times New Roman" w:hAnsi="Times New Roman" w:eastAsia="宋体"/>
          <w:color w:val="auto"/>
          <w:sz w:val="24"/>
          <w:lang w:val="zh-CN"/>
        </w:rPr>
      </w:pPr>
    </w:p>
    <w:p>
      <w:pPr>
        <w:pStyle w:val="47"/>
        <w:rPr>
          <w:rFonts w:ascii="Times New Roman" w:hAnsi="宋体" w:eastAsia="宋体"/>
          <w:b/>
          <w:color w:val="auto"/>
          <w:sz w:val="24"/>
        </w:rPr>
      </w:pPr>
      <w:r>
        <w:rPr>
          <w:rFonts w:hint="eastAsia" w:ascii="Times New Roman" w:hAnsi="宋体" w:eastAsia="宋体"/>
          <w:b/>
          <w:color w:val="auto"/>
          <w:sz w:val="24"/>
        </w:rPr>
        <w:t xml:space="preserve">表5-2-10   </w:t>
      </w:r>
      <w:r>
        <w:rPr>
          <w:rFonts w:ascii="Times New Roman" w:hAnsi="宋体" w:eastAsia="宋体"/>
          <w:b/>
          <w:color w:val="auto"/>
          <w:sz w:val="24"/>
        </w:rPr>
        <w:t>项目主要污染源估算模型计算结果表</w:t>
      </w:r>
      <w:r>
        <w:rPr>
          <w:rFonts w:hint="eastAsia" w:ascii="Times New Roman" w:hAnsi="宋体" w:eastAsia="宋体"/>
          <w:b/>
          <w:color w:val="auto"/>
          <w:sz w:val="24"/>
        </w:rPr>
        <w:t>（有组织）</w:t>
      </w:r>
    </w:p>
    <w:tbl>
      <w:tblPr>
        <w:tblStyle w:val="28"/>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276"/>
        <w:gridCol w:w="709"/>
        <w:gridCol w:w="1276"/>
        <w:gridCol w:w="708"/>
        <w:gridCol w:w="1276"/>
        <w:gridCol w:w="709"/>
        <w:gridCol w:w="1364"/>
        <w:gridCol w:w="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25"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下风向距离</w:t>
            </w:r>
            <w:r>
              <w:rPr>
                <w:rFonts w:ascii="Times New Roman" w:hAnsi="Times New Roman" w:eastAsia="宋体"/>
                <w:b/>
                <w:color w:val="auto"/>
                <w:sz w:val="21"/>
                <w:szCs w:val="21"/>
              </w:rPr>
              <w:t>/m</w:t>
            </w:r>
          </w:p>
        </w:tc>
        <w:tc>
          <w:tcPr>
            <w:tcW w:w="3969" w:type="dxa"/>
            <w:gridSpan w:val="4"/>
            <w:vAlign w:val="center"/>
          </w:tcPr>
          <w:p>
            <w:pPr>
              <w:jc w:val="center"/>
              <w:rPr>
                <w:b/>
                <w:color w:val="auto"/>
                <w:sz w:val="21"/>
                <w:szCs w:val="21"/>
              </w:rPr>
            </w:pPr>
            <w:r>
              <w:rPr>
                <w:rFonts w:hint="eastAsia"/>
                <w:b/>
                <w:color w:val="auto"/>
                <w:sz w:val="21"/>
                <w:szCs w:val="21"/>
              </w:rPr>
              <w:t>污水预处理区域</w:t>
            </w:r>
          </w:p>
        </w:tc>
        <w:tc>
          <w:tcPr>
            <w:tcW w:w="4333" w:type="dxa"/>
            <w:gridSpan w:val="4"/>
            <w:vAlign w:val="center"/>
          </w:tcPr>
          <w:p>
            <w:pPr>
              <w:jc w:val="center"/>
              <w:rPr>
                <w:b/>
                <w:color w:val="auto"/>
                <w:sz w:val="21"/>
                <w:szCs w:val="21"/>
              </w:rPr>
            </w:pPr>
            <w:r>
              <w:rPr>
                <w:rFonts w:hint="eastAsia"/>
                <w:b/>
                <w:color w:val="auto"/>
                <w:sz w:val="21"/>
                <w:szCs w:val="21"/>
              </w:rPr>
              <w:t>污泥处理区域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25" w:type="dxa"/>
            <w:vMerge w:val="continue"/>
            <w:vAlign w:val="center"/>
          </w:tcPr>
          <w:p>
            <w:pPr>
              <w:pStyle w:val="49"/>
              <w:spacing w:line="240" w:lineRule="auto"/>
              <w:rPr>
                <w:rFonts w:ascii="Times New Roman" w:hAnsi="宋体" w:eastAsia="宋体"/>
                <w:b/>
                <w:color w:val="auto"/>
                <w:sz w:val="21"/>
                <w:szCs w:val="21"/>
              </w:rPr>
            </w:pPr>
          </w:p>
        </w:tc>
        <w:tc>
          <w:tcPr>
            <w:tcW w:w="1985" w:type="dxa"/>
            <w:gridSpan w:val="2"/>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H</w:t>
            </w:r>
            <w:r>
              <w:rPr>
                <w:rFonts w:hint="eastAsia" w:ascii="Times New Roman" w:hAnsi="Times New Roman" w:eastAsia="宋体"/>
                <w:b/>
                <w:color w:val="auto"/>
                <w:sz w:val="21"/>
                <w:szCs w:val="21"/>
                <w:vertAlign w:val="subscript"/>
              </w:rPr>
              <w:t>2</w:t>
            </w:r>
            <w:r>
              <w:rPr>
                <w:rFonts w:hint="eastAsia" w:ascii="Times New Roman" w:hAnsi="Times New Roman" w:eastAsia="宋体"/>
                <w:b/>
                <w:color w:val="auto"/>
                <w:sz w:val="21"/>
                <w:szCs w:val="21"/>
              </w:rPr>
              <w:t>S</w:t>
            </w:r>
          </w:p>
        </w:tc>
        <w:tc>
          <w:tcPr>
            <w:tcW w:w="1984" w:type="dxa"/>
            <w:gridSpan w:val="2"/>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NH</w:t>
            </w:r>
            <w:r>
              <w:rPr>
                <w:rFonts w:hint="eastAsia" w:ascii="Times New Roman" w:hAnsi="Times New Roman" w:eastAsia="宋体"/>
                <w:b/>
                <w:color w:val="auto"/>
                <w:sz w:val="21"/>
                <w:szCs w:val="21"/>
                <w:vertAlign w:val="subscript"/>
              </w:rPr>
              <w:t>3</w:t>
            </w:r>
          </w:p>
        </w:tc>
        <w:tc>
          <w:tcPr>
            <w:tcW w:w="1985" w:type="dxa"/>
            <w:gridSpan w:val="2"/>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H</w:t>
            </w:r>
            <w:r>
              <w:rPr>
                <w:rFonts w:hint="eastAsia" w:ascii="Times New Roman" w:hAnsi="Times New Roman" w:eastAsia="宋体"/>
                <w:b/>
                <w:color w:val="auto"/>
                <w:sz w:val="21"/>
                <w:szCs w:val="21"/>
                <w:vertAlign w:val="subscript"/>
              </w:rPr>
              <w:t>2</w:t>
            </w:r>
            <w:r>
              <w:rPr>
                <w:rFonts w:hint="eastAsia" w:ascii="Times New Roman" w:hAnsi="Times New Roman" w:eastAsia="宋体"/>
                <w:b/>
                <w:color w:val="auto"/>
                <w:sz w:val="21"/>
                <w:szCs w:val="21"/>
              </w:rPr>
              <w:t>S</w:t>
            </w:r>
          </w:p>
        </w:tc>
        <w:tc>
          <w:tcPr>
            <w:tcW w:w="2348" w:type="dxa"/>
            <w:gridSpan w:val="2"/>
            <w:vAlign w:val="center"/>
          </w:tcPr>
          <w:p>
            <w:pPr>
              <w:pStyle w:val="49"/>
              <w:spacing w:line="240" w:lineRule="auto"/>
              <w:rPr>
                <w:rFonts w:ascii="Times New Roman" w:hAnsi="Times New Roman" w:eastAsia="宋体"/>
                <w:b/>
                <w:color w:val="auto"/>
                <w:sz w:val="21"/>
                <w:szCs w:val="21"/>
              </w:rPr>
            </w:pPr>
            <w:r>
              <w:rPr>
                <w:rFonts w:hint="eastAsia" w:ascii="Times New Roman" w:hAnsi="Times New Roman" w:eastAsia="宋体"/>
                <w:b/>
                <w:color w:val="auto"/>
                <w:sz w:val="21"/>
                <w:szCs w:val="21"/>
              </w:rPr>
              <w:t>NH</w:t>
            </w:r>
            <w:r>
              <w:rPr>
                <w:rFonts w:hint="eastAsia" w:ascii="Times New Roman" w:hAnsi="Times New Roman" w:eastAsia="宋体"/>
                <w:b/>
                <w:color w:val="auto"/>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125" w:type="dxa"/>
            <w:vMerge w:val="continue"/>
            <w:vAlign w:val="center"/>
          </w:tcPr>
          <w:p>
            <w:pPr>
              <w:pStyle w:val="49"/>
              <w:spacing w:line="240" w:lineRule="auto"/>
              <w:rPr>
                <w:rFonts w:ascii="Times New Roman" w:hAnsi="Times New Roman" w:eastAsia="宋体"/>
                <w:b/>
                <w:color w:val="auto"/>
                <w:sz w:val="21"/>
                <w:szCs w:val="21"/>
              </w:rPr>
            </w:pPr>
          </w:p>
        </w:tc>
        <w:tc>
          <w:tcPr>
            <w:tcW w:w="1276"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预测质量浓度（</w:t>
            </w:r>
            <w:r>
              <w:rPr>
                <w:rFonts w:ascii="Times New Roman" w:hAnsi="Times New Roman" w:eastAsia="宋体"/>
                <w:b/>
                <w:color w:val="auto"/>
                <w:sz w:val="21"/>
                <w:szCs w:val="21"/>
              </w:rPr>
              <w:t>μg/m</w:t>
            </w:r>
            <w:r>
              <w:rPr>
                <w:rFonts w:ascii="Times New Roman" w:hAnsi="Times New Roman" w:eastAsia="宋体"/>
                <w:b/>
                <w:color w:val="auto"/>
                <w:sz w:val="21"/>
                <w:szCs w:val="21"/>
                <w:vertAlign w:val="superscript"/>
              </w:rPr>
              <w:t>3</w:t>
            </w:r>
            <w:r>
              <w:rPr>
                <w:rFonts w:ascii="Times New Roman" w:hAnsi="宋体" w:eastAsia="宋体"/>
                <w:b/>
                <w:color w:val="auto"/>
                <w:sz w:val="21"/>
                <w:szCs w:val="21"/>
              </w:rPr>
              <w:t>）</w:t>
            </w:r>
          </w:p>
        </w:tc>
        <w:tc>
          <w:tcPr>
            <w:tcW w:w="709"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占标率</w:t>
            </w:r>
            <w:r>
              <w:rPr>
                <w:rFonts w:ascii="Times New Roman" w:hAnsi="Times New Roman" w:eastAsia="宋体"/>
                <w:b/>
                <w:color w:val="auto"/>
                <w:sz w:val="21"/>
                <w:szCs w:val="21"/>
              </w:rPr>
              <w:t>/%</w:t>
            </w:r>
          </w:p>
        </w:tc>
        <w:tc>
          <w:tcPr>
            <w:tcW w:w="1276"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预测质量浓度（</w:t>
            </w:r>
            <w:r>
              <w:rPr>
                <w:rFonts w:ascii="Times New Roman" w:hAnsi="Times New Roman" w:eastAsia="宋体"/>
                <w:b/>
                <w:color w:val="auto"/>
                <w:sz w:val="21"/>
                <w:szCs w:val="21"/>
              </w:rPr>
              <w:t>μg/m</w:t>
            </w:r>
            <w:r>
              <w:rPr>
                <w:rFonts w:ascii="Times New Roman" w:hAnsi="Times New Roman" w:eastAsia="宋体"/>
                <w:b/>
                <w:color w:val="auto"/>
                <w:sz w:val="21"/>
                <w:szCs w:val="21"/>
                <w:vertAlign w:val="superscript"/>
              </w:rPr>
              <w:t>3</w:t>
            </w:r>
            <w:r>
              <w:rPr>
                <w:rFonts w:ascii="Times New Roman" w:hAnsi="宋体" w:eastAsia="宋体"/>
                <w:b/>
                <w:color w:val="auto"/>
                <w:sz w:val="21"/>
                <w:szCs w:val="21"/>
              </w:rPr>
              <w:t>）</w:t>
            </w:r>
          </w:p>
        </w:tc>
        <w:tc>
          <w:tcPr>
            <w:tcW w:w="708"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占标率</w:t>
            </w:r>
            <w:r>
              <w:rPr>
                <w:rFonts w:ascii="Times New Roman" w:hAnsi="Times New Roman" w:eastAsia="宋体"/>
                <w:b/>
                <w:color w:val="auto"/>
                <w:sz w:val="21"/>
                <w:szCs w:val="21"/>
              </w:rPr>
              <w:t>/%</w:t>
            </w:r>
          </w:p>
        </w:tc>
        <w:tc>
          <w:tcPr>
            <w:tcW w:w="1276"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预测质量浓度（</w:t>
            </w:r>
            <w:r>
              <w:rPr>
                <w:rFonts w:ascii="Times New Roman" w:hAnsi="Times New Roman" w:eastAsia="宋体"/>
                <w:b/>
                <w:color w:val="auto"/>
                <w:sz w:val="21"/>
                <w:szCs w:val="21"/>
              </w:rPr>
              <w:t>μg/m</w:t>
            </w:r>
            <w:r>
              <w:rPr>
                <w:rFonts w:ascii="Times New Roman" w:hAnsi="Times New Roman" w:eastAsia="宋体"/>
                <w:b/>
                <w:color w:val="auto"/>
                <w:sz w:val="21"/>
                <w:szCs w:val="21"/>
                <w:vertAlign w:val="superscript"/>
              </w:rPr>
              <w:t>3</w:t>
            </w:r>
            <w:r>
              <w:rPr>
                <w:rFonts w:ascii="Times New Roman" w:hAnsi="宋体" w:eastAsia="宋体"/>
                <w:b/>
                <w:color w:val="auto"/>
                <w:sz w:val="21"/>
                <w:szCs w:val="21"/>
              </w:rPr>
              <w:t>）</w:t>
            </w:r>
          </w:p>
        </w:tc>
        <w:tc>
          <w:tcPr>
            <w:tcW w:w="709"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占标率</w:t>
            </w:r>
            <w:r>
              <w:rPr>
                <w:rFonts w:ascii="Times New Roman" w:hAnsi="Times New Roman" w:eastAsia="宋体"/>
                <w:b/>
                <w:color w:val="auto"/>
                <w:sz w:val="21"/>
                <w:szCs w:val="21"/>
              </w:rPr>
              <w:t>/%</w:t>
            </w:r>
          </w:p>
        </w:tc>
        <w:tc>
          <w:tcPr>
            <w:tcW w:w="1364"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预测质量浓度（</w:t>
            </w:r>
            <w:r>
              <w:rPr>
                <w:rFonts w:ascii="Times New Roman" w:hAnsi="Times New Roman" w:eastAsia="宋体"/>
                <w:b/>
                <w:color w:val="auto"/>
                <w:sz w:val="21"/>
                <w:szCs w:val="21"/>
              </w:rPr>
              <w:t>μg/m</w:t>
            </w:r>
            <w:r>
              <w:rPr>
                <w:rFonts w:ascii="Times New Roman" w:hAnsi="Times New Roman" w:eastAsia="宋体"/>
                <w:b/>
                <w:color w:val="auto"/>
                <w:sz w:val="21"/>
                <w:szCs w:val="21"/>
                <w:vertAlign w:val="superscript"/>
              </w:rPr>
              <w:t>3</w:t>
            </w:r>
            <w:r>
              <w:rPr>
                <w:rFonts w:ascii="Times New Roman" w:hAnsi="宋体" w:eastAsia="宋体"/>
                <w:b/>
                <w:color w:val="auto"/>
                <w:sz w:val="21"/>
                <w:szCs w:val="21"/>
              </w:rPr>
              <w:t>）</w:t>
            </w:r>
          </w:p>
        </w:tc>
        <w:tc>
          <w:tcPr>
            <w:tcW w:w="984"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占标率</w:t>
            </w:r>
            <w:r>
              <w:rPr>
                <w:rFonts w:ascii="Times New Roman" w:hAnsi="Times New Roman" w:eastAsia="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10</w:t>
            </w:r>
          </w:p>
        </w:tc>
        <w:tc>
          <w:tcPr>
            <w:tcW w:w="1276" w:type="dxa"/>
            <w:vAlign w:val="center"/>
          </w:tcPr>
          <w:p>
            <w:pPr>
              <w:adjustRightInd w:val="0"/>
              <w:snapToGrid w:val="0"/>
              <w:jc w:val="center"/>
              <w:rPr>
                <w:color w:val="auto"/>
                <w:sz w:val="21"/>
                <w:szCs w:val="21"/>
              </w:rPr>
            </w:pPr>
            <w:r>
              <w:rPr>
                <w:color w:val="auto"/>
                <w:sz w:val="21"/>
                <w:szCs w:val="21"/>
              </w:rPr>
              <w:t>0.0004</w:t>
            </w:r>
          </w:p>
        </w:tc>
        <w:tc>
          <w:tcPr>
            <w:tcW w:w="709" w:type="dxa"/>
            <w:vAlign w:val="center"/>
          </w:tcPr>
          <w:p>
            <w:pPr>
              <w:adjustRightInd w:val="0"/>
              <w:snapToGrid w:val="0"/>
              <w:jc w:val="center"/>
              <w:rPr>
                <w:color w:val="auto"/>
                <w:sz w:val="21"/>
                <w:szCs w:val="21"/>
              </w:rPr>
            </w:pPr>
            <w:r>
              <w:rPr>
                <w:color w:val="auto"/>
                <w:sz w:val="21"/>
                <w:szCs w:val="21"/>
              </w:rPr>
              <w:t>0.00</w:t>
            </w:r>
          </w:p>
        </w:tc>
        <w:tc>
          <w:tcPr>
            <w:tcW w:w="1276" w:type="dxa"/>
            <w:vAlign w:val="center"/>
          </w:tcPr>
          <w:p>
            <w:pPr>
              <w:adjustRightInd w:val="0"/>
              <w:snapToGrid w:val="0"/>
              <w:jc w:val="center"/>
              <w:rPr>
                <w:color w:val="auto"/>
                <w:sz w:val="21"/>
                <w:szCs w:val="21"/>
              </w:rPr>
            </w:pPr>
            <w:r>
              <w:rPr>
                <w:color w:val="auto"/>
                <w:sz w:val="21"/>
                <w:szCs w:val="21"/>
              </w:rPr>
              <w:t>0.0018</w:t>
            </w:r>
          </w:p>
        </w:tc>
        <w:tc>
          <w:tcPr>
            <w:tcW w:w="708" w:type="dxa"/>
            <w:vAlign w:val="center"/>
          </w:tcPr>
          <w:p>
            <w:pPr>
              <w:adjustRightInd w:val="0"/>
              <w:snapToGrid w:val="0"/>
              <w:jc w:val="center"/>
              <w:rPr>
                <w:color w:val="auto"/>
                <w:sz w:val="21"/>
                <w:szCs w:val="21"/>
              </w:rPr>
            </w:pPr>
            <w:r>
              <w:rPr>
                <w:color w:val="auto"/>
                <w:sz w:val="21"/>
                <w:szCs w:val="21"/>
              </w:rPr>
              <w:t>0.00</w:t>
            </w:r>
          </w:p>
        </w:tc>
        <w:tc>
          <w:tcPr>
            <w:tcW w:w="1276" w:type="dxa"/>
            <w:vAlign w:val="center"/>
          </w:tcPr>
          <w:p>
            <w:pPr>
              <w:adjustRightInd w:val="0"/>
              <w:snapToGrid w:val="0"/>
              <w:jc w:val="center"/>
              <w:rPr>
                <w:color w:val="auto"/>
                <w:sz w:val="21"/>
                <w:szCs w:val="21"/>
              </w:rPr>
            </w:pPr>
            <w:r>
              <w:rPr>
                <w:color w:val="auto"/>
                <w:kern w:val="0"/>
                <w:sz w:val="21"/>
                <w:szCs w:val="21"/>
              </w:rPr>
              <w:t>0.0008</w:t>
            </w:r>
          </w:p>
        </w:tc>
        <w:tc>
          <w:tcPr>
            <w:tcW w:w="709" w:type="dxa"/>
            <w:vAlign w:val="center"/>
          </w:tcPr>
          <w:p>
            <w:pPr>
              <w:adjustRightInd w:val="0"/>
              <w:snapToGrid w:val="0"/>
              <w:jc w:val="center"/>
              <w:rPr>
                <w:color w:val="auto"/>
                <w:sz w:val="21"/>
                <w:szCs w:val="21"/>
              </w:rPr>
            </w:pPr>
            <w:r>
              <w:rPr>
                <w:color w:val="auto"/>
                <w:kern w:val="0"/>
                <w:sz w:val="21"/>
                <w:szCs w:val="21"/>
              </w:rPr>
              <w:t>0.01</w:t>
            </w:r>
          </w:p>
        </w:tc>
        <w:tc>
          <w:tcPr>
            <w:tcW w:w="1364" w:type="dxa"/>
            <w:vAlign w:val="center"/>
          </w:tcPr>
          <w:p>
            <w:pPr>
              <w:adjustRightInd w:val="0"/>
              <w:snapToGrid w:val="0"/>
              <w:jc w:val="center"/>
              <w:rPr>
                <w:color w:val="auto"/>
                <w:sz w:val="21"/>
                <w:szCs w:val="21"/>
              </w:rPr>
            </w:pPr>
            <w:r>
              <w:rPr>
                <w:color w:val="auto"/>
                <w:sz w:val="21"/>
                <w:szCs w:val="21"/>
              </w:rPr>
              <w:t>0.0028</w:t>
            </w:r>
          </w:p>
        </w:tc>
        <w:tc>
          <w:tcPr>
            <w:tcW w:w="984" w:type="dxa"/>
            <w:vAlign w:val="center"/>
          </w:tcPr>
          <w:p>
            <w:pPr>
              <w:adjustRightInd w:val="0"/>
              <w:snapToGrid w:val="0"/>
              <w:jc w:val="center"/>
              <w:rPr>
                <w:color w:val="auto"/>
                <w:sz w:val="21"/>
                <w:szCs w:val="21"/>
              </w:rPr>
            </w:pPr>
            <w:r>
              <w:rPr>
                <w:color w:val="auto"/>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25</w:t>
            </w:r>
          </w:p>
        </w:tc>
        <w:tc>
          <w:tcPr>
            <w:tcW w:w="1276" w:type="dxa"/>
            <w:vAlign w:val="center"/>
          </w:tcPr>
          <w:p>
            <w:pPr>
              <w:adjustRightInd w:val="0"/>
              <w:snapToGrid w:val="0"/>
              <w:jc w:val="center"/>
              <w:rPr>
                <w:color w:val="auto"/>
                <w:sz w:val="21"/>
                <w:szCs w:val="21"/>
              </w:rPr>
            </w:pPr>
            <w:r>
              <w:rPr>
                <w:color w:val="auto"/>
                <w:sz w:val="21"/>
                <w:szCs w:val="21"/>
              </w:rPr>
              <w:t>0.0087</w:t>
            </w:r>
          </w:p>
        </w:tc>
        <w:tc>
          <w:tcPr>
            <w:tcW w:w="709" w:type="dxa"/>
            <w:vAlign w:val="center"/>
          </w:tcPr>
          <w:p>
            <w:pPr>
              <w:adjustRightInd w:val="0"/>
              <w:snapToGrid w:val="0"/>
              <w:jc w:val="center"/>
              <w:rPr>
                <w:color w:val="auto"/>
                <w:sz w:val="21"/>
                <w:szCs w:val="21"/>
              </w:rPr>
            </w:pPr>
            <w:r>
              <w:rPr>
                <w:color w:val="auto"/>
                <w:sz w:val="21"/>
                <w:szCs w:val="21"/>
              </w:rPr>
              <w:t>0.09</w:t>
            </w:r>
          </w:p>
        </w:tc>
        <w:tc>
          <w:tcPr>
            <w:tcW w:w="1276" w:type="dxa"/>
            <w:vAlign w:val="center"/>
          </w:tcPr>
          <w:p>
            <w:pPr>
              <w:adjustRightInd w:val="0"/>
              <w:snapToGrid w:val="0"/>
              <w:jc w:val="center"/>
              <w:rPr>
                <w:color w:val="auto"/>
                <w:sz w:val="21"/>
                <w:szCs w:val="21"/>
              </w:rPr>
            </w:pPr>
            <w:r>
              <w:rPr>
                <w:color w:val="auto"/>
                <w:sz w:val="21"/>
                <w:szCs w:val="21"/>
              </w:rPr>
              <w:t>0.0435</w:t>
            </w:r>
          </w:p>
        </w:tc>
        <w:tc>
          <w:tcPr>
            <w:tcW w:w="708" w:type="dxa"/>
            <w:vAlign w:val="center"/>
          </w:tcPr>
          <w:p>
            <w:pPr>
              <w:adjustRightInd w:val="0"/>
              <w:snapToGrid w:val="0"/>
              <w:jc w:val="center"/>
              <w:rPr>
                <w:color w:val="auto"/>
                <w:sz w:val="21"/>
                <w:szCs w:val="21"/>
              </w:rPr>
            </w:pPr>
            <w:r>
              <w:rPr>
                <w:color w:val="auto"/>
                <w:sz w:val="21"/>
                <w:szCs w:val="21"/>
              </w:rPr>
              <w:t>0.02</w:t>
            </w:r>
          </w:p>
        </w:tc>
        <w:tc>
          <w:tcPr>
            <w:tcW w:w="1276" w:type="dxa"/>
            <w:vAlign w:val="center"/>
          </w:tcPr>
          <w:p>
            <w:pPr>
              <w:adjustRightInd w:val="0"/>
              <w:snapToGrid w:val="0"/>
              <w:jc w:val="center"/>
              <w:rPr>
                <w:color w:val="auto"/>
                <w:sz w:val="21"/>
                <w:szCs w:val="21"/>
              </w:rPr>
            </w:pPr>
            <w:r>
              <w:rPr>
                <w:color w:val="auto"/>
                <w:kern w:val="0"/>
                <w:sz w:val="21"/>
                <w:szCs w:val="21"/>
              </w:rPr>
              <w:t>0.0357</w:t>
            </w:r>
          </w:p>
        </w:tc>
        <w:tc>
          <w:tcPr>
            <w:tcW w:w="709" w:type="dxa"/>
            <w:vAlign w:val="center"/>
          </w:tcPr>
          <w:p>
            <w:pPr>
              <w:adjustRightInd w:val="0"/>
              <w:snapToGrid w:val="0"/>
              <w:jc w:val="center"/>
              <w:rPr>
                <w:color w:val="auto"/>
                <w:sz w:val="21"/>
                <w:szCs w:val="21"/>
              </w:rPr>
            </w:pPr>
            <w:r>
              <w:rPr>
                <w:color w:val="auto"/>
                <w:kern w:val="0"/>
                <w:sz w:val="21"/>
                <w:szCs w:val="21"/>
              </w:rPr>
              <w:t>0.36</w:t>
            </w:r>
          </w:p>
        </w:tc>
        <w:tc>
          <w:tcPr>
            <w:tcW w:w="1364" w:type="dxa"/>
            <w:vAlign w:val="center"/>
          </w:tcPr>
          <w:p>
            <w:pPr>
              <w:adjustRightInd w:val="0"/>
              <w:snapToGrid w:val="0"/>
              <w:jc w:val="center"/>
              <w:rPr>
                <w:color w:val="auto"/>
                <w:sz w:val="21"/>
                <w:szCs w:val="21"/>
              </w:rPr>
            </w:pPr>
            <w:r>
              <w:rPr>
                <w:color w:val="auto"/>
                <w:sz w:val="21"/>
                <w:szCs w:val="21"/>
              </w:rPr>
              <w:t>0.1190</w:t>
            </w:r>
          </w:p>
        </w:tc>
        <w:tc>
          <w:tcPr>
            <w:tcW w:w="984" w:type="dxa"/>
            <w:vAlign w:val="center"/>
          </w:tcPr>
          <w:p>
            <w:pPr>
              <w:adjustRightInd w:val="0"/>
              <w:snapToGrid w:val="0"/>
              <w:jc w:val="center"/>
              <w:rPr>
                <w:color w:val="auto"/>
                <w:sz w:val="21"/>
                <w:szCs w:val="21"/>
              </w:rPr>
            </w:pPr>
            <w:r>
              <w:rPr>
                <w:color w:val="auto"/>
                <w:sz w:val="21"/>
                <w:szCs w:val="21"/>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50</w:t>
            </w:r>
          </w:p>
        </w:tc>
        <w:tc>
          <w:tcPr>
            <w:tcW w:w="1276" w:type="dxa"/>
            <w:vAlign w:val="center"/>
          </w:tcPr>
          <w:p>
            <w:pPr>
              <w:adjustRightInd w:val="0"/>
              <w:snapToGrid w:val="0"/>
              <w:jc w:val="center"/>
              <w:rPr>
                <w:color w:val="auto"/>
                <w:sz w:val="21"/>
                <w:szCs w:val="21"/>
              </w:rPr>
            </w:pPr>
            <w:r>
              <w:rPr>
                <w:color w:val="auto"/>
                <w:sz w:val="21"/>
                <w:szCs w:val="21"/>
              </w:rPr>
              <w:t>0.0517</w:t>
            </w:r>
          </w:p>
        </w:tc>
        <w:tc>
          <w:tcPr>
            <w:tcW w:w="709" w:type="dxa"/>
            <w:vAlign w:val="center"/>
          </w:tcPr>
          <w:p>
            <w:pPr>
              <w:adjustRightInd w:val="0"/>
              <w:snapToGrid w:val="0"/>
              <w:jc w:val="center"/>
              <w:rPr>
                <w:color w:val="auto"/>
                <w:sz w:val="21"/>
                <w:szCs w:val="21"/>
              </w:rPr>
            </w:pPr>
            <w:r>
              <w:rPr>
                <w:color w:val="auto"/>
                <w:sz w:val="21"/>
                <w:szCs w:val="21"/>
              </w:rPr>
              <w:t>0.52</w:t>
            </w:r>
          </w:p>
        </w:tc>
        <w:tc>
          <w:tcPr>
            <w:tcW w:w="1276" w:type="dxa"/>
            <w:vAlign w:val="center"/>
          </w:tcPr>
          <w:p>
            <w:pPr>
              <w:adjustRightInd w:val="0"/>
              <w:snapToGrid w:val="0"/>
              <w:jc w:val="center"/>
              <w:rPr>
                <w:color w:val="auto"/>
                <w:sz w:val="21"/>
                <w:szCs w:val="21"/>
              </w:rPr>
            </w:pPr>
            <w:r>
              <w:rPr>
                <w:color w:val="auto"/>
                <w:sz w:val="21"/>
                <w:szCs w:val="21"/>
              </w:rPr>
              <w:t>0.2585</w:t>
            </w:r>
          </w:p>
        </w:tc>
        <w:tc>
          <w:tcPr>
            <w:tcW w:w="708" w:type="dxa"/>
            <w:vAlign w:val="center"/>
          </w:tcPr>
          <w:p>
            <w:pPr>
              <w:adjustRightInd w:val="0"/>
              <w:snapToGrid w:val="0"/>
              <w:jc w:val="center"/>
              <w:rPr>
                <w:color w:val="auto"/>
                <w:sz w:val="21"/>
                <w:szCs w:val="21"/>
              </w:rPr>
            </w:pPr>
            <w:r>
              <w:rPr>
                <w:color w:val="auto"/>
                <w:sz w:val="21"/>
                <w:szCs w:val="21"/>
              </w:rPr>
              <w:t>0.13</w:t>
            </w:r>
          </w:p>
        </w:tc>
        <w:tc>
          <w:tcPr>
            <w:tcW w:w="1276" w:type="dxa"/>
            <w:vAlign w:val="center"/>
          </w:tcPr>
          <w:p>
            <w:pPr>
              <w:adjustRightInd w:val="0"/>
              <w:snapToGrid w:val="0"/>
              <w:jc w:val="center"/>
              <w:rPr>
                <w:color w:val="auto"/>
                <w:sz w:val="21"/>
                <w:szCs w:val="21"/>
              </w:rPr>
            </w:pPr>
            <w:r>
              <w:rPr>
                <w:color w:val="auto"/>
                <w:kern w:val="0"/>
                <w:sz w:val="21"/>
                <w:szCs w:val="21"/>
              </w:rPr>
              <w:t>0.3070</w:t>
            </w:r>
          </w:p>
        </w:tc>
        <w:tc>
          <w:tcPr>
            <w:tcW w:w="709" w:type="dxa"/>
            <w:vAlign w:val="center"/>
          </w:tcPr>
          <w:p>
            <w:pPr>
              <w:adjustRightInd w:val="0"/>
              <w:snapToGrid w:val="0"/>
              <w:jc w:val="center"/>
              <w:rPr>
                <w:color w:val="auto"/>
                <w:sz w:val="21"/>
                <w:szCs w:val="21"/>
              </w:rPr>
            </w:pPr>
            <w:r>
              <w:rPr>
                <w:color w:val="auto"/>
                <w:kern w:val="0"/>
                <w:sz w:val="21"/>
                <w:szCs w:val="21"/>
              </w:rPr>
              <w:t>3.07</w:t>
            </w:r>
          </w:p>
        </w:tc>
        <w:tc>
          <w:tcPr>
            <w:tcW w:w="1364" w:type="dxa"/>
            <w:vAlign w:val="center"/>
          </w:tcPr>
          <w:p>
            <w:pPr>
              <w:adjustRightInd w:val="0"/>
              <w:snapToGrid w:val="0"/>
              <w:jc w:val="center"/>
              <w:rPr>
                <w:color w:val="auto"/>
                <w:sz w:val="21"/>
                <w:szCs w:val="21"/>
              </w:rPr>
            </w:pPr>
            <w:r>
              <w:rPr>
                <w:color w:val="auto"/>
                <w:sz w:val="21"/>
                <w:szCs w:val="21"/>
              </w:rPr>
              <w:t>1.0234</w:t>
            </w:r>
          </w:p>
        </w:tc>
        <w:tc>
          <w:tcPr>
            <w:tcW w:w="984" w:type="dxa"/>
            <w:vAlign w:val="center"/>
          </w:tcPr>
          <w:p>
            <w:pPr>
              <w:adjustRightInd w:val="0"/>
              <w:snapToGrid w:val="0"/>
              <w:jc w:val="center"/>
              <w:rPr>
                <w:color w:val="auto"/>
                <w:sz w:val="21"/>
                <w:szCs w:val="21"/>
              </w:rPr>
            </w:pPr>
            <w:r>
              <w:rPr>
                <w:color w:val="auto"/>
                <w:sz w:val="21"/>
                <w:szCs w:val="21"/>
              </w:rPr>
              <w:t>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100</w:t>
            </w:r>
          </w:p>
        </w:tc>
        <w:tc>
          <w:tcPr>
            <w:tcW w:w="1276" w:type="dxa"/>
            <w:vAlign w:val="center"/>
          </w:tcPr>
          <w:p>
            <w:pPr>
              <w:adjustRightInd w:val="0"/>
              <w:snapToGrid w:val="0"/>
              <w:jc w:val="center"/>
              <w:rPr>
                <w:color w:val="auto"/>
                <w:sz w:val="21"/>
                <w:szCs w:val="21"/>
              </w:rPr>
            </w:pPr>
            <w:r>
              <w:rPr>
                <w:color w:val="auto"/>
                <w:sz w:val="21"/>
                <w:szCs w:val="21"/>
              </w:rPr>
              <w:t>0.0609</w:t>
            </w:r>
          </w:p>
        </w:tc>
        <w:tc>
          <w:tcPr>
            <w:tcW w:w="709" w:type="dxa"/>
            <w:vAlign w:val="center"/>
          </w:tcPr>
          <w:p>
            <w:pPr>
              <w:adjustRightInd w:val="0"/>
              <w:snapToGrid w:val="0"/>
              <w:jc w:val="center"/>
              <w:rPr>
                <w:color w:val="auto"/>
                <w:sz w:val="21"/>
                <w:szCs w:val="21"/>
              </w:rPr>
            </w:pPr>
            <w:r>
              <w:rPr>
                <w:color w:val="auto"/>
                <w:sz w:val="21"/>
                <w:szCs w:val="21"/>
              </w:rPr>
              <w:t>0.61</w:t>
            </w:r>
          </w:p>
        </w:tc>
        <w:tc>
          <w:tcPr>
            <w:tcW w:w="1276" w:type="dxa"/>
            <w:vAlign w:val="center"/>
          </w:tcPr>
          <w:p>
            <w:pPr>
              <w:adjustRightInd w:val="0"/>
              <w:snapToGrid w:val="0"/>
              <w:jc w:val="center"/>
              <w:rPr>
                <w:color w:val="auto"/>
                <w:sz w:val="21"/>
                <w:szCs w:val="21"/>
              </w:rPr>
            </w:pPr>
            <w:r>
              <w:rPr>
                <w:color w:val="auto"/>
                <w:sz w:val="21"/>
                <w:szCs w:val="21"/>
              </w:rPr>
              <w:t>0.3043</w:t>
            </w:r>
          </w:p>
        </w:tc>
        <w:tc>
          <w:tcPr>
            <w:tcW w:w="708" w:type="dxa"/>
            <w:vAlign w:val="center"/>
          </w:tcPr>
          <w:p>
            <w:pPr>
              <w:adjustRightInd w:val="0"/>
              <w:snapToGrid w:val="0"/>
              <w:jc w:val="center"/>
              <w:rPr>
                <w:color w:val="auto"/>
                <w:sz w:val="21"/>
                <w:szCs w:val="21"/>
              </w:rPr>
            </w:pPr>
            <w:r>
              <w:rPr>
                <w:color w:val="auto"/>
                <w:sz w:val="21"/>
                <w:szCs w:val="21"/>
              </w:rPr>
              <w:t>0.15</w:t>
            </w:r>
          </w:p>
        </w:tc>
        <w:tc>
          <w:tcPr>
            <w:tcW w:w="1276" w:type="dxa"/>
            <w:vAlign w:val="center"/>
          </w:tcPr>
          <w:p>
            <w:pPr>
              <w:adjustRightInd w:val="0"/>
              <w:snapToGrid w:val="0"/>
              <w:jc w:val="center"/>
              <w:rPr>
                <w:color w:val="auto"/>
                <w:sz w:val="21"/>
                <w:szCs w:val="21"/>
              </w:rPr>
            </w:pPr>
            <w:r>
              <w:rPr>
                <w:color w:val="auto"/>
                <w:kern w:val="0"/>
                <w:sz w:val="21"/>
                <w:szCs w:val="21"/>
              </w:rPr>
              <w:t>0.5488</w:t>
            </w:r>
          </w:p>
        </w:tc>
        <w:tc>
          <w:tcPr>
            <w:tcW w:w="709" w:type="dxa"/>
            <w:vAlign w:val="center"/>
          </w:tcPr>
          <w:p>
            <w:pPr>
              <w:adjustRightInd w:val="0"/>
              <w:snapToGrid w:val="0"/>
              <w:jc w:val="center"/>
              <w:rPr>
                <w:color w:val="auto"/>
                <w:sz w:val="21"/>
                <w:szCs w:val="21"/>
              </w:rPr>
            </w:pPr>
            <w:r>
              <w:rPr>
                <w:color w:val="auto"/>
                <w:kern w:val="0"/>
                <w:sz w:val="21"/>
                <w:szCs w:val="21"/>
              </w:rPr>
              <w:t>5.49</w:t>
            </w:r>
          </w:p>
        </w:tc>
        <w:tc>
          <w:tcPr>
            <w:tcW w:w="1364" w:type="dxa"/>
            <w:vAlign w:val="center"/>
          </w:tcPr>
          <w:p>
            <w:pPr>
              <w:adjustRightInd w:val="0"/>
              <w:snapToGrid w:val="0"/>
              <w:jc w:val="center"/>
              <w:rPr>
                <w:color w:val="auto"/>
                <w:sz w:val="21"/>
                <w:szCs w:val="21"/>
              </w:rPr>
            </w:pPr>
            <w:r>
              <w:rPr>
                <w:color w:val="auto"/>
                <w:sz w:val="21"/>
                <w:szCs w:val="21"/>
              </w:rPr>
              <w:t>1.8294</w:t>
            </w:r>
          </w:p>
        </w:tc>
        <w:tc>
          <w:tcPr>
            <w:tcW w:w="984" w:type="dxa"/>
            <w:vAlign w:val="center"/>
          </w:tcPr>
          <w:p>
            <w:pPr>
              <w:adjustRightInd w:val="0"/>
              <w:snapToGrid w:val="0"/>
              <w:jc w:val="center"/>
              <w:rPr>
                <w:color w:val="auto"/>
                <w:sz w:val="21"/>
                <w:szCs w:val="21"/>
              </w:rPr>
            </w:pPr>
            <w:r>
              <w:rPr>
                <w:color w:val="auto"/>
                <w:sz w:val="21"/>
                <w:szCs w:val="21"/>
              </w:rPr>
              <w:t>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rFonts w:ascii="宋体" w:hAnsi="宋体" w:cs="宋体"/>
                <w:color w:val="auto"/>
                <w:sz w:val="21"/>
                <w:szCs w:val="21"/>
              </w:rPr>
            </w:pPr>
            <w:r>
              <w:rPr>
                <w:color w:val="auto"/>
                <w:sz w:val="21"/>
                <w:szCs w:val="21"/>
              </w:rPr>
              <w:t>115</w:t>
            </w:r>
          </w:p>
        </w:tc>
        <w:tc>
          <w:tcPr>
            <w:tcW w:w="1276" w:type="dxa"/>
            <w:vAlign w:val="center"/>
          </w:tcPr>
          <w:p>
            <w:pPr>
              <w:jc w:val="center"/>
              <w:rPr>
                <w:color w:val="auto"/>
                <w:sz w:val="21"/>
                <w:szCs w:val="22"/>
              </w:rPr>
            </w:pPr>
            <w:r>
              <w:rPr>
                <w:color w:val="auto"/>
                <w:sz w:val="21"/>
                <w:szCs w:val="22"/>
              </w:rPr>
              <w:t>0.0554</w:t>
            </w:r>
          </w:p>
        </w:tc>
        <w:tc>
          <w:tcPr>
            <w:tcW w:w="709" w:type="dxa"/>
            <w:vAlign w:val="center"/>
          </w:tcPr>
          <w:p>
            <w:pPr>
              <w:jc w:val="center"/>
              <w:rPr>
                <w:color w:val="auto"/>
                <w:sz w:val="21"/>
                <w:szCs w:val="22"/>
              </w:rPr>
            </w:pPr>
            <w:r>
              <w:rPr>
                <w:color w:val="auto"/>
                <w:sz w:val="21"/>
                <w:szCs w:val="22"/>
              </w:rPr>
              <w:t>0.55</w:t>
            </w:r>
          </w:p>
        </w:tc>
        <w:tc>
          <w:tcPr>
            <w:tcW w:w="1276" w:type="dxa"/>
            <w:vAlign w:val="center"/>
          </w:tcPr>
          <w:p>
            <w:pPr>
              <w:jc w:val="center"/>
              <w:rPr>
                <w:color w:val="auto"/>
                <w:sz w:val="21"/>
                <w:szCs w:val="22"/>
              </w:rPr>
            </w:pPr>
            <w:r>
              <w:rPr>
                <w:color w:val="auto"/>
                <w:sz w:val="21"/>
                <w:szCs w:val="22"/>
              </w:rPr>
              <w:t>0.2771</w:t>
            </w:r>
          </w:p>
        </w:tc>
        <w:tc>
          <w:tcPr>
            <w:tcW w:w="708" w:type="dxa"/>
            <w:vAlign w:val="center"/>
          </w:tcPr>
          <w:p>
            <w:pPr>
              <w:jc w:val="center"/>
              <w:rPr>
                <w:color w:val="auto"/>
                <w:sz w:val="21"/>
                <w:szCs w:val="22"/>
              </w:rPr>
            </w:pPr>
            <w:r>
              <w:rPr>
                <w:color w:val="auto"/>
                <w:sz w:val="21"/>
                <w:szCs w:val="22"/>
              </w:rPr>
              <w:t>0.14</w:t>
            </w:r>
          </w:p>
        </w:tc>
        <w:tc>
          <w:tcPr>
            <w:tcW w:w="1276" w:type="dxa"/>
            <w:vAlign w:val="center"/>
          </w:tcPr>
          <w:p>
            <w:pPr>
              <w:jc w:val="center"/>
              <w:rPr>
                <w:color w:val="auto"/>
                <w:sz w:val="21"/>
                <w:szCs w:val="22"/>
              </w:rPr>
            </w:pPr>
            <w:r>
              <w:rPr>
                <w:color w:val="auto"/>
                <w:kern w:val="0"/>
                <w:sz w:val="21"/>
                <w:szCs w:val="21"/>
              </w:rPr>
              <w:t>0.5331</w:t>
            </w:r>
          </w:p>
        </w:tc>
        <w:tc>
          <w:tcPr>
            <w:tcW w:w="709" w:type="dxa"/>
            <w:vAlign w:val="center"/>
          </w:tcPr>
          <w:p>
            <w:pPr>
              <w:jc w:val="center"/>
              <w:rPr>
                <w:color w:val="auto"/>
                <w:sz w:val="21"/>
                <w:szCs w:val="22"/>
              </w:rPr>
            </w:pPr>
            <w:r>
              <w:rPr>
                <w:color w:val="auto"/>
                <w:kern w:val="0"/>
                <w:sz w:val="21"/>
                <w:szCs w:val="21"/>
              </w:rPr>
              <w:t>5.33</w:t>
            </w:r>
          </w:p>
        </w:tc>
        <w:tc>
          <w:tcPr>
            <w:tcW w:w="1364" w:type="dxa"/>
            <w:vAlign w:val="center"/>
          </w:tcPr>
          <w:p>
            <w:pPr>
              <w:jc w:val="center"/>
              <w:rPr>
                <w:color w:val="auto"/>
                <w:sz w:val="21"/>
                <w:szCs w:val="22"/>
              </w:rPr>
            </w:pPr>
            <w:r>
              <w:rPr>
                <w:color w:val="auto"/>
                <w:sz w:val="21"/>
                <w:szCs w:val="21"/>
              </w:rPr>
              <w:t>1.7770</w:t>
            </w:r>
          </w:p>
        </w:tc>
        <w:tc>
          <w:tcPr>
            <w:tcW w:w="984" w:type="dxa"/>
            <w:vAlign w:val="center"/>
          </w:tcPr>
          <w:p>
            <w:pPr>
              <w:jc w:val="center"/>
              <w:rPr>
                <w:color w:val="auto"/>
                <w:sz w:val="21"/>
                <w:szCs w:val="22"/>
              </w:rPr>
            </w:pPr>
            <w:r>
              <w:rPr>
                <w:color w:val="auto"/>
                <w:sz w:val="21"/>
                <w:szCs w:val="21"/>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135</w:t>
            </w:r>
          </w:p>
        </w:tc>
        <w:tc>
          <w:tcPr>
            <w:tcW w:w="1276" w:type="dxa"/>
            <w:vAlign w:val="center"/>
          </w:tcPr>
          <w:p>
            <w:pPr>
              <w:jc w:val="center"/>
              <w:rPr>
                <w:color w:val="auto"/>
                <w:sz w:val="21"/>
                <w:szCs w:val="22"/>
              </w:rPr>
            </w:pPr>
            <w:r>
              <w:rPr>
                <w:color w:val="auto"/>
                <w:sz w:val="21"/>
                <w:szCs w:val="22"/>
              </w:rPr>
              <w:t>0.0490</w:t>
            </w:r>
          </w:p>
        </w:tc>
        <w:tc>
          <w:tcPr>
            <w:tcW w:w="709" w:type="dxa"/>
            <w:vAlign w:val="center"/>
          </w:tcPr>
          <w:p>
            <w:pPr>
              <w:jc w:val="center"/>
              <w:rPr>
                <w:color w:val="auto"/>
                <w:sz w:val="21"/>
                <w:szCs w:val="22"/>
              </w:rPr>
            </w:pPr>
            <w:r>
              <w:rPr>
                <w:color w:val="auto"/>
                <w:sz w:val="21"/>
                <w:szCs w:val="22"/>
              </w:rPr>
              <w:t>0.49</w:t>
            </w:r>
          </w:p>
        </w:tc>
        <w:tc>
          <w:tcPr>
            <w:tcW w:w="1276" w:type="dxa"/>
            <w:vAlign w:val="center"/>
          </w:tcPr>
          <w:p>
            <w:pPr>
              <w:jc w:val="center"/>
              <w:rPr>
                <w:color w:val="auto"/>
                <w:sz w:val="21"/>
                <w:szCs w:val="22"/>
              </w:rPr>
            </w:pPr>
            <w:r>
              <w:rPr>
                <w:color w:val="auto"/>
                <w:sz w:val="21"/>
                <w:szCs w:val="22"/>
              </w:rPr>
              <w:t>0.2452</w:t>
            </w:r>
          </w:p>
        </w:tc>
        <w:tc>
          <w:tcPr>
            <w:tcW w:w="708" w:type="dxa"/>
            <w:vAlign w:val="center"/>
          </w:tcPr>
          <w:p>
            <w:pPr>
              <w:jc w:val="center"/>
              <w:rPr>
                <w:color w:val="auto"/>
                <w:sz w:val="21"/>
                <w:szCs w:val="22"/>
              </w:rPr>
            </w:pPr>
            <w:r>
              <w:rPr>
                <w:color w:val="auto"/>
                <w:sz w:val="21"/>
                <w:szCs w:val="22"/>
              </w:rPr>
              <w:t>0.12</w:t>
            </w:r>
          </w:p>
        </w:tc>
        <w:tc>
          <w:tcPr>
            <w:tcW w:w="1276" w:type="dxa"/>
            <w:vAlign w:val="center"/>
          </w:tcPr>
          <w:p>
            <w:pPr>
              <w:jc w:val="center"/>
              <w:rPr>
                <w:color w:val="auto"/>
                <w:sz w:val="21"/>
                <w:szCs w:val="22"/>
              </w:rPr>
            </w:pPr>
            <w:r>
              <w:rPr>
                <w:color w:val="auto"/>
                <w:kern w:val="0"/>
                <w:sz w:val="21"/>
                <w:szCs w:val="21"/>
              </w:rPr>
              <w:t>0.4999</w:t>
            </w:r>
          </w:p>
        </w:tc>
        <w:tc>
          <w:tcPr>
            <w:tcW w:w="709" w:type="dxa"/>
            <w:vAlign w:val="center"/>
          </w:tcPr>
          <w:p>
            <w:pPr>
              <w:jc w:val="center"/>
              <w:rPr>
                <w:color w:val="auto"/>
                <w:sz w:val="21"/>
                <w:szCs w:val="22"/>
              </w:rPr>
            </w:pPr>
            <w:r>
              <w:rPr>
                <w:color w:val="auto"/>
                <w:kern w:val="0"/>
                <w:sz w:val="21"/>
                <w:szCs w:val="21"/>
              </w:rPr>
              <w:t>5.00</w:t>
            </w:r>
          </w:p>
        </w:tc>
        <w:tc>
          <w:tcPr>
            <w:tcW w:w="1364" w:type="dxa"/>
            <w:vAlign w:val="center"/>
          </w:tcPr>
          <w:p>
            <w:pPr>
              <w:jc w:val="center"/>
              <w:rPr>
                <w:color w:val="auto"/>
                <w:sz w:val="21"/>
                <w:szCs w:val="22"/>
              </w:rPr>
            </w:pPr>
            <w:r>
              <w:rPr>
                <w:color w:val="auto"/>
                <w:sz w:val="21"/>
                <w:szCs w:val="21"/>
              </w:rPr>
              <w:t>1.6662</w:t>
            </w:r>
          </w:p>
        </w:tc>
        <w:tc>
          <w:tcPr>
            <w:tcW w:w="984" w:type="dxa"/>
            <w:vAlign w:val="center"/>
          </w:tcPr>
          <w:p>
            <w:pPr>
              <w:jc w:val="center"/>
              <w:rPr>
                <w:color w:val="auto"/>
                <w:sz w:val="21"/>
                <w:szCs w:val="22"/>
              </w:rPr>
            </w:pPr>
            <w:r>
              <w:rPr>
                <w:color w:val="auto"/>
                <w:sz w:val="21"/>
                <w:szCs w:val="21"/>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153</w:t>
            </w:r>
          </w:p>
        </w:tc>
        <w:tc>
          <w:tcPr>
            <w:tcW w:w="1276" w:type="dxa"/>
            <w:vAlign w:val="center"/>
          </w:tcPr>
          <w:p>
            <w:pPr>
              <w:jc w:val="center"/>
              <w:rPr>
                <w:color w:val="auto"/>
                <w:sz w:val="21"/>
                <w:szCs w:val="22"/>
              </w:rPr>
            </w:pPr>
            <w:r>
              <w:rPr>
                <w:color w:val="auto"/>
                <w:sz w:val="21"/>
                <w:szCs w:val="22"/>
              </w:rPr>
              <w:t>0.0443</w:t>
            </w:r>
          </w:p>
        </w:tc>
        <w:tc>
          <w:tcPr>
            <w:tcW w:w="709" w:type="dxa"/>
            <w:vAlign w:val="center"/>
          </w:tcPr>
          <w:p>
            <w:pPr>
              <w:jc w:val="center"/>
              <w:rPr>
                <w:color w:val="auto"/>
                <w:sz w:val="21"/>
                <w:szCs w:val="22"/>
              </w:rPr>
            </w:pPr>
            <w:r>
              <w:rPr>
                <w:color w:val="auto"/>
                <w:sz w:val="21"/>
                <w:szCs w:val="22"/>
              </w:rPr>
              <w:t>0.44</w:t>
            </w:r>
          </w:p>
        </w:tc>
        <w:tc>
          <w:tcPr>
            <w:tcW w:w="1276" w:type="dxa"/>
            <w:vAlign w:val="center"/>
          </w:tcPr>
          <w:p>
            <w:pPr>
              <w:jc w:val="center"/>
              <w:rPr>
                <w:color w:val="auto"/>
                <w:sz w:val="21"/>
                <w:szCs w:val="22"/>
              </w:rPr>
            </w:pPr>
            <w:r>
              <w:rPr>
                <w:color w:val="auto"/>
                <w:sz w:val="21"/>
                <w:szCs w:val="22"/>
              </w:rPr>
              <w:t>0.2216</w:t>
            </w:r>
          </w:p>
        </w:tc>
        <w:tc>
          <w:tcPr>
            <w:tcW w:w="708" w:type="dxa"/>
            <w:vAlign w:val="center"/>
          </w:tcPr>
          <w:p>
            <w:pPr>
              <w:jc w:val="center"/>
              <w:rPr>
                <w:color w:val="auto"/>
                <w:sz w:val="21"/>
                <w:szCs w:val="22"/>
              </w:rPr>
            </w:pPr>
            <w:r>
              <w:rPr>
                <w:color w:val="auto"/>
                <w:sz w:val="21"/>
                <w:szCs w:val="22"/>
              </w:rPr>
              <w:t>0.11</w:t>
            </w:r>
          </w:p>
        </w:tc>
        <w:tc>
          <w:tcPr>
            <w:tcW w:w="1276" w:type="dxa"/>
            <w:vAlign w:val="center"/>
          </w:tcPr>
          <w:p>
            <w:pPr>
              <w:jc w:val="center"/>
              <w:rPr>
                <w:color w:val="auto"/>
                <w:sz w:val="21"/>
                <w:szCs w:val="22"/>
              </w:rPr>
            </w:pPr>
            <w:r>
              <w:rPr>
                <w:color w:val="auto"/>
                <w:kern w:val="0"/>
                <w:sz w:val="21"/>
                <w:szCs w:val="21"/>
              </w:rPr>
              <w:t>0.4655</w:t>
            </w:r>
          </w:p>
        </w:tc>
        <w:tc>
          <w:tcPr>
            <w:tcW w:w="709" w:type="dxa"/>
            <w:vAlign w:val="center"/>
          </w:tcPr>
          <w:p>
            <w:pPr>
              <w:jc w:val="center"/>
              <w:rPr>
                <w:color w:val="auto"/>
                <w:sz w:val="21"/>
                <w:szCs w:val="22"/>
              </w:rPr>
            </w:pPr>
            <w:r>
              <w:rPr>
                <w:color w:val="auto"/>
                <w:kern w:val="0"/>
                <w:sz w:val="21"/>
                <w:szCs w:val="21"/>
              </w:rPr>
              <w:t>4.66</w:t>
            </w:r>
          </w:p>
        </w:tc>
        <w:tc>
          <w:tcPr>
            <w:tcW w:w="1364" w:type="dxa"/>
            <w:vAlign w:val="center"/>
          </w:tcPr>
          <w:p>
            <w:pPr>
              <w:jc w:val="center"/>
              <w:rPr>
                <w:color w:val="auto"/>
                <w:sz w:val="21"/>
                <w:szCs w:val="22"/>
              </w:rPr>
            </w:pPr>
            <w:r>
              <w:rPr>
                <w:color w:val="auto"/>
                <w:sz w:val="21"/>
                <w:szCs w:val="21"/>
              </w:rPr>
              <w:t>1.5517</w:t>
            </w:r>
          </w:p>
        </w:tc>
        <w:tc>
          <w:tcPr>
            <w:tcW w:w="984" w:type="dxa"/>
            <w:vAlign w:val="center"/>
          </w:tcPr>
          <w:p>
            <w:pPr>
              <w:jc w:val="center"/>
              <w:rPr>
                <w:color w:val="auto"/>
                <w:sz w:val="21"/>
                <w:szCs w:val="22"/>
              </w:rPr>
            </w:pPr>
            <w:r>
              <w:rPr>
                <w:color w:val="auto"/>
                <w:sz w:val="21"/>
                <w:szCs w:val="21"/>
              </w:rPr>
              <w:t>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265</w:t>
            </w:r>
          </w:p>
        </w:tc>
        <w:tc>
          <w:tcPr>
            <w:tcW w:w="1276" w:type="dxa"/>
            <w:vAlign w:val="center"/>
          </w:tcPr>
          <w:p>
            <w:pPr>
              <w:jc w:val="center"/>
              <w:rPr>
                <w:color w:val="auto"/>
                <w:sz w:val="21"/>
                <w:szCs w:val="22"/>
              </w:rPr>
            </w:pPr>
            <w:r>
              <w:rPr>
                <w:color w:val="auto"/>
                <w:sz w:val="21"/>
                <w:szCs w:val="22"/>
              </w:rPr>
              <w:t>0.0411</w:t>
            </w:r>
          </w:p>
        </w:tc>
        <w:tc>
          <w:tcPr>
            <w:tcW w:w="709" w:type="dxa"/>
            <w:vAlign w:val="center"/>
          </w:tcPr>
          <w:p>
            <w:pPr>
              <w:jc w:val="center"/>
              <w:rPr>
                <w:color w:val="auto"/>
                <w:sz w:val="21"/>
                <w:szCs w:val="22"/>
              </w:rPr>
            </w:pPr>
            <w:r>
              <w:rPr>
                <w:color w:val="auto"/>
                <w:sz w:val="21"/>
                <w:szCs w:val="22"/>
              </w:rPr>
              <w:t>0.41</w:t>
            </w:r>
          </w:p>
        </w:tc>
        <w:tc>
          <w:tcPr>
            <w:tcW w:w="1276" w:type="dxa"/>
            <w:vAlign w:val="center"/>
          </w:tcPr>
          <w:p>
            <w:pPr>
              <w:jc w:val="center"/>
              <w:rPr>
                <w:color w:val="auto"/>
                <w:sz w:val="21"/>
                <w:szCs w:val="22"/>
              </w:rPr>
            </w:pPr>
            <w:r>
              <w:rPr>
                <w:color w:val="auto"/>
                <w:sz w:val="21"/>
                <w:szCs w:val="22"/>
              </w:rPr>
              <w:t>0.2053</w:t>
            </w:r>
          </w:p>
        </w:tc>
        <w:tc>
          <w:tcPr>
            <w:tcW w:w="708" w:type="dxa"/>
            <w:vAlign w:val="center"/>
          </w:tcPr>
          <w:p>
            <w:pPr>
              <w:jc w:val="center"/>
              <w:rPr>
                <w:color w:val="auto"/>
                <w:sz w:val="21"/>
                <w:szCs w:val="22"/>
              </w:rPr>
            </w:pPr>
            <w:r>
              <w:rPr>
                <w:color w:val="auto"/>
                <w:sz w:val="21"/>
                <w:szCs w:val="22"/>
              </w:rPr>
              <w:t>0.10</w:t>
            </w:r>
          </w:p>
        </w:tc>
        <w:tc>
          <w:tcPr>
            <w:tcW w:w="1276" w:type="dxa"/>
            <w:vAlign w:val="center"/>
          </w:tcPr>
          <w:p>
            <w:pPr>
              <w:jc w:val="center"/>
              <w:rPr>
                <w:color w:val="auto"/>
                <w:sz w:val="21"/>
                <w:szCs w:val="22"/>
              </w:rPr>
            </w:pPr>
            <w:r>
              <w:rPr>
                <w:color w:val="auto"/>
                <w:kern w:val="0"/>
                <w:sz w:val="21"/>
                <w:szCs w:val="21"/>
              </w:rPr>
              <w:t>0.4516</w:t>
            </w:r>
          </w:p>
        </w:tc>
        <w:tc>
          <w:tcPr>
            <w:tcW w:w="709" w:type="dxa"/>
            <w:vAlign w:val="center"/>
          </w:tcPr>
          <w:p>
            <w:pPr>
              <w:jc w:val="center"/>
              <w:rPr>
                <w:color w:val="auto"/>
                <w:sz w:val="21"/>
                <w:szCs w:val="22"/>
              </w:rPr>
            </w:pPr>
            <w:r>
              <w:rPr>
                <w:color w:val="auto"/>
                <w:kern w:val="0"/>
                <w:sz w:val="21"/>
                <w:szCs w:val="21"/>
              </w:rPr>
              <w:t>4.52</w:t>
            </w:r>
          </w:p>
        </w:tc>
        <w:tc>
          <w:tcPr>
            <w:tcW w:w="1364" w:type="dxa"/>
            <w:vAlign w:val="center"/>
          </w:tcPr>
          <w:p>
            <w:pPr>
              <w:jc w:val="center"/>
              <w:rPr>
                <w:color w:val="auto"/>
                <w:sz w:val="21"/>
                <w:szCs w:val="22"/>
              </w:rPr>
            </w:pPr>
            <w:r>
              <w:rPr>
                <w:color w:val="auto"/>
                <w:sz w:val="21"/>
                <w:szCs w:val="21"/>
              </w:rPr>
              <w:t>1.5055</w:t>
            </w:r>
          </w:p>
        </w:tc>
        <w:tc>
          <w:tcPr>
            <w:tcW w:w="984" w:type="dxa"/>
            <w:vAlign w:val="center"/>
          </w:tcPr>
          <w:p>
            <w:pPr>
              <w:jc w:val="center"/>
              <w:rPr>
                <w:color w:val="auto"/>
                <w:sz w:val="21"/>
                <w:szCs w:val="22"/>
              </w:rPr>
            </w:pPr>
            <w:r>
              <w:rPr>
                <w:color w:val="auto"/>
                <w:sz w:val="21"/>
                <w:szCs w:val="21"/>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425</w:t>
            </w:r>
          </w:p>
        </w:tc>
        <w:tc>
          <w:tcPr>
            <w:tcW w:w="1276" w:type="dxa"/>
            <w:vAlign w:val="center"/>
          </w:tcPr>
          <w:p>
            <w:pPr>
              <w:jc w:val="center"/>
              <w:rPr>
                <w:color w:val="auto"/>
                <w:sz w:val="21"/>
                <w:szCs w:val="22"/>
              </w:rPr>
            </w:pPr>
            <w:r>
              <w:rPr>
                <w:color w:val="auto"/>
                <w:sz w:val="21"/>
                <w:szCs w:val="22"/>
              </w:rPr>
              <w:t>0.0339</w:t>
            </w:r>
          </w:p>
        </w:tc>
        <w:tc>
          <w:tcPr>
            <w:tcW w:w="709" w:type="dxa"/>
            <w:vAlign w:val="center"/>
          </w:tcPr>
          <w:p>
            <w:pPr>
              <w:jc w:val="center"/>
              <w:rPr>
                <w:color w:val="auto"/>
                <w:sz w:val="21"/>
                <w:szCs w:val="22"/>
              </w:rPr>
            </w:pPr>
            <w:r>
              <w:rPr>
                <w:color w:val="auto"/>
                <w:sz w:val="21"/>
                <w:szCs w:val="22"/>
              </w:rPr>
              <w:t>0.34</w:t>
            </w:r>
          </w:p>
        </w:tc>
        <w:tc>
          <w:tcPr>
            <w:tcW w:w="1276" w:type="dxa"/>
            <w:vAlign w:val="center"/>
          </w:tcPr>
          <w:p>
            <w:pPr>
              <w:jc w:val="center"/>
              <w:rPr>
                <w:color w:val="auto"/>
                <w:sz w:val="21"/>
                <w:szCs w:val="22"/>
              </w:rPr>
            </w:pPr>
            <w:r>
              <w:rPr>
                <w:color w:val="auto"/>
                <w:sz w:val="21"/>
                <w:szCs w:val="22"/>
              </w:rPr>
              <w:t>0.1693</w:t>
            </w:r>
          </w:p>
        </w:tc>
        <w:tc>
          <w:tcPr>
            <w:tcW w:w="708" w:type="dxa"/>
            <w:vAlign w:val="center"/>
          </w:tcPr>
          <w:p>
            <w:pPr>
              <w:jc w:val="center"/>
              <w:rPr>
                <w:color w:val="auto"/>
                <w:sz w:val="21"/>
                <w:szCs w:val="22"/>
              </w:rPr>
            </w:pPr>
            <w:r>
              <w:rPr>
                <w:color w:val="auto"/>
                <w:sz w:val="21"/>
                <w:szCs w:val="22"/>
              </w:rPr>
              <w:t>0.08</w:t>
            </w:r>
          </w:p>
        </w:tc>
        <w:tc>
          <w:tcPr>
            <w:tcW w:w="1276" w:type="dxa"/>
            <w:vAlign w:val="center"/>
          </w:tcPr>
          <w:p>
            <w:pPr>
              <w:jc w:val="center"/>
              <w:rPr>
                <w:color w:val="auto"/>
                <w:sz w:val="21"/>
                <w:szCs w:val="22"/>
              </w:rPr>
            </w:pPr>
            <w:r>
              <w:rPr>
                <w:color w:val="auto"/>
                <w:kern w:val="0"/>
                <w:sz w:val="21"/>
                <w:szCs w:val="21"/>
              </w:rPr>
              <w:t>0.3724</w:t>
            </w:r>
          </w:p>
        </w:tc>
        <w:tc>
          <w:tcPr>
            <w:tcW w:w="709" w:type="dxa"/>
            <w:vAlign w:val="center"/>
          </w:tcPr>
          <w:p>
            <w:pPr>
              <w:jc w:val="center"/>
              <w:rPr>
                <w:color w:val="auto"/>
                <w:sz w:val="21"/>
                <w:szCs w:val="22"/>
              </w:rPr>
            </w:pPr>
            <w:r>
              <w:rPr>
                <w:color w:val="auto"/>
                <w:kern w:val="0"/>
                <w:sz w:val="21"/>
                <w:szCs w:val="21"/>
              </w:rPr>
              <w:t>3.72</w:t>
            </w:r>
          </w:p>
        </w:tc>
        <w:tc>
          <w:tcPr>
            <w:tcW w:w="1364" w:type="dxa"/>
            <w:vAlign w:val="center"/>
          </w:tcPr>
          <w:p>
            <w:pPr>
              <w:jc w:val="center"/>
              <w:rPr>
                <w:color w:val="auto"/>
                <w:sz w:val="21"/>
                <w:szCs w:val="22"/>
              </w:rPr>
            </w:pPr>
            <w:r>
              <w:rPr>
                <w:color w:val="auto"/>
                <w:sz w:val="21"/>
                <w:szCs w:val="21"/>
              </w:rPr>
              <w:t>1.2413</w:t>
            </w:r>
          </w:p>
        </w:tc>
        <w:tc>
          <w:tcPr>
            <w:tcW w:w="984" w:type="dxa"/>
            <w:vAlign w:val="center"/>
          </w:tcPr>
          <w:p>
            <w:pPr>
              <w:jc w:val="center"/>
              <w:rPr>
                <w:color w:val="auto"/>
                <w:sz w:val="21"/>
                <w:szCs w:val="22"/>
              </w:rPr>
            </w:pPr>
            <w:r>
              <w:rPr>
                <w:color w:val="auto"/>
                <w:sz w:val="21"/>
                <w:szCs w:val="21"/>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440</w:t>
            </w:r>
          </w:p>
        </w:tc>
        <w:tc>
          <w:tcPr>
            <w:tcW w:w="1276" w:type="dxa"/>
            <w:vAlign w:val="center"/>
          </w:tcPr>
          <w:p>
            <w:pPr>
              <w:jc w:val="center"/>
              <w:rPr>
                <w:color w:val="auto"/>
                <w:sz w:val="21"/>
                <w:szCs w:val="22"/>
              </w:rPr>
            </w:pPr>
            <w:r>
              <w:rPr>
                <w:color w:val="auto"/>
                <w:sz w:val="21"/>
                <w:szCs w:val="22"/>
              </w:rPr>
              <w:t>0.0330</w:t>
            </w:r>
          </w:p>
        </w:tc>
        <w:tc>
          <w:tcPr>
            <w:tcW w:w="709" w:type="dxa"/>
            <w:vAlign w:val="center"/>
          </w:tcPr>
          <w:p>
            <w:pPr>
              <w:jc w:val="center"/>
              <w:rPr>
                <w:color w:val="auto"/>
                <w:sz w:val="21"/>
                <w:szCs w:val="22"/>
              </w:rPr>
            </w:pPr>
            <w:r>
              <w:rPr>
                <w:color w:val="auto"/>
                <w:sz w:val="21"/>
                <w:szCs w:val="22"/>
              </w:rPr>
              <w:t>0.33</w:t>
            </w:r>
          </w:p>
        </w:tc>
        <w:tc>
          <w:tcPr>
            <w:tcW w:w="1276" w:type="dxa"/>
            <w:vAlign w:val="center"/>
          </w:tcPr>
          <w:p>
            <w:pPr>
              <w:jc w:val="center"/>
              <w:rPr>
                <w:color w:val="auto"/>
                <w:sz w:val="21"/>
                <w:szCs w:val="22"/>
              </w:rPr>
            </w:pPr>
            <w:r>
              <w:rPr>
                <w:color w:val="auto"/>
                <w:sz w:val="21"/>
                <w:szCs w:val="22"/>
              </w:rPr>
              <w:t>0.1649</w:t>
            </w:r>
          </w:p>
        </w:tc>
        <w:tc>
          <w:tcPr>
            <w:tcW w:w="708" w:type="dxa"/>
            <w:vAlign w:val="center"/>
          </w:tcPr>
          <w:p>
            <w:pPr>
              <w:jc w:val="center"/>
              <w:rPr>
                <w:color w:val="auto"/>
                <w:sz w:val="21"/>
                <w:szCs w:val="22"/>
              </w:rPr>
            </w:pPr>
            <w:r>
              <w:rPr>
                <w:color w:val="auto"/>
                <w:sz w:val="21"/>
                <w:szCs w:val="22"/>
              </w:rPr>
              <w:t>0.08</w:t>
            </w:r>
          </w:p>
        </w:tc>
        <w:tc>
          <w:tcPr>
            <w:tcW w:w="1276" w:type="dxa"/>
            <w:vAlign w:val="center"/>
          </w:tcPr>
          <w:p>
            <w:pPr>
              <w:jc w:val="center"/>
              <w:rPr>
                <w:color w:val="auto"/>
                <w:sz w:val="21"/>
                <w:szCs w:val="22"/>
              </w:rPr>
            </w:pPr>
            <w:r>
              <w:rPr>
                <w:color w:val="auto"/>
                <w:kern w:val="0"/>
                <w:sz w:val="21"/>
                <w:szCs w:val="21"/>
              </w:rPr>
              <w:t>0.3628</w:t>
            </w:r>
          </w:p>
        </w:tc>
        <w:tc>
          <w:tcPr>
            <w:tcW w:w="709" w:type="dxa"/>
            <w:vAlign w:val="center"/>
          </w:tcPr>
          <w:p>
            <w:pPr>
              <w:jc w:val="center"/>
              <w:rPr>
                <w:color w:val="auto"/>
                <w:sz w:val="21"/>
                <w:szCs w:val="22"/>
              </w:rPr>
            </w:pPr>
            <w:r>
              <w:rPr>
                <w:color w:val="auto"/>
                <w:kern w:val="0"/>
                <w:sz w:val="21"/>
                <w:szCs w:val="21"/>
              </w:rPr>
              <w:t>3.63</w:t>
            </w:r>
          </w:p>
        </w:tc>
        <w:tc>
          <w:tcPr>
            <w:tcW w:w="1364" w:type="dxa"/>
            <w:vAlign w:val="center"/>
          </w:tcPr>
          <w:p>
            <w:pPr>
              <w:jc w:val="center"/>
              <w:rPr>
                <w:color w:val="auto"/>
                <w:sz w:val="21"/>
                <w:szCs w:val="22"/>
              </w:rPr>
            </w:pPr>
            <w:r>
              <w:rPr>
                <w:color w:val="auto"/>
                <w:sz w:val="21"/>
                <w:szCs w:val="21"/>
              </w:rPr>
              <w:t>1.2092</w:t>
            </w:r>
          </w:p>
        </w:tc>
        <w:tc>
          <w:tcPr>
            <w:tcW w:w="984" w:type="dxa"/>
            <w:vAlign w:val="center"/>
          </w:tcPr>
          <w:p>
            <w:pPr>
              <w:jc w:val="center"/>
              <w:rPr>
                <w:color w:val="auto"/>
                <w:sz w:val="21"/>
                <w:szCs w:val="22"/>
              </w:rPr>
            </w:pPr>
            <w:r>
              <w:rPr>
                <w:color w:val="auto"/>
                <w:sz w:val="21"/>
                <w:szCs w:val="21"/>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630</w:t>
            </w:r>
          </w:p>
        </w:tc>
        <w:tc>
          <w:tcPr>
            <w:tcW w:w="1276" w:type="dxa"/>
            <w:vAlign w:val="center"/>
          </w:tcPr>
          <w:p>
            <w:pPr>
              <w:jc w:val="center"/>
              <w:rPr>
                <w:color w:val="auto"/>
                <w:sz w:val="21"/>
                <w:szCs w:val="22"/>
              </w:rPr>
            </w:pPr>
            <w:r>
              <w:rPr>
                <w:color w:val="auto"/>
                <w:sz w:val="21"/>
                <w:szCs w:val="22"/>
              </w:rPr>
              <w:t>0.0266</w:t>
            </w:r>
          </w:p>
        </w:tc>
        <w:tc>
          <w:tcPr>
            <w:tcW w:w="709" w:type="dxa"/>
            <w:vAlign w:val="center"/>
          </w:tcPr>
          <w:p>
            <w:pPr>
              <w:jc w:val="center"/>
              <w:rPr>
                <w:color w:val="auto"/>
                <w:sz w:val="21"/>
                <w:szCs w:val="22"/>
              </w:rPr>
            </w:pPr>
            <w:r>
              <w:rPr>
                <w:color w:val="auto"/>
                <w:sz w:val="21"/>
                <w:szCs w:val="22"/>
              </w:rPr>
              <w:t>0.27</w:t>
            </w:r>
          </w:p>
        </w:tc>
        <w:tc>
          <w:tcPr>
            <w:tcW w:w="1276" w:type="dxa"/>
            <w:vAlign w:val="center"/>
          </w:tcPr>
          <w:p>
            <w:pPr>
              <w:jc w:val="center"/>
              <w:rPr>
                <w:color w:val="auto"/>
                <w:sz w:val="21"/>
                <w:szCs w:val="22"/>
              </w:rPr>
            </w:pPr>
            <w:r>
              <w:rPr>
                <w:color w:val="auto"/>
                <w:sz w:val="21"/>
                <w:szCs w:val="22"/>
              </w:rPr>
              <w:t>0.1332</w:t>
            </w:r>
          </w:p>
        </w:tc>
        <w:tc>
          <w:tcPr>
            <w:tcW w:w="708" w:type="dxa"/>
            <w:vAlign w:val="center"/>
          </w:tcPr>
          <w:p>
            <w:pPr>
              <w:jc w:val="center"/>
              <w:rPr>
                <w:color w:val="auto"/>
                <w:sz w:val="21"/>
                <w:szCs w:val="22"/>
              </w:rPr>
            </w:pPr>
            <w:r>
              <w:rPr>
                <w:color w:val="auto"/>
                <w:sz w:val="21"/>
                <w:szCs w:val="22"/>
              </w:rPr>
              <w:t>0.07</w:t>
            </w:r>
          </w:p>
        </w:tc>
        <w:tc>
          <w:tcPr>
            <w:tcW w:w="1276" w:type="dxa"/>
            <w:vAlign w:val="center"/>
          </w:tcPr>
          <w:p>
            <w:pPr>
              <w:jc w:val="center"/>
              <w:rPr>
                <w:color w:val="auto"/>
                <w:sz w:val="21"/>
                <w:szCs w:val="22"/>
              </w:rPr>
            </w:pPr>
            <w:r>
              <w:rPr>
                <w:color w:val="auto"/>
                <w:kern w:val="0"/>
                <w:sz w:val="21"/>
                <w:szCs w:val="21"/>
              </w:rPr>
              <w:t>0.2930</w:t>
            </w:r>
          </w:p>
        </w:tc>
        <w:tc>
          <w:tcPr>
            <w:tcW w:w="709" w:type="dxa"/>
            <w:vAlign w:val="center"/>
          </w:tcPr>
          <w:p>
            <w:pPr>
              <w:jc w:val="center"/>
              <w:rPr>
                <w:color w:val="auto"/>
                <w:sz w:val="21"/>
                <w:szCs w:val="22"/>
              </w:rPr>
            </w:pPr>
            <w:r>
              <w:rPr>
                <w:color w:val="auto"/>
                <w:kern w:val="0"/>
                <w:sz w:val="21"/>
                <w:szCs w:val="21"/>
              </w:rPr>
              <w:t>2.93</w:t>
            </w:r>
          </w:p>
        </w:tc>
        <w:tc>
          <w:tcPr>
            <w:tcW w:w="1364" w:type="dxa"/>
            <w:vAlign w:val="center"/>
          </w:tcPr>
          <w:p>
            <w:pPr>
              <w:jc w:val="center"/>
              <w:rPr>
                <w:color w:val="auto"/>
                <w:sz w:val="21"/>
                <w:szCs w:val="22"/>
              </w:rPr>
            </w:pPr>
            <w:r>
              <w:rPr>
                <w:color w:val="auto"/>
                <w:sz w:val="21"/>
                <w:szCs w:val="21"/>
              </w:rPr>
              <w:t>0.9768</w:t>
            </w:r>
          </w:p>
        </w:tc>
        <w:tc>
          <w:tcPr>
            <w:tcW w:w="984" w:type="dxa"/>
            <w:vAlign w:val="center"/>
          </w:tcPr>
          <w:p>
            <w:pPr>
              <w:jc w:val="center"/>
              <w:rPr>
                <w:color w:val="auto"/>
                <w:sz w:val="21"/>
                <w:szCs w:val="22"/>
              </w:rPr>
            </w:pPr>
            <w:r>
              <w:rPr>
                <w:color w:val="auto"/>
                <w:sz w:val="21"/>
                <w:szCs w:val="21"/>
              </w:rPr>
              <w:t>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777</w:t>
            </w:r>
          </w:p>
        </w:tc>
        <w:tc>
          <w:tcPr>
            <w:tcW w:w="1276" w:type="dxa"/>
            <w:vAlign w:val="center"/>
          </w:tcPr>
          <w:p>
            <w:pPr>
              <w:jc w:val="center"/>
              <w:rPr>
                <w:color w:val="auto"/>
                <w:sz w:val="21"/>
                <w:szCs w:val="22"/>
              </w:rPr>
            </w:pPr>
            <w:r>
              <w:rPr>
                <w:color w:val="auto"/>
                <w:sz w:val="21"/>
                <w:szCs w:val="22"/>
              </w:rPr>
              <w:t>0.0258</w:t>
            </w:r>
          </w:p>
        </w:tc>
        <w:tc>
          <w:tcPr>
            <w:tcW w:w="709" w:type="dxa"/>
            <w:vAlign w:val="center"/>
          </w:tcPr>
          <w:p>
            <w:pPr>
              <w:jc w:val="center"/>
              <w:rPr>
                <w:color w:val="auto"/>
                <w:sz w:val="21"/>
                <w:szCs w:val="22"/>
              </w:rPr>
            </w:pPr>
            <w:r>
              <w:rPr>
                <w:color w:val="auto"/>
                <w:sz w:val="21"/>
                <w:szCs w:val="22"/>
              </w:rPr>
              <w:t>0.26</w:t>
            </w:r>
          </w:p>
        </w:tc>
        <w:tc>
          <w:tcPr>
            <w:tcW w:w="1276" w:type="dxa"/>
            <w:vAlign w:val="center"/>
          </w:tcPr>
          <w:p>
            <w:pPr>
              <w:jc w:val="center"/>
              <w:rPr>
                <w:color w:val="auto"/>
                <w:sz w:val="21"/>
                <w:szCs w:val="22"/>
              </w:rPr>
            </w:pPr>
            <w:r>
              <w:rPr>
                <w:color w:val="auto"/>
                <w:sz w:val="21"/>
                <w:szCs w:val="22"/>
              </w:rPr>
              <w:t>0.1289</w:t>
            </w:r>
          </w:p>
        </w:tc>
        <w:tc>
          <w:tcPr>
            <w:tcW w:w="708" w:type="dxa"/>
            <w:vAlign w:val="center"/>
          </w:tcPr>
          <w:p>
            <w:pPr>
              <w:jc w:val="center"/>
              <w:rPr>
                <w:color w:val="auto"/>
                <w:sz w:val="21"/>
                <w:szCs w:val="22"/>
              </w:rPr>
            </w:pPr>
            <w:r>
              <w:rPr>
                <w:color w:val="auto"/>
                <w:sz w:val="21"/>
                <w:szCs w:val="22"/>
              </w:rPr>
              <w:t>0.06</w:t>
            </w:r>
          </w:p>
        </w:tc>
        <w:tc>
          <w:tcPr>
            <w:tcW w:w="1276" w:type="dxa"/>
            <w:vAlign w:val="center"/>
          </w:tcPr>
          <w:p>
            <w:pPr>
              <w:jc w:val="center"/>
              <w:rPr>
                <w:color w:val="auto"/>
                <w:sz w:val="21"/>
                <w:szCs w:val="22"/>
              </w:rPr>
            </w:pPr>
            <w:r>
              <w:rPr>
                <w:color w:val="auto"/>
                <w:kern w:val="0"/>
                <w:sz w:val="21"/>
                <w:szCs w:val="21"/>
              </w:rPr>
              <w:t>0.2836</w:t>
            </w:r>
          </w:p>
        </w:tc>
        <w:tc>
          <w:tcPr>
            <w:tcW w:w="709" w:type="dxa"/>
            <w:vAlign w:val="center"/>
          </w:tcPr>
          <w:p>
            <w:pPr>
              <w:jc w:val="center"/>
              <w:rPr>
                <w:color w:val="auto"/>
                <w:sz w:val="21"/>
                <w:szCs w:val="22"/>
              </w:rPr>
            </w:pPr>
            <w:r>
              <w:rPr>
                <w:color w:val="auto"/>
                <w:kern w:val="0"/>
                <w:sz w:val="21"/>
                <w:szCs w:val="21"/>
              </w:rPr>
              <w:t>2.84</w:t>
            </w:r>
          </w:p>
        </w:tc>
        <w:tc>
          <w:tcPr>
            <w:tcW w:w="1364" w:type="dxa"/>
            <w:vAlign w:val="center"/>
          </w:tcPr>
          <w:p>
            <w:pPr>
              <w:jc w:val="center"/>
              <w:rPr>
                <w:color w:val="auto"/>
                <w:sz w:val="21"/>
                <w:szCs w:val="22"/>
              </w:rPr>
            </w:pPr>
            <w:r>
              <w:rPr>
                <w:color w:val="auto"/>
                <w:sz w:val="21"/>
                <w:szCs w:val="21"/>
              </w:rPr>
              <w:t>0.9454</w:t>
            </w:r>
          </w:p>
        </w:tc>
        <w:tc>
          <w:tcPr>
            <w:tcW w:w="984" w:type="dxa"/>
            <w:vAlign w:val="center"/>
          </w:tcPr>
          <w:p>
            <w:pPr>
              <w:jc w:val="center"/>
              <w:rPr>
                <w:color w:val="auto"/>
                <w:sz w:val="21"/>
                <w:szCs w:val="22"/>
              </w:rPr>
            </w:pPr>
            <w:r>
              <w:rPr>
                <w:color w:val="auto"/>
                <w:sz w:val="21"/>
                <w:szCs w:val="21"/>
              </w:rPr>
              <w:t>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855</w:t>
            </w:r>
          </w:p>
        </w:tc>
        <w:tc>
          <w:tcPr>
            <w:tcW w:w="1276" w:type="dxa"/>
            <w:vAlign w:val="center"/>
          </w:tcPr>
          <w:p>
            <w:pPr>
              <w:jc w:val="center"/>
              <w:rPr>
                <w:color w:val="auto"/>
                <w:sz w:val="21"/>
                <w:szCs w:val="22"/>
              </w:rPr>
            </w:pPr>
            <w:r>
              <w:rPr>
                <w:color w:val="auto"/>
                <w:sz w:val="21"/>
                <w:szCs w:val="22"/>
              </w:rPr>
              <w:t>0.0249</w:t>
            </w:r>
          </w:p>
        </w:tc>
        <w:tc>
          <w:tcPr>
            <w:tcW w:w="709" w:type="dxa"/>
            <w:vAlign w:val="center"/>
          </w:tcPr>
          <w:p>
            <w:pPr>
              <w:jc w:val="center"/>
              <w:rPr>
                <w:color w:val="auto"/>
                <w:sz w:val="21"/>
                <w:szCs w:val="22"/>
              </w:rPr>
            </w:pPr>
            <w:r>
              <w:rPr>
                <w:color w:val="auto"/>
                <w:sz w:val="21"/>
                <w:szCs w:val="22"/>
              </w:rPr>
              <w:t>0.25</w:t>
            </w:r>
          </w:p>
        </w:tc>
        <w:tc>
          <w:tcPr>
            <w:tcW w:w="1276" w:type="dxa"/>
            <w:vAlign w:val="center"/>
          </w:tcPr>
          <w:p>
            <w:pPr>
              <w:jc w:val="center"/>
              <w:rPr>
                <w:color w:val="auto"/>
                <w:sz w:val="21"/>
                <w:szCs w:val="22"/>
              </w:rPr>
            </w:pPr>
            <w:r>
              <w:rPr>
                <w:color w:val="auto"/>
                <w:sz w:val="21"/>
                <w:szCs w:val="22"/>
              </w:rPr>
              <w:t>0.1246</w:t>
            </w:r>
          </w:p>
        </w:tc>
        <w:tc>
          <w:tcPr>
            <w:tcW w:w="708" w:type="dxa"/>
            <w:vAlign w:val="center"/>
          </w:tcPr>
          <w:p>
            <w:pPr>
              <w:jc w:val="center"/>
              <w:rPr>
                <w:color w:val="auto"/>
                <w:sz w:val="21"/>
                <w:szCs w:val="22"/>
              </w:rPr>
            </w:pPr>
            <w:r>
              <w:rPr>
                <w:color w:val="auto"/>
                <w:sz w:val="21"/>
                <w:szCs w:val="22"/>
              </w:rPr>
              <w:t>0.06</w:t>
            </w:r>
          </w:p>
        </w:tc>
        <w:tc>
          <w:tcPr>
            <w:tcW w:w="1276" w:type="dxa"/>
            <w:vAlign w:val="center"/>
          </w:tcPr>
          <w:p>
            <w:pPr>
              <w:jc w:val="center"/>
              <w:rPr>
                <w:color w:val="auto"/>
                <w:sz w:val="21"/>
                <w:szCs w:val="22"/>
              </w:rPr>
            </w:pPr>
            <w:r>
              <w:rPr>
                <w:color w:val="auto"/>
                <w:kern w:val="0"/>
                <w:sz w:val="21"/>
                <w:szCs w:val="21"/>
              </w:rPr>
              <w:t>0.2740</w:t>
            </w:r>
          </w:p>
        </w:tc>
        <w:tc>
          <w:tcPr>
            <w:tcW w:w="709" w:type="dxa"/>
            <w:vAlign w:val="center"/>
          </w:tcPr>
          <w:p>
            <w:pPr>
              <w:jc w:val="center"/>
              <w:rPr>
                <w:color w:val="auto"/>
                <w:sz w:val="21"/>
                <w:szCs w:val="22"/>
              </w:rPr>
            </w:pPr>
            <w:r>
              <w:rPr>
                <w:color w:val="auto"/>
                <w:kern w:val="0"/>
                <w:sz w:val="21"/>
                <w:szCs w:val="21"/>
              </w:rPr>
              <w:t>2.74</w:t>
            </w:r>
          </w:p>
        </w:tc>
        <w:tc>
          <w:tcPr>
            <w:tcW w:w="1364" w:type="dxa"/>
            <w:vAlign w:val="center"/>
          </w:tcPr>
          <w:p>
            <w:pPr>
              <w:jc w:val="center"/>
              <w:rPr>
                <w:color w:val="auto"/>
                <w:sz w:val="21"/>
                <w:szCs w:val="22"/>
              </w:rPr>
            </w:pPr>
            <w:r>
              <w:rPr>
                <w:color w:val="auto"/>
                <w:sz w:val="21"/>
                <w:szCs w:val="21"/>
              </w:rPr>
              <w:t>0.9134</w:t>
            </w:r>
          </w:p>
        </w:tc>
        <w:tc>
          <w:tcPr>
            <w:tcW w:w="984" w:type="dxa"/>
            <w:vAlign w:val="center"/>
          </w:tcPr>
          <w:p>
            <w:pPr>
              <w:jc w:val="center"/>
              <w:rPr>
                <w:color w:val="auto"/>
                <w:sz w:val="21"/>
                <w:szCs w:val="22"/>
              </w:rPr>
            </w:pPr>
            <w:r>
              <w:rPr>
                <w:color w:val="auto"/>
                <w:sz w:val="21"/>
                <w:szCs w:val="21"/>
              </w:rPr>
              <w:t>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1100</w:t>
            </w:r>
          </w:p>
        </w:tc>
        <w:tc>
          <w:tcPr>
            <w:tcW w:w="1276" w:type="dxa"/>
            <w:vAlign w:val="center"/>
          </w:tcPr>
          <w:p>
            <w:pPr>
              <w:jc w:val="center"/>
              <w:rPr>
                <w:color w:val="auto"/>
                <w:sz w:val="21"/>
                <w:szCs w:val="22"/>
              </w:rPr>
            </w:pPr>
            <w:r>
              <w:rPr>
                <w:color w:val="auto"/>
                <w:sz w:val="21"/>
                <w:szCs w:val="22"/>
              </w:rPr>
              <w:t>0.0217</w:t>
            </w:r>
          </w:p>
        </w:tc>
        <w:tc>
          <w:tcPr>
            <w:tcW w:w="709" w:type="dxa"/>
            <w:vAlign w:val="center"/>
          </w:tcPr>
          <w:p>
            <w:pPr>
              <w:jc w:val="center"/>
              <w:rPr>
                <w:color w:val="auto"/>
                <w:sz w:val="21"/>
                <w:szCs w:val="22"/>
              </w:rPr>
            </w:pPr>
            <w:r>
              <w:rPr>
                <w:color w:val="auto"/>
                <w:sz w:val="21"/>
                <w:szCs w:val="22"/>
              </w:rPr>
              <w:t>0.22</w:t>
            </w:r>
          </w:p>
        </w:tc>
        <w:tc>
          <w:tcPr>
            <w:tcW w:w="1276" w:type="dxa"/>
            <w:vAlign w:val="center"/>
          </w:tcPr>
          <w:p>
            <w:pPr>
              <w:jc w:val="center"/>
              <w:rPr>
                <w:color w:val="auto"/>
                <w:sz w:val="21"/>
                <w:szCs w:val="22"/>
              </w:rPr>
            </w:pPr>
            <w:r>
              <w:rPr>
                <w:color w:val="auto"/>
                <w:sz w:val="21"/>
                <w:szCs w:val="22"/>
              </w:rPr>
              <w:t>0.1086</w:t>
            </w:r>
          </w:p>
        </w:tc>
        <w:tc>
          <w:tcPr>
            <w:tcW w:w="708" w:type="dxa"/>
            <w:vAlign w:val="center"/>
          </w:tcPr>
          <w:p>
            <w:pPr>
              <w:jc w:val="center"/>
              <w:rPr>
                <w:color w:val="auto"/>
                <w:sz w:val="21"/>
                <w:szCs w:val="22"/>
              </w:rPr>
            </w:pPr>
            <w:r>
              <w:rPr>
                <w:color w:val="auto"/>
                <w:sz w:val="21"/>
                <w:szCs w:val="22"/>
              </w:rPr>
              <w:t>0.05</w:t>
            </w:r>
          </w:p>
        </w:tc>
        <w:tc>
          <w:tcPr>
            <w:tcW w:w="1276" w:type="dxa"/>
            <w:vAlign w:val="center"/>
          </w:tcPr>
          <w:p>
            <w:pPr>
              <w:jc w:val="center"/>
              <w:rPr>
                <w:color w:val="auto"/>
                <w:sz w:val="21"/>
                <w:szCs w:val="22"/>
              </w:rPr>
            </w:pPr>
            <w:r>
              <w:rPr>
                <w:color w:val="auto"/>
                <w:kern w:val="0"/>
                <w:sz w:val="21"/>
                <w:szCs w:val="21"/>
              </w:rPr>
              <w:t>0.2389</w:t>
            </w:r>
          </w:p>
        </w:tc>
        <w:tc>
          <w:tcPr>
            <w:tcW w:w="709" w:type="dxa"/>
            <w:vAlign w:val="center"/>
          </w:tcPr>
          <w:p>
            <w:pPr>
              <w:jc w:val="center"/>
              <w:rPr>
                <w:color w:val="auto"/>
                <w:sz w:val="21"/>
                <w:szCs w:val="22"/>
              </w:rPr>
            </w:pPr>
            <w:r>
              <w:rPr>
                <w:color w:val="auto"/>
                <w:kern w:val="0"/>
                <w:sz w:val="21"/>
                <w:szCs w:val="21"/>
              </w:rPr>
              <w:t>2.39</w:t>
            </w:r>
          </w:p>
        </w:tc>
        <w:tc>
          <w:tcPr>
            <w:tcW w:w="1364" w:type="dxa"/>
            <w:vAlign w:val="center"/>
          </w:tcPr>
          <w:p>
            <w:pPr>
              <w:jc w:val="center"/>
              <w:rPr>
                <w:color w:val="auto"/>
                <w:sz w:val="21"/>
                <w:szCs w:val="22"/>
              </w:rPr>
            </w:pPr>
            <w:r>
              <w:rPr>
                <w:color w:val="auto"/>
                <w:sz w:val="21"/>
                <w:szCs w:val="21"/>
              </w:rPr>
              <w:t>0.7963</w:t>
            </w:r>
          </w:p>
        </w:tc>
        <w:tc>
          <w:tcPr>
            <w:tcW w:w="984" w:type="dxa"/>
            <w:vAlign w:val="center"/>
          </w:tcPr>
          <w:p>
            <w:pPr>
              <w:jc w:val="center"/>
              <w:rPr>
                <w:color w:val="auto"/>
                <w:sz w:val="21"/>
                <w:szCs w:val="22"/>
              </w:rPr>
            </w:pPr>
            <w:r>
              <w:rPr>
                <w:color w:val="auto"/>
                <w:sz w:val="21"/>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1390</w:t>
            </w:r>
          </w:p>
        </w:tc>
        <w:tc>
          <w:tcPr>
            <w:tcW w:w="1276" w:type="dxa"/>
            <w:vAlign w:val="center"/>
          </w:tcPr>
          <w:p>
            <w:pPr>
              <w:jc w:val="center"/>
              <w:rPr>
                <w:color w:val="auto"/>
                <w:sz w:val="21"/>
                <w:szCs w:val="22"/>
              </w:rPr>
            </w:pPr>
            <w:r>
              <w:rPr>
                <w:color w:val="auto"/>
                <w:sz w:val="21"/>
                <w:szCs w:val="22"/>
              </w:rPr>
              <w:t>0.0182</w:t>
            </w:r>
          </w:p>
        </w:tc>
        <w:tc>
          <w:tcPr>
            <w:tcW w:w="709" w:type="dxa"/>
            <w:vAlign w:val="center"/>
          </w:tcPr>
          <w:p>
            <w:pPr>
              <w:jc w:val="center"/>
              <w:rPr>
                <w:color w:val="auto"/>
                <w:sz w:val="21"/>
                <w:szCs w:val="22"/>
              </w:rPr>
            </w:pPr>
            <w:r>
              <w:rPr>
                <w:color w:val="auto"/>
                <w:sz w:val="21"/>
                <w:szCs w:val="22"/>
              </w:rPr>
              <w:t>0.18</w:t>
            </w:r>
          </w:p>
        </w:tc>
        <w:tc>
          <w:tcPr>
            <w:tcW w:w="1276" w:type="dxa"/>
            <w:vAlign w:val="center"/>
          </w:tcPr>
          <w:p>
            <w:pPr>
              <w:jc w:val="center"/>
              <w:rPr>
                <w:color w:val="auto"/>
                <w:sz w:val="21"/>
                <w:szCs w:val="22"/>
              </w:rPr>
            </w:pPr>
            <w:r>
              <w:rPr>
                <w:color w:val="auto"/>
                <w:sz w:val="21"/>
                <w:szCs w:val="22"/>
              </w:rPr>
              <w:t>0.0911</w:t>
            </w:r>
          </w:p>
        </w:tc>
        <w:tc>
          <w:tcPr>
            <w:tcW w:w="708" w:type="dxa"/>
            <w:vAlign w:val="center"/>
          </w:tcPr>
          <w:p>
            <w:pPr>
              <w:jc w:val="center"/>
              <w:rPr>
                <w:color w:val="auto"/>
                <w:sz w:val="21"/>
                <w:szCs w:val="22"/>
              </w:rPr>
            </w:pPr>
            <w:r>
              <w:rPr>
                <w:color w:val="auto"/>
                <w:sz w:val="21"/>
                <w:szCs w:val="22"/>
              </w:rPr>
              <w:t>0.05</w:t>
            </w:r>
          </w:p>
        </w:tc>
        <w:tc>
          <w:tcPr>
            <w:tcW w:w="1276" w:type="dxa"/>
            <w:vAlign w:val="center"/>
          </w:tcPr>
          <w:p>
            <w:pPr>
              <w:jc w:val="center"/>
              <w:rPr>
                <w:color w:val="auto"/>
                <w:sz w:val="21"/>
                <w:szCs w:val="22"/>
              </w:rPr>
            </w:pPr>
            <w:r>
              <w:rPr>
                <w:color w:val="auto"/>
                <w:kern w:val="0"/>
                <w:sz w:val="21"/>
                <w:szCs w:val="21"/>
              </w:rPr>
              <w:t>0.2005</w:t>
            </w:r>
          </w:p>
        </w:tc>
        <w:tc>
          <w:tcPr>
            <w:tcW w:w="709" w:type="dxa"/>
            <w:vAlign w:val="center"/>
          </w:tcPr>
          <w:p>
            <w:pPr>
              <w:jc w:val="center"/>
              <w:rPr>
                <w:color w:val="auto"/>
                <w:sz w:val="21"/>
                <w:szCs w:val="22"/>
              </w:rPr>
            </w:pPr>
            <w:r>
              <w:rPr>
                <w:color w:val="auto"/>
                <w:kern w:val="0"/>
                <w:sz w:val="21"/>
                <w:szCs w:val="21"/>
              </w:rPr>
              <w:t>2.00</w:t>
            </w:r>
          </w:p>
        </w:tc>
        <w:tc>
          <w:tcPr>
            <w:tcW w:w="1364" w:type="dxa"/>
            <w:vAlign w:val="center"/>
          </w:tcPr>
          <w:p>
            <w:pPr>
              <w:jc w:val="center"/>
              <w:rPr>
                <w:color w:val="auto"/>
                <w:sz w:val="21"/>
                <w:szCs w:val="22"/>
              </w:rPr>
            </w:pPr>
            <w:r>
              <w:rPr>
                <w:color w:val="auto"/>
                <w:sz w:val="21"/>
                <w:szCs w:val="21"/>
              </w:rPr>
              <w:t>0.6683</w:t>
            </w:r>
          </w:p>
        </w:tc>
        <w:tc>
          <w:tcPr>
            <w:tcW w:w="984" w:type="dxa"/>
            <w:vAlign w:val="center"/>
          </w:tcPr>
          <w:p>
            <w:pPr>
              <w:jc w:val="center"/>
              <w:rPr>
                <w:color w:val="auto"/>
                <w:sz w:val="21"/>
                <w:szCs w:val="22"/>
              </w:rPr>
            </w:pPr>
            <w:r>
              <w:rPr>
                <w:color w:val="auto"/>
                <w:sz w:val="21"/>
                <w:szCs w:val="21"/>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1400</w:t>
            </w:r>
          </w:p>
        </w:tc>
        <w:tc>
          <w:tcPr>
            <w:tcW w:w="1276" w:type="dxa"/>
            <w:vAlign w:val="center"/>
          </w:tcPr>
          <w:p>
            <w:pPr>
              <w:jc w:val="center"/>
              <w:rPr>
                <w:color w:val="auto"/>
                <w:sz w:val="21"/>
                <w:szCs w:val="22"/>
              </w:rPr>
            </w:pPr>
            <w:r>
              <w:rPr>
                <w:color w:val="auto"/>
                <w:sz w:val="21"/>
                <w:szCs w:val="22"/>
              </w:rPr>
              <w:t>0.0181</w:t>
            </w:r>
          </w:p>
        </w:tc>
        <w:tc>
          <w:tcPr>
            <w:tcW w:w="709" w:type="dxa"/>
            <w:vAlign w:val="center"/>
          </w:tcPr>
          <w:p>
            <w:pPr>
              <w:jc w:val="center"/>
              <w:rPr>
                <w:color w:val="auto"/>
                <w:sz w:val="21"/>
                <w:szCs w:val="22"/>
              </w:rPr>
            </w:pPr>
            <w:r>
              <w:rPr>
                <w:color w:val="auto"/>
                <w:sz w:val="21"/>
                <w:szCs w:val="22"/>
              </w:rPr>
              <w:t>0.18</w:t>
            </w:r>
          </w:p>
        </w:tc>
        <w:tc>
          <w:tcPr>
            <w:tcW w:w="1276" w:type="dxa"/>
            <w:vAlign w:val="center"/>
          </w:tcPr>
          <w:p>
            <w:pPr>
              <w:jc w:val="center"/>
              <w:rPr>
                <w:color w:val="auto"/>
                <w:sz w:val="21"/>
                <w:szCs w:val="22"/>
              </w:rPr>
            </w:pPr>
            <w:r>
              <w:rPr>
                <w:color w:val="auto"/>
                <w:sz w:val="21"/>
                <w:szCs w:val="22"/>
              </w:rPr>
              <w:t>0.0906</w:t>
            </w:r>
          </w:p>
        </w:tc>
        <w:tc>
          <w:tcPr>
            <w:tcW w:w="708" w:type="dxa"/>
            <w:vAlign w:val="center"/>
          </w:tcPr>
          <w:p>
            <w:pPr>
              <w:jc w:val="center"/>
              <w:rPr>
                <w:color w:val="auto"/>
                <w:sz w:val="21"/>
                <w:szCs w:val="22"/>
              </w:rPr>
            </w:pPr>
            <w:r>
              <w:rPr>
                <w:color w:val="auto"/>
                <w:sz w:val="21"/>
                <w:szCs w:val="22"/>
              </w:rPr>
              <w:t>0.05</w:t>
            </w:r>
          </w:p>
        </w:tc>
        <w:tc>
          <w:tcPr>
            <w:tcW w:w="1276" w:type="dxa"/>
            <w:vAlign w:val="center"/>
          </w:tcPr>
          <w:p>
            <w:pPr>
              <w:jc w:val="center"/>
              <w:rPr>
                <w:color w:val="auto"/>
                <w:sz w:val="21"/>
                <w:szCs w:val="22"/>
              </w:rPr>
            </w:pPr>
            <w:r>
              <w:rPr>
                <w:color w:val="auto"/>
                <w:kern w:val="0"/>
                <w:sz w:val="21"/>
                <w:szCs w:val="21"/>
              </w:rPr>
              <w:t>0.1993</w:t>
            </w:r>
          </w:p>
        </w:tc>
        <w:tc>
          <w:tcPr>
            <w:tcW w:w="709" w:type="dxa"/>
            <w:vAlign w:val="center"/>
          </w:tcPr>
          <w:p>
            <w:pPr>
              <w:jc w:val="center"/>
              <w:rPr>
                <w:color w:val="auto"/>
                <w:sz w:val="21"/>
                <w:szCs w:val="22"/>
              </w:rPr>
            </w:pPr>
            <w:r>
              <w:rPr>
                <w:color w:val="auto"/>
                <w:kern w:val="0"/>
                <w:sz w:val="21"/>
                <w:szCs w:val="21"/>
              </w:rPr>
              <w:t>1.99</w:t>
            </w:r>
          </w:p>
        </w:tc>
        <w:tc>
          <w:tcPr>
            <w:tcW w:w="1364" w:type="dxa"/>
            <w:vAlign w:val="center"/>
          </w:tcPr>
          <w:p>
            <w:pPr>
              <w:jc w:val="center"/>
              <w:rPr>
                <w:color w:val="auto"/>
                <w:sz w:val="21"/>
                <w:szCs w:val="22"/>
              </w:rPr>
            </w:pPr>
            <w:r>
              <w:rPr>
                <w:color w:val="auto"/>
                <w:sz w:val="21"/>
                <w:szCs w:val="21"/>
              </w:rPr>
              <w:t>0.6644</w:t>
            </w:r>
          </w:p>
        </w:tc>
        <w:tc>
          <w:tcPr>
            <w:tcW w:w="984" w:type="dxa"/>
            <w:vAlign w:val="center"/>
          </w:tcPr>
          <w:p>
            <w:pPr>
              <w:jc w:val="center"/>
              <w:rPr>
                <w:color w:val="auto"/>
                <w:sz w:val="21"/>
                <w:szCs w:val="22"/>
              </w:rPr>
            </w:pPr>
            <w:r>
              <w:rPr>
                <w:color w:val="auto"/>
                <w:sz w:val="21"/>
                <w:szCs w:val="21"/>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1480</w:t>
            </w:r>
          </w:p>
        </w:tc>
        <w:tc>
          <w:tcPr>
            <w:tcW w:w="1276" w:type="dxa"/>
            <w:vAlign w:val="center"/>
          </w:tcPr>
          <w:p>
            <w:pPr>
              <w:jc w:val="center"/>
              <w:rPr>
                <w:color w:val="auto"/>
                <w:sz w:val="21"/>
                <w:szCs w:val="22"/>
              </w:rPr>
            </w:pPr>
            <w:r>
              <w:rPr>
                <w:color w:val="auto"/>
                <w:sz w:val="21"/>
                <w:szCs w:val="22"/>
              </w:rPr>
              <w:t>0.0173</w:t>
            </w:r>
          </w:p>
        </w:tc>
        <w:tc>
          <w:tcPr>
            <w:tcW w:w="709" w:type="dxa"/>
            <w:vAlign w:val="center"/>
          </w:tcPr>
          <w:p>
            <w:pPr>
              <w:jc w:val="center"/>
              <w:rPr>
                <w:color w:val="auto"/>
                <w:sz w:val="21"/>
                <w:szCs w:val="22"/>
              </w:rPr>
            </w:pPr>
            <w:r>
              <w:rPr>
                <w:color w:val="auto"/>
                <w:sz w:val="21"/>
                <w:szCs w:val="22"/>
              </w:rPr>
              <w:t>0.17</w:t>
            </w:r>
          </w:p>
        </w:tc>
        <w:tc>
          <w:tcPr>
            <w:tcW w:w="1276" w:type="dxa"/>
            <w:vAlign w:val="center"/>
          </w:tcPr>
          <w:p>
            <w:pPr>
              <w:jc w:val="center"/>
              <w:rPr>
                <w:color w:val="auto"/>
                <w:sz w:val="21"/>
                <w:szCs w:val="22"/>
              </w:rPr>
            </w:pPr>
            <w:r>
              <w:rPr>
                <w:color w:val="auto"/>
                <w:sz w:val="21"/>
                <w:szCs w:val="22"/>
              </w:rPr>
              <w:t>0.0864</w:t>
            </w:r>
          </w:p>
        </w:tc>
        <w:tc>
          <w:tcPr>
            <w:tcW w:w="708" w:type="dxa"/>
            <w:vAlign w:val="center"/>
          </w:tcPr>
          <w:p>
            <w:pPr>
              <w:jc w:val="center"/>
              <w:rPr>
                <w:color w:val="auto"/>
                <w:sz w:val="21"/>
                <w:szCs w:val="22"/>
              </w:rPr>
            </w:pPr>
            <w:r>
              <w:rPr>
                <w:color w:val="auto"/>
                <w:sz w:val="21"/>
                <w:szCs w:val="22"/>
              </w:rPr>
              <w:t>0.04</w:t>
            </w:r>
          </w:p>
        </w:tc>
        <w:tc>
          <w:tcPr>
            <w:tcW w:w="1276" w:type="dxa"/>
            <w:vAlign w:val="center"/>
          </w:tcPr>
          <w:p>
            <w:pPr>
              <w:jc w:val="center"/>
              <w:rPr>
                <w:color w:val="auto"/>
                <w:sz w:val="21"/>
                <w:szCs w:val="22"/>
              </w:rPr>
            </w:pPr>
            <w:r>
              <w:rPr>
                <w:color w:val="auto"/>
                <w:kern w:val="0"/>
                <w:sz w:val="21"/>
                <w:szCs w:val="21"/>
              </w:rPr>
              <w:t>0.1901</w:t>
            </w:r>
          </w:p>
        </w:tc>
        <w:tc>
          <w:tcPr>
            <w:tcW w:w="709" w:type="dxa"/>
            <w:vAlign w:val="center"/>
          </w:tcPr>
          <w:p>
            <w:pPr>
              <w:jc w:val="center"/>
              <w:rPr>
                <w:color w:val="auto"/>
                <w:sz w:val="21"/>
                <w:szCs w:val="22"/>
              </w:rPr>
            </w:pPr>
            <w:r>
              <w:rPr>
                <w:color w:val="auto"/>
                <w:kern w:val="0"/>
                <w:sz w:val="21"/>
                <w:szCs w:val="21"/>
              </w:rPr>
              <w:t>1.90</w:t>
            </w:r>
          </w:p>
        </w:tc>
        <w:tc>
          <w:tcPr>
            <w:tcW w:w="1364" w:type="dxa"/>
            <w:vAlign w:val="center"/>
          </w:tcPr>
          <w:p>
            <w:pPr>
              <w:jc w:val="center"/>
              <w:rPr>
                <w:color w:val="auto"/>
                <w:sz w:val="21"/>
                <w:szCs w:val="22"/>
              </w:rPr>
            </w:pPr>
            <w:r>
              <w:rPr>
                <w:color w:val="auto"/>
                <w:sz w:val="21"/>
                <w:szCs w:val="21"/>
              </w:rPr>
              <w:t>0.6337</w:t>
            </w:r>
          </w:p>
        </w:tc>
        <w:tc>
          <w:tcPr>
            <w:tcW w:w="984" w:type="dxa"/>
            <w:vAlign w:val="center"/>
          </w:tcPr>
          <w:p>
            <w:pPr>
              <w:jc w:val="center"/>
              <w:rPr>
                <w:color w:val="auto"/>
                <w:sz w:val="21"/>
                <w:szCs w:val="22"/>
              </w:rPr>
            </w:pPr>
            <w:r>
              <w:rPr>
                <w:color w:val="auto"/>
                <w:sz w:val="21"/>
                <w:szCs w:val="21"/>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1580</w:t>
            </w:r>
          </w:p>
        </w:tc>
        <w:tc>
          <w:tcPr>
            <w:tcW w:w="1276" w:type="dxa"/>
            <w:vAlign w:val="center"/>
          </w:tcPr>
          <w:p>
            <w:pPr>
              <w:jc w:val="center"/>
              <w:rPr>
                <w:color w:val="auto"/>
                <w:sz w:val="21"/>
                <w:szCs w:val="22"/>
              </w:rPr>
            </w:pPr>
            <w:r>
              <w:rPr>
                <w:color w:val="auto"/>
                <w:sz w:val="21"/>
                <w:szCs w:val="22"/>
              </w:rPr>
              <w:t>0.0163</w:t>
            </w:r>
          </w:p>
        </w:tc>
        <w:tc>
          <w:tcPr>
            <w:tcW w:w="709" w:type="dxa"/>
            <w:vAlign w:val="center"/>
          </w:tcPr>
          <w:p>
            <w:pPr>
              <w:jc w:val="center"/>
              <w:rPr>
                <w:color w:val="auto"/>
                <w:sz w:val="21"/>
                <w:szCs w:val="22"/>
              </w:rPr>
            </w:pPr>
            <w:r>
              <w:rPr>
                <w:color w:val="auto"/>
                <w:sz w:val="21"/>
                <w:szCs w:val="22"/>
              </w:rPr>
              <w:t>0.16</w:t>
            </w:r>
          </w:p>
        </w:tc>
        <w:tc>
          <w:tcPr>
            <w:tcW w:w="1276" w:type="dxa"/>
            <w:vAlign w:val="center"/>
          </w:tcPr>
          <w:p>
            <w:pPr>
              <w:jc w:val="center"/>
              <w:rPr>
                <w:color w:val="auto"/>
                <w:sz w:val="21"/>
                <w:szCs w:val="22"/>
              </w:rPr>
            </w:pPr>
            <w:r>
              <w:rPr>
                <w:color w:val="auto"/>
                <w:sz w:val="21"/>
                <w:szCs w:val="22"/>
              </w:rPr>
              <w:t>0.0815</w:t>
            </w:r>
          </w:p>
        </w:tc>
        <w:tc>
          <w:tcPr>
            <w:tcW w:w="708" w:type="dxa"/>
            <w:vAlign w:val="center"/>
          </w:tcPr>
          <w:p>
            <w:pPr>
              <w:jc w:val="center"/>
              <w:rPr>
                <w:color w:val="auto"/>
                <w:sz w:val="21"/>
                <w:szCs w:val="22"/>
              </w:rPr>
            </w:pPr>
            <w:r>
              <w:rPr>
                <w:color w:val="auto"/>
                <w:sz w:val="21"/>
                <w:szCs w:val="22"/>
              </w:rPr>
              <w:t>0.04</w:t>
            </w:r>
          </w:p>
        </w:tc>
        <w:tc>
          <w:tcPr>
            <w:tcW w:w="1276" w:type="dxa"/>
            <w:vAlign w:val="center"/>
          </w:tcPr>
          <w:p>
            <w:pPr>
              <w:jc w:val="center"/>
              <w:rPr>
                <w:color w:val="auto"/>
                <w:sz w:val="21"/>
                <w:szCs w:val="22"/>
              </w:rPr>
            </w:pPr>
            <w:r>
              <w:rPr>
                <w:color w:val="auto"/>
                <w:kern w:val="0"/>
                <w:sz w:val="21"/>
                <w:szCs w:val="21"/>
              </w:rPr>
              <w:t>0.1794</w:t>
            </w:r>
          </w:p>
        </w:tc>
        <w:tc>
          <w:tcPr>
            <w:tcW w:w="709" w:type="dxa"/>
            <w:vAlign w:val="center"/>
          </w:tcPr>
          <w:p>
            <w:pPr>
              <w:jc w:val="center"/>
              <w:rPr>
                <w:color w:val="auto"/>
                <w:sz w:val="21"/>
                <w:szCs w:val="22"/>
              </w:rPr>
            </w:pPr>
            <w:r>
              <w:rPr>
                <w:color w:val="auto"/>
                <w:kern w:val="0"/>
                <w:sz w:val="21"/>
                <w:szCs w:val="21"/>
              </w:rPr>
              <w:t>1.79</w:t>
            </w:r>
          </w:p>
        </w:tc>
        <w:tc>
          <w:tcPr>
            <w:tcW w:w="1364" w:type="dxa"/>
            <w:vAlign w:val="center"/>
          </w:tcPr>
          <w:p>
            <w:pPr>
              <w:jc w:val="center"/>
              <w:rPr>
                <w:color w:val="auto"/>
                <w:sz w:val="21"/>
                <w:szCs w:val="22"/>
              </w:rPr>
            </w:pPr>
            <w:r>
              <w:rPr>
                <w:color w:val="auto"/>
                <w:sz w:val="21"/>
                <w:szCs w:val="21"/>
              </w:rPr>
              <w:t>0.5980</w:t>
            </w:r>
          </w:p>
        </w:tc>
        <w:tc>
          <w:tcPr>
            <w:tcW w:w="984" w:type="dxa"/>
            <w:vAlign w:val="center"/>
          </w:tcPr>
          <w:p>
            <w:pPr>
              <w:jc w:val="center"/>
              <w:rPr>
                <w:color w:val="auto"/>
                <w:sz w:val="21"/>
                <w:szCs w:val="22"/>
              </w:rPr>
            </w:pPr>
            <w:r>
              <w:rPr>
                <w:color w:val="auto"/>
                <w:sz w:val="21"/>
                <w:szCs w:val="21"/>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1590</w:t>
            </w:r>
          </w:p>
        </w:tc>
        <w:tc>
          <w:tcPr>
            <w:tcW w:w="1276" w:type="dxa"/>
            <w:vAlign w:val="center"/>
          </w:tcPr>
          <w:p>
            <w:pPr>
              <w:jc w:val="center"/>
              <w:rPr>
                <w:color w:val="auto"/>
                <w:sz w:val="21"/>
                <w:szCs w:val="22"/>
              </w:rPr>
            </w:pPr>
            <w:r>
              <w:rPr>
                <w:color w:val="auto"/>
                <w:sz w:val="21"/>
                <w:szCs w:val="22"/>
              </w:rPr>
              <w:t>0.0162</w:t>
            </w:r>
          </w:p>
        </w:tc>
        <w:tc>
          <w:tcPr>
            <w:tcW w:w="709" w:type="dxa"/>
            <w:vAlign w:val="center"/>
          </w:tcPr>
          <w:p>
            <w:pPr>
              <w:jc w:val="center"/>
              <w:rPr>
                <w:color w:val="auto"/>
                <w:sz w:val="21"/>
                <w:szCs w:val="22"/>
              </w:rPr>
            </w:pPr>
            <w:r>
              <w:rPr>
                <w:color w:val="auto"/>
                <w:sz w:val="21"/>
                <w:szCs w:val="22"/>
              </w:rPr>
              <w:t>0.16</w:t>
            </w:r>
          </w:p>
        </w:tc>
        <w:tc>
          <w:tcPr>
            <w:tcW w:w="1276" w:type="dxa"/>
            <w:vAlign w:val="center"/>
          </w:tcPr>
          <w:p>
            <w:pPr>
              <w:jc w:val="center"/>
              <w:rPr>
                <w:color w:val="auto"/>
                <w:sz w:val="21"/>
                <w:szCs w:val="22"/>
              </w:rPr>
            </w:pPr>
            <w:r>
              <w:rPr>
                <w:color w:val="auto"/>
                <w:sz w:val="21"/>
                <w:szCs w:val="22"/>
              </w:rPr>
              <w:t>0.0811</w:t>
            </w:r>
          </w:p>
        </w:tc>
        <w:tc>
          <w:tcPr>
            <w:tcW w:w="708" w:type="dxa"/>
            <w:vAlign w:val="center"/>
          </w:tcPr>
          <w:p>
            <w:pPr>
              <w:jc w:val="center"/>
              <w:rPr>
                <w:color w:val="auto"/>
                <w:sz w:val="21"/>
                <w:szCs w:val="22"/>
              </w:rPr>
            </w:pPr>
            <w:r>
              <w:rPr>
                <w:color w:val="auto"/>
                <w:sz w:val="21"/>
                <w:szCs w:val="22"/>
              </w:rPr>
              <w:t>0.04</w:t>
            </w:r>
          </w:p>
        </w:tc>
        <w:tc>
          <w:tcPr>
            <w:tcW w:w="1276" w:type="dxa"/>
            <w:vAlign w:val="center"/>
          </w:tcPr>
          <w:p>
            <w:pPr>
              <w:jc w:val="center"/>
              <w:rPr>
                <w:color w:val="auto"/>
                <w:sz w:val="21"/>
                <w:szCs w:val="22"/>
              </w:rPr>
            </w:pPr>
            <w:r>
              <w:rPr>
                <w:color w:val="auto"/>
                <w:kern w:val="0"/>
                <w:sz w:val="21"/>
                <w:szCs w:val="21"/>
              </w:rPr>
              <w:t>0.1784</w:t>
            </w:r>
          </w:p>
        </w:tc>
        <w:tc>
          <w:tcPr>
            <w:tcW w:w="709" w:type="dxa"/>
            <w:vAlign w:val="center"/>
          </w:tcPr>
          <w:p>
            <w:pPr>
              <w:jc w:val="center"/>
              <w:rPr>
                <w:color w:val="auto"/>
                <w:sz w:val="21"/>
                <w:szCs w:val="22"/>
              </w:rPr>
            </w:pPr>
            <w:r>
              <w:rPr>
                <w:color w:val="auto"/>
                <w:kern w:val="0"/>
                <w:sz w:val="21"/>
                <w:szCs w:val="21"/>
              </w:rPr>
              <w:t>1.78</w:t>
            </w:r>
          </w:p>
        </w:tc>
        <w:tc>
          <w:tcPr>
            <w:tcW w:w="1364" w:type="dxa"/>
            <w:vAlign w:val="center"/>
          </w:tcPr>
          <w:p>
            <w:pPr>
              <w:jc w:val="center"/>
              <w:rPr>
                <w:color w:val="auto"/>
                <w:sz w:val="21"/>
                <w:szCs w:val="22"/>
              </w:rPr>
            </w:pPr>
            <w:r>
              <w:rPr>
                <w:color w:val="auto"/>
                <w:sz w:val="21"/>
                <w:szCs w:val="21"/>
              </w:rPr>
              <w:t>0.5946</w:t>
            </w:r>
          </w:p>
        </w:tc>
        <w:tc>
          <w:tcPr>
            <w:tcW w:w="984" w:type="dxa"/>
            <w:vAlign w:val="center"/>
          </w:tcPr>
          <w:p>
            <w:pPr>
              <w:jc w:val="center"/>
              <w:rPr>
                <w:color w:val="auto"/>
                <w:sz w:val="21"/>
                <w:szCs w:val="22"/>
              </w:rPr>
            </w:pPr>
            <w:r>
              <w:rPr>
                <w:color w:val="auto"/>
                <w:sz w:val="21"/>
                <w:szCs w:val="21"/>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1720</w:t>
            </w:r>
          </w:p>
        </w:tc>
        <w:tc>
          <w:tcPr>
            <w:tcW w:w="1276" w:type="dxa"/>
            <w:vAlign w:val="center"/>
          </w:tcPr>
          <w:p>
            <w:pPr>
              <w:jc w:val="center"/>
              <w:rPr>
                <w:color w:val="auto"/>
                <w:sz w:val="21"/>
                <w:szCs w:val="22"/>
              </w:rPr>
            </w:pPr>
            <w:r>
              <w:rPr>
                <w:color w:val="auto"/>
                <w:sz w:val="21"/>
                <w:szCs w:val="22"/>
              </w:rPr>
              <w:t>0.0151</w:t>
            </w:r>
          </w:p>
        </w:tc>
        <w:tc>
          <w:tcPr>
            <w:tcW w:w="709" w:type="dxa"/>
            <w:vAlign w:val="center"/>
          </w:tcPr>
          <w:p>
            <w:pPr>
              <w:jc w:val="center"/>
              <w:rPr>
                <w:color w:val="auto"/>
                <w:sz w:val="21"/>
                <w:szCs w:val="22"/>
              </w:rPr>
            </w:pPr>
            <w:r>
              <w:rPr>
                <w:color w:val="auto"/>
                <w:sz w:val="21"/>
                <w:szCs w:val="22"/>
              </w:rPr>
              <w:t>0.15</w:t>
            </w:r>
          </w:p>
        </w:tc>
        <w:tc>
          <w:tcPr>
            <w:tcW w:w="1276" w:type="dxa"/>
            <w:vAlign w:val="center"/>
          </w:tcPr>
          <w:p>
            <w:pPr>
              <w:jc w:val="center"/>
              <w:rPr>
                <w:color w:val="auto"/>
                <w:sz w:val="21"/>
                <w:szCs w:val="22"/>
              </w:rPr>
            </w:pPr>
            <w:r>
              <w:rPr>
                <w:color w:val="auto"/>
                <w:sz w:val="21"/>
                <w:szCs w:val="22"/>
              </w:rPr>
              <w:t>0.0754</w:t>
            </w:r>
          </w:p>
        </w:tc>
        <w:tc>
          <w:tcPr>
            <w:tcW w:w="708" w:type="dxa"/>
            <w:vAlign w:val="center"/>
          </w:tcPr>
          <w:p>
            <w:pPr>
              <w:jc w:val="center"/>
              <w:rPr>
                <w:color w:val="auto"/>
                <w:sz w:val="21"/>
                <w:szCs w:val="22"/>
              </w:rPr>
            </w:pPr>
            <w:r>
              <w:rPr>
                <w:color w:val="auto"/>
                <w:sz w:val="21"/>
                <w:szCs w:val="22"/>
              </w:rPr>
              <w:t>0.04</w:t>
            </w:r>
          </w:p>
        </w:tc>
        <w:tc>
          <w:tcPr>
            <w:tcW w:w="1276" w:type="dxa"/>
            <w:vAlign w:val="center"/>
          </w:tcPr>
          <w:p>
            <w:pPr>
              <w:jc w:val="center"/>
              <w:rPr>
                <w:color w:val="auto"/>
                <w:sz w:val="21"/>
                <w:szCs w:val="22"/>
              </w:rPr>
            </w:pPr>
            <w:r>
              <w:rPr>
                <w:color w:val="auto"/>
                <w:kern w:val="0"/>
                <w:sz w:val="21"/>
                <w:szCs w:val="21"/>
              </w:rPr>
              <w:t>0.1658</w:t>
            </w:r>
          </w:p>
        </w:tc>
        <w:tc>
          <w:tcPr>
            <w:tcW w:w="709" w:type="dxa"/>
            <w:vAlign w:val="center"/>
          </w:tcPr>
          <w:p>
            <w:pPr>
              <w:jc w:val="center"/>
              <w:rPr>
                <w:color w:val="auto"/>
                <w:sz w:val="21"/>
                <w:szCs w:val="22"/>
              </w:rPr>
            </w:pPr>
            <w:r>
              <w:rPr>
                <w:color w:val="auto"/>
                <w:kern w:val="0"/>
                <w:sz w:val="21"/>
                <w:szCs w:val="21"/>
              </w:rPr>
              <w:t>1.66</w:t>
            </w:r>
          </w:p>
        </w:tc>
        <w:tc>
          <w:tcPr>
            <w:tcW w:w="1364" w:type="dxa"/>
            <w:vAlign w:val="center"/>
          </w:tcPr>
          <w:p>
            <w:pPr>
              <w:jc w:val="center"/>
              <w:rPr>
                <w:color w:val="auto"/>
                <w:sz w:val="21"/>
                <w:szCs w:val="22"/>
              </w:rPr>
            </w:pPr>
            <w:r>
              <w:rPr>
                <w:color w:val="auto"/>
                <w:sz w:val="21"/>
                <w:szCs w:val="21"/>
              </w:rPr>
              <w:t>0.5528</w:t>
            </w:r>
          </w:p>
        </w:tc>
        <w:tc>
          <w:tcPr>
            <w:tcW w:w="984" w:type="dxa"/>
            <w:vAlign w:val="center"/>
          </w:tcPr>
          <w:p>
            <w:pPr>
              <w:jc w:val="center"/>
              <w:rPr>
                <w:color w:val="auto"/>
                <w:sz w:val="21"/>
                <w:szCs w:val="22"/>
              </w:rPr>
            </w:pPr>
            <w:r>
              <w:rPr>
                <w:color w:val="auto"/>
                <w:sz w:val="21"/>
                <w:szCs w:val="21"/>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1820</w:t>
            </w:r>
          </w:p>
        </w:tc>
        <w:tc>
          <w:tcPr>
            <w:tcW w:w="1276" w:type="dxa"/>
            <w:vAlign w:val="center"/>
          </w:tcPr>
          <w:p>
            <w:pPr>
              <w:jc w:val="center"/>
              <w:rPr>
                <w:color w:val="auto"/>
                <w:sz w:val="21"/>
                <w:szCs w:val="22"/>
              </w:rPr>
            </w:pPr>
            <w:r>
              <w:rPr>
                <w:color w:val="auto"/>
                <w:sz w:val="21"/>
                <w:szCs w:val="22"/>
              </w:rPr>
              <w:t>0.0143</w:t>
            </w:r>
          </w:p>
        </w:tc>
        <w:tc>
          <w:tcPr>
            <w:tcW w:w="709" w:type="dxa"/>
            <w:vAlign w:val="center"/>
          </w:tcPr>
          <w:p>
            <w:pPr>
              <w:jc w:val="center"/>
              <w:rPr>
                <w:color w:val="auto"/>
                <w:sz w:val="21"/>
                <w:szCs w:val="22"/>
              </w:rPr>
            </w:pPr>
            <w:r>
              <w:rPr>
                <w:color w:val="auto"/>
                <w:sz w:val="21"/>
                <w:szCs w:val="22"/>
              </w:rPr>
              <w:t>0.14</w:t>
            </w:r>
          </w:p>
        </w:tc>
        <w:tc>
          <w:tcPr>
            <w:tcW w:w="1276" w:type="dxa"/>
            <w:vAlign w:val="center"/>
          </w:tcPr>
          <w:p>
            <w:pPr>
              <w:jc w:val="center"/>
              <w:rPr>
                <w:color w:val="auto"/>
                <w:sz w:val="21"/>
                <w:szCs w:val="22"/>
              </w:rPr>
            </w:pPr>
            <w:r>
              <w:rPr>
                <w:color w:val="auto"/>
                <w:sz w:val="21"/>
                <w:szCs w:val="22"/>
              </w:rPr>
              <w:t>0.0714</w:t>
            </w:r>
          </w:p>
        </w:tc>
        <w:tc>
          <w:tcPr>
            <w:tcW w:w="708" w:type="dxa"/>
            <w:vAlign w:val="center"/>
          </w:tcPr>
          <w:p>
            <w:pPr>
              <w:jc w:val="center"/>
              <w:rPr>
                <w:color w:val="auto"/>
                <w:sz w:val="21"/>
                <w:szCs w:val="22"/>
              </w:rPr>
            </w:pPr>
            <w:r>
              <w:rPr>
                <w:color w:val="auto"/>
                <w:sz w:val="21"/>
                <w:szCs w:val="22"/>
              </w:rPr>
              <w:t>0.04</w:t>
            </w:r>
          </w:p>
        </w:tc>
        <w:tc>
          <w:tcPr>
            <w:tcW w:w="1276" w:type="dxa"/>
            <w:vAlign w:val="center"/>
          </w:tcPr>
          <w:p>
            <w:pPr>
              <w:jc w:val="center"/>
              <w:rPr>
                <w:color w:val="auto"/>
                <w:sz w:val="21"/>
                <w:szCs w:val="22"/>
              </w:rPr>
            </w:pPr>
            <w:r>
              <w:rPr>
                <w:color w:val="auto"/>
                <w:kern w:val="0"/>
                <w:sz w:val="21"/>
                <w:szCs w:val="21"/>
              </w:rPr>
              <w:t>0.1571</w:t>
            </w:r>
          </w:p>
        </w:tc>
        <w:tc>
          <w:tcPr>
            <w:tcW w:w="709" w:type="dxa"/>
            <w:vAlign w:val="center"/>
          </w:tcPr>
          <w:p>
            <w:pPr>
              <w:jc w:val="center"/>
              <w:rPr>
                <w:color w:val="auto"/>
                <w:sz w:val="21"/>
                <w:szCs w:val="22"/>
              </w:rPr>
            </w:pPr>
            <w:r>
              <w:rPr>
                <w:color w:val="auto"/>
                <w:kern w:val="0"/>
                <w:sz w:val="21"/>
                <w:szCs w:val="21"/>
              </w:rPr>
              <w:t>1.57</w:t>
            </w:r>
          </w:p>
        </w:tc>
        <w:tc>
          <w:tcPr>
            <w:tcW w:w="1364" w:type="dxa"/>
            <w:vAlign w:val="center"/>
          </w:tcPr>
          <w:p>
            <w:pPr>
              <w:jc w:val="center"/>
              <w:rPr>
                <w:color w:val="auto"/>
                <w:sz w:val="21"/>
                <w:szCs w:val="22"/>
              </w:rPr>
            </w:pPr>
            <w:r>
              <w:rPr>
                <w:color w:val="auto"/>
                <w:sz w:val="21"/>
                <w:szCs w:val="21"/>
              </w:rPr>
              <w:t>0.5236</w:t>
            </w:r>
          </w:p>
        </w:tc>
        <w:tc>
          <w:tcPr>
            <w:tcW w:w="984" w:type="dxa"/>
            <w:vAlign w:val="center"/>
          </w:tcPr>
          <w:p>
            <w:pPr>
              <w:jc w:val="center"/>
              <w:rPr>
                <w:color w:val="auto"/>
                <w:sz w:val="21"/>
                <w:szCs w:val="22"/>
              </w:rPr>
            </w:pPr>
            <w:r>
              <w:rPr>
                <w:color w:val="auto"/>
                <w:sz w:val="21"/>
                <w:szCs w:val="21"/>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1830</w:t>
            </w:r>
          </w:p>
        </w:tc>
        <w:tc>
          <w:tcPr>
            <w:tcW w:w="1276" w:type="dxa"/>
            <w:vAlign w:val="center"/>
          </w:tcPr>
          <w:p>
            <w:pPr>
              <w:jc w:val="center"/>
              <w:rPr>
                <w:color w:val="auto"/>
                <w:sz w:val="21"/>
                <w:szCs w:val="22"/>
              </w:rPr>
            </w:pPr>
            <w:r>
              <w:rPr>
                <w:color w:val="auto"/>
                <w:sz w:val="21"/>
                <w:szCs w:val="22"/>
              </w:rPr>
              <w:t>0.0142</w:t>
            </w:r>
          </w:p>
        </w:tc>
        <w:tc>
          <w:tcPr>
            <w:tcW w:w="709" w:type="dxa"/>
            <w:vAlign w:val="center"/>
          </w:tcPr>
          <w:p>
            <w:pPr>
              <w:jc w:val="center"/>
              <w:rPr>
                <w:color w:val="auto"/>
                <w:sz w:val="21"/>
                <w:szCs w:val="22"/>
              </w:rPr>
            </w:pPr>
            <w:r>
              <w:rPr>
                <w:color w:val="auto"/>
                <w:sz w:val="21"/>
                <w:szCs w:val="22"/>
              </w:rPr>
              <w:t>0.14</w:t>
            </w:r>
          </w:p>
        </w:tc>
        <w:tc>
          <w:tcPr>
            <w:tcW w:w="1276" w:type="dxa"/>
            <w:vAlign w:val="center"/>
          </w:tcPr>
          <w:p>
            <w:pPr>
              <w:jc w:val="center"/>
              <w:rPr>
                <w:color w:val="auto"/>
                <w:sz w:val="21"/>
                <w:szCs w:val="22"/>
              </w:rPr>
            </w:pPr>
            <w:r>
              <w:rPr>
                <w:color w:val="auto"/>
                <w:sz w:val="21"/>
                <w:szCs w:val="22"/>
              </w:rPr>
              <w:t>0.0710</w:t>
            </w:r>
          </w:p>
        </w:tc>
        <w:tc>
          <w:tcPr>
            <w:tcW w:w="708" w:type="dxa"/>
            <w:vAlign w:val="center"/>
          </w:tcPr>
          <w:p>
            <w:pPr>
              <w:jc w:val="center"/>
              <w:rPr>
                <w:color w:val="auto"/>
                <w:sz w:val="21"/>
                <w:szCs w:val="22"/>
              </w:rPr>
            </w:pPr>
            <w:r>
              <w:rPr>
                <w:color w:val="auto"/>
                <w:sz w:val="21"/>
                <w:szCs w:val="22"/>
              </w:rPr>
              <w:t>0.04</w:t>
            </w:r>
          </w:p>
        </w:tc>
        <w:tc>
          <w:tcPr>
            <w:tcW w:w="1276" w:type="dxa"/>
            <w:vAlign w:val="center"/>
          </w:tcPr>
          <w:p>
            <w:pPr>
              <w:jc w:val="center"/>
              <w:rPr>
                <w:color w:val="auto"/>
                <w:sz w:val="21"/>
                <w:szCs w:val="22"/>
              </w:rPr>
            </w:pPr>
            <w:r>
              <w:rPr>
                <w:color w:val="auto"/>
                <w:kern w:val="0"/>
                <w:sz w:val="21"/>
                <w:szCs w:val="21"/>
              </w:rPr>
              <w:t>0.1562</w:t>
            </w:r>
          </w:p>
        </w:tc>
        <w:tc>
          <w:tcPr>
            <w:tcW w:w="709" w:type="dxa"/>
            <w:vAlign w:val="center"/>
          </w:tcPr>
          <w:p>
            <w:pPr>
              <w:jc w:val="center"/>
              <w:rPr>
                <w:color w:val="auto"/>
                <w:sz w:val="21"/>
                <w:szCs w:val="22"/>
              </w:rPr>
            </w:pPr>
            <w:r>
              <w:rPr>
                <w:color w:val="auto"/>
                <w:kern w:val="0"/>
                <w:sz w:val="21"/>
                <w:szCs w:val="21"/>
              </w:rPr>
              <w:t>1.56</w:t>
            </w:r>
          </w:p>
        </w:tc>
        <w:tc>
          <w:tcPr>
            <w:tcW w:w="1364" w:type="dxa"/>
            <w:vAlign w:val="center"/>
          </w:tcPr>
          <w:p>
            <w:pPr>
              <w:jc w:val="center"/>
              <w:rPr>
                <w:color w:val="auto"/>
                <w:sz w:val="21"/>
                <w:szCs w:val="22"/>
              </w:rPr>
            </w:pPr>
            <w:r>
              <w:rPr>
                <w:color w:val="auto"/>
                <w:sz w:val="21"/>
                <w:szCs w:val="21"/>
              </w:rPr>
              <w:t>0.5208</w:t>
            </w:r>
          </w:p>
        </w:tc>
        <w:tc>
          <w:tcPr>
            <w:tcW w:w="984" w:type="dxa"/>
            <w:vAlign w:val="center"/>
          </w:tcPr>
          <w:p>
            <w:pPr>
              <w:jc w:val="center"/>
              <w:rPr>
                <w:color w:val="auto"/>
                <w:sz w:val="21"/>
                <w:szCs w:val="22"/>
              </w:rPr>
            </w:pPr>
            <w:r>
              <w:rPr>
                <w:color w:val="auto"/>
                <w:sz w:val="21"/>
                <w:szCs w:val="21"/>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1990</w:t>
            </w:r>
          </w:p>
        </w:tc>
        <w:tc>
          <w:tcPr>
            <w:tcW w:w="1276" w:type="dxa"/>
            <w:vAlign w:val="center"/>
          </w:tcPr>
          <w:p>
            <w:pPr>
              <w:jc w:val="center"/>
              <w:rPr>
                <w:color w:val="auto"/>
                <w:sz w:val="21"/>
                <w:szCs w:val="22"/>
              </w:rPr>
            </w:pPr>
            <w:r>
              <w:rPr>
                <w:color w:val="auto"/>
                <w:sz w:val="21"/>
                <w:szCs w:val="22"/>
              </w:rPr>
              <w:t>0.0131</w:t>
            </w:r>
          </w:p>
        </w:tc>
        <w:tc>
          <w:tcPr>
            <w:tcW w:w="709" w:type="dxa"/>
            <w:vAlign w:val="center"/>
          </w:tcPr>
          <w:p>
            <w:pPr>
              <w:jc w:val="center"/>
              <w:rPr>
                <w:color w:val="auto"/>
                <w:sz w:val="21"/>
                <w:szCs w:val="22"/>
              </w:rPr>
            </w:pPr>
            <w:r>
              <w:rPr>
                <w:color w:val="auto"/>
                <w:sz w:val="21"/>
                <w:szCs w:val="22"/>
              </w:rPr>
              <w:t>0.13</w:t>
            </w:r>
          </w:p>
        </w:tc>
        <w:tc>
          <w:tcPr>
            <w:tcW w:w="1276" w:type="dxa"/>
            <w:vAlign w:val="center"/>
          </w:tcPr>
          <w:p>
            <w:pPr>
              <w:jc w:val="center"/>
              <w:rPr>
                <w:color w:val="auto"/>
                <w:sz w:val="21"/>
                <w:szCs w:val="22"/>
              </w:rPr>
            </w:pPr>
            <w:r>
              <w:rPr>
                <w:color w:val="auto"/>
                <w:sz w:val="21"/>
                <w:szCs w:val="22"/>
              </w:rPr>
              <w:t>0.0653</w:t>
            </w:r>
          </w:p>
        </w:tc>
        <w:tc>
          <w:tcPr>
            <w:tcW w:w="708" w:type="dxa"/>
            <w:vAlign w:val="center"/>
          </w:tcPr>
          <w:p>
            <w:pPr>
              <w:jc w:val="center"/>
              <w:rPr>
                <w:color w:val="auto"/>
                <w:sz w:val="21"/>
                <w:szCs w:val="22"/>
              </w:rPr>
            </w:pPr>
            <w:r>
              <w:rPr>
                <w:color w:val="auto"/>
                <w:sz w:val="21"/>
                <w:szCs w:val="22"/>
              </w:rPr>
              <w:t>0.03</w:t>
            </w:r>
          </w:p>
        </w:tc>
        <w:tc>
          <w:tcPr>
            <w:tcW w:w="1276" w:type="dxa"/>
            <w:vAlign w:val="center"/>
          </w:tcPr>
          <w:p>
            <w:pPr>
              <w:jc w:val="center"/>
              <w:rPr>
                <w:color w:val="auto"/>
                <w:sz w:val="21"/>
                <w:szCs w:val="22"/>
              </w:rPr>
            </w:pPr>
            <w:r>
              <w:rPr>
                <w:color w:val="auto"/>
                <w:kern w:val="0"/>
                <w:sz w:val="21"/>
                <w:szCs w:val="21"/>
              </w:rPr>
              <w:t>0.1437</w:t>
            </w:r>
          </w:p>
        </w:tc>
        <w:tc>
          <w:tcPr>
            <w:tcW w:w="709" w:type="dxa"/>
            <w:vAlign w:val="center"/>
          </w:tcPr>
          <w:p>
            <w:pPr>
              <w:jc w:val="center"/>
              <w:rPr>
                <w:color w:val="auto"/>
                <w:sz w:val="21"/>
                <w:szCs w:val="22"/>
              </w:rPr>
            </w:pPr>
            <w:r>
              <w:rPr>
                <w:color w:val="auto"/>
                <w:kern w:val="0"/>
                <w:sz w:val="21"/>
                <w:szCs w:val="21"/>
              </w:rPr>
              <w:t>1.44</w:t>
            </w:r>
          </w:p>
        </w:tc>
        <w:tc>
          <w:tcPr>
            <w:tcW w:w="1364" w:type="dxa"/>
            <w:vAlign w:val="center"/>
          </w:tcPr>
          <w:p>
            <w:pPr>
              <w:jc w:val="center"/>
              <w:rPr>
                <w:color w:val="auto"/>
                <w:sz w:val="21"/>
                <w:szCs w:val="22"/>
              </w:rPr>
            </w:pPr>
            <w:r>
              <w:rPr>
                <w:color w:val="auto"/>
                <w:sz w:val="21"/>
                <w:szCs w:val="21"/>
              </w:rPr>
              <w:t>0.4791</w:t>
            </w:r>
          </w:p>
        </w:tc>
        <w:tc>
          <w:tcPr>
            <w:tcW w:w="984" w:type="dxa"/>
            <w:vAlign w:val="center"/>
          </w:tcPr>
          <w:p>
            <w:pPr>
              <w:jc w:val="center"/>
              <w:rPr>
                <w:color w:val="auto"/>
                <w:sz w:val="21"/>
                <w:szCs w:val="22"/>
              </w:rPr>
            </w:pPr>
            <w:r>
              <w:rPr>
                <w:color w:val="auto"/>
                <w:sz w:val="21"/>
                <w:szCs w:val="21"/>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color w:val="auto"/>
                <w:sz w:val="21"/>
                <w:szCs w:val="21"/>
              </w:rPr>
            </w:pPr>
            <w:r>
              <w:rPr>
                <w:color w:val="auto"/>
                <w:sz w:val="21"/>
                <w:szCs w:val="21"/>
              </w:rPr>
              <w:t>2100</w:t>
            </w:r>
          </w:p>
        </w:tc>
        <w:tc>
          <w:tcPr>
            <w:tcW w:w="1276" w:type="dxa"/>
            <w:vAlign w:val="center"/>
          </w:tcPr>
          <w:p>
            <w:pPr>
              <w:jc w:val="center"/>
              <w:rPr>
                <w:color w:val="auto"/>
                <w:sz w:val="21"/>
                <w:szCs w:val="22"/>
              </w:rPr>
            </w:pPr>
            <w:r>
              <w:rPr>
                <w:color w:val="auto"/>
                <w:sz w:val="21"/>
                <w:szCs w:val="22"/>
              </w:rPr>
              <w:t>0.0124</w:t>
            </w:r>
          </w:p>
        </w:tc>
        <w:tc>
          <w:tcPr>
            <w:tcW w:w="709" w:type="dxa"/>
            <w:vAlign w:val="center"/>
          </w:tcPr>
          <w:p>
            <w:pPr>
              <w:jc w:val="center"/>
              <w:rPr>
                <w:color w:val="auto"/>
                <w:sz w:val="21"/>
                <w:szCs w:val="22"/>
              </w:rPr>
            </w:pPr>
            <w:r>
              <w:rPr>
                <w:color w:val="auto"/>
                <w:sz w:val="21"/>
                <w:szCs w:val="22"/>
              </w:rPr>
              <w:t>0.12</w:t>
            </w:r>
          </w:p>
        </w:tc>
        <w:tc>
          <w:tcPr>
            <w:tcW w:w="1276" w:type="dxa"/>
            <w:vAlign w:val="center"/>
          </w:tcPr>
          <w:p>
            <w:pPr>
              <w:jc w:val="center"/>
              <w:rPr>
                <w:color w:val="auto"/>
                <w:sz w:val="21"/>
                <w:szCs w:val="22"/>
              </w:rPr>
            </w:pPr>
            <w:r>
              <w:rPr>
                <w:color w:val="auto"/>
                <w:sz w:val="21"/>
                <w:szCs w:val="22"/>
              </w:rPr>
              <w:t>0.0618</w:t>
            </w:r>
          </w:p>
        </w:tc>
        <w:tc>
          <w:tcPr>
            <w:tcW w:w="708" w:type="dxa"/>
            <w:vAlign w:val="center"/>
          </w:tcPr>
          <w:p>
            <w:pPr>
              <w:jc w:val="center"/>
              <w:rPr>
                <w:color w:val="auto"/>
                <w:sz w:val="21"/>
                <w:szCs w:val="22"/>
              </w:rPr>
            </w:pPr>
            <w:r>
              <w:rPr>
                <w:color w:val="auto"/>
                <w:sz w:val="21"/>
                <w:szCs w:val="22"/>
              </w:rPr>
              <w:t>0.03</w:t>
            </w:r>
          </w:p>
        </w:tc>
        <w:tc>
          <w:tcPr>
            <w:tcW w:w="1276" w:type="dxa"/>
            <w:vAlign w:val="center"/>
          </w:tcPr>
          <w:p>
            <w:pPr>
              <w:jc w:val="center"/>
              <w:rPr>
                <w:color w:val="auto"/>
                <w:sz w:val="21"/>
                <w:szCs w:val="22"/>
              </w:rPr>
            </w:pPr>
            <w:r>
              <w:rPr>
                <w:color w:val="auto"/>
                <w:kern w:val="0"/>
                <w:sz w:val="21"/>
                <w:szCs w:val="21"/>
              </w:rPr>
              <w:t>0.1360</w:t>
            </w:r>
          </w:p>
        </w:tc>
        <w:tc>
          <w:tcPr>
            <w:tcW w:w="709" w:type="dxa"/>
            <w:vAlign w:val="center"/>
          </w:tcPr>
          <w:p>
            <w:pPr>
              <w:jc w:val="center"/>
              <w:rPr>
                <w:color w:val="auto"/>
                <w:sz w:val="21"/>
                <w:szCs w:val="22"/>
              </w:rPr>
            </w:pPr>
            <w:r>
              <w:rPr>
                <w:color w:val="auto"/>
                <w:kern w:val="0"/>
                <w:sz w:val="21"/>
                <w:szCs w:val="21"/>
              </w:rPr>
              <w:t>1.36</w:t>
            </w:r>
          </w:p>
        </w:tc>
        <w:tc>
          <w:tcPr>
            <w:tcW w:w="1364" w:type="dxa"/>
            <w:vAlign w:val="center"/>
          </w:tcPr>
          <w:p>
            <w:pPr>
              <w:jc w:val="center"/>
              <w:rPr>
                <w:color w:val="auto"/>
                <w:sz w:val="21"/>
                <w:szCs w:val="22"/>
              </w:rPr>
            </w:pPr>
            <w:r>
              <w:rPr>
                <w:color w:val="auto"/>
                <w:sz w:val="21"/>
                <w:szCs w:val="21"/>
              </w:rPr>
              <w:t>0.4534</w:t>
            </w:r>
          </w:p>
        </w:tc>
        <w:tc>
          <w:tcPr>
            <w:tcW w:w="984" w:type="dxa"/>
            <w:vAlign w:val="center"/>
          </w:tcPr>
          <w:p>
            <w:pPr>
              <w:jc w:val="center"/>
              <w:rPr>
                <w:color w:val="auto"/>
                <w:sz w:val="21"/>
                <w:szCs w:val="22"/>
              </w:rPr>
            </w:pPr>
            <w:r>
              <w:rPr>
                <w:color w:val="auto"/>
                <w:sz w:val="21"/>
                <w:szCs w:val="21"/>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color w:val="auto"/>
                <w:sz w:val="21"/>
                <w:szCs w:val="21"/>
              </w:rPr>
            </w:pPr>
            <w:r>
              <w:rPr>
                <w:color w:val="auto"/>
                <w:sz w:val="21"/>
                <w:szCs w:val="21"/>
              </w:rPr>
              <w:t>2220</w:t>
            </w:r>
          </w:p>
        </w:tc>
        <w:tc>
          <w:tcPr>
            <w:tcW w:w="1276" w:type="dxa"/>
            <w:vAlign w:val="center"/>
          </w:tcPr>
          <w:p>
            <w:pPr>
              <w:jc w:val="center"/>
              <w:rPr>
                <w:color w:val="auto"/>
                <w:sz w:val="21"/>
                <w:szCs w:val="22"/>
              </w:rPr>
            </w:pPr>
            <w:r>
              <w:rPr>
                <w:color w:val="auto"/>
                <w:sz w:val="21"/>
                <w:szCs w:val="22"/>
              </w:rPr>
              <w:t>0.0118</w:t>
            </w:r>
          </w:p>
        </w:tc>
        <w:tc>
          <w:tcPr>
            <w:tcW w:w="709" w:type="dxa"/>
            <w:vAlign w:val="center"/>
          </w:tcPr>
          <w:p>
            <w:pPr>
              <w:jc w:val="center"/>
              <w:rPr>
                <w:color w:val="auto"/>
                <w:sz w:val="21"/>
                <w:szCs w:val="22"/>
              </w:rPr>
            </w:pPr>
            <w:r>
              <w:rPr>
                <w:rFonts w:hint="eastAsia"/>
                <w:color w:val="auto"/>
                <w:sz w:val="21"/>
                <w:szCs w:val="22"/>
              </w:rPr>
              <w:t>0.12</w:t>
            </w:r>
          </w:p>
        </w:tc>
        <w:tc>
          <w:tcPr>
            <w:tcW w:w="1276" w:type="dxa"/>
            <w:vAlign w:val="center"/>
          </w:tcPr>
          <w:p>
            <w:pPr>
              <w:jc w:val="center"/>
              <w:rPr>
                <w:color w:val="auto"/>
                <w:sz w:val="21"/>
                <w:szCs w:val="22"/>
              </w:rPr>
            </w:pPr>
            <w:r>
              <w:rPr>
                <w:color w:val="auto"/>
                <w:sz w:val="21"/>
                <w:szCs w:val="22"/>
              </w:rPr>
              <w:t>0.0589</w:t>
            </w:r>
          </w:p>
        </w:tc>
        <w:tc>
          <w:tcPr>
            <w:tcW w:w="708" w:type="dxa"/>
            <w:vAlign w:val="center"/>
          </w:tcPr>
          <w:p>
            <w:pPr>
              <w:jc w:val="center"/>
              <w:rPr>
                <w:color w:val="auto"/>
                <w:sz w:val="21"/>
                <w:szCs w:val="22"/>
              </w:rPr>
            </w:pPr>
            <w:r>
              <w:rPr>
                <w:rFonts w:hint="eastAsia"/>
                <w:color w:val="auto"/>
                <w:sz w:val="21"/>
                <w:szCs w:val="22"/>
              </w:rPr>
              <w:t>0.03</w:t>
            </w:r>
          </w:p>
        </w:tc>
        <w:tc>
          <w:tcPr>
            <w:tcW w:w="1276" w:type="dxa"/>
            <w:vAlign w:val="center"/>
          </w:tcPr>
          <w:p>
            <w:pPr>
              <w:jc w:val="center"/>
              <w:rPr>
                <w:color w:val="auto"/>
                <w:sz w:val="21"/>
                <w:szCs w:val="22"/>
              </w:rPr>
            </w:pPr>
            <w:r>
              <w:rPr>
                <w:color w:val="auto"/>
                <w:kern w:val="0"/>
                <w:sz w:val="21"/>
                <w:szCs w:val="21"/>
              </w:rPr>
              <w:t>0.1296</w:t>
            </w:r>
          </w:p>
        </w:tc>
        <w:tc>
          <w:tcPr>
            <w:tcW w:w="709" w:type="dxa"/>
            <w:vAlign w:val="center"/>
          </w:tcPr>
          <w:p>
            <w:pPr>
              <w:jc w:val="center"/>
              <w:rPr>
                <w:color w:val="auto"/>
                <w:sz w:val="21"/>
                <w:szCs w:val="22"/>
              </w:rPr>
            </w:pPr>
            <w:r>
              <w:rPr>
                <w:color w:val="auto"/>
                <w:kern w:val="0"/>
                <w:sz w:val="21"/>
                <w:szCs w:val="21"/>
              </w:rPr>
              <w:t>1.30</w:t>
            </w:r>
          </w:p>
        </w:tc>
        <w:tc>
          <w:tcPr>
            <w:tcW w:w="1364" w:type="dxa"/>
            <w:vAlign w:val="center"/>
          </w:tcPr>
          <w:p>
            <w:pPr>
              <w:jc w:val="center"/>
              <w:rPr>
                <w:color w:val="auto"/>
                <w:sz w:val="21"/>
                <w:szCs w:val="22"/>
              </w:rPr>
            </w:pPr>
            <w:r>
              <w:rPr>
                <w:color w:val="auto"/>
                <w:sz w:val="21"/>
                <w:szCs w:val="21"/>
              </w:rPr>
              <w:t>0.4319</w:t>
            </w:r>
          </w:p>
        </w:tc>
        <w:tc>
          <w:tcPr>
            <w:tcW w:w="984" w:type="dxa"/>
            <w:vAlign w:val="center"/>
          </w:tcPr>
          <w:p>
            <w:pPr>
              <w:jc w:val="center"/>
              <w:rPr>
                <w:color w:val="auto"/>
                <w:sz w:val="21"/>
                <w:szCs w:val="22"/>
              </w:rPr>
            </w:pPr>
            <w:r>
              <w:rPr>
                <w:color w:val="auto"/>
                <w:sz w:val="21"/>
                <w:szCs w:val="21"/>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25"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下风向最大质量浓度及占标</w:t>
            </w:r>
          </w:p>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率（</w:t>
            </w:r>
            <w:r>
              <w:rPr>
                <w:rFonts w:ascii="Times New Roman" w:hAnsi="Times New Roman" w:eastAsia="宋体"/>
                <w:color w:val="auto"/>
                <w:sz w:val="21"/>
                <w:szCs w:val="21"/>
              </w:rPr>
              <w:t>%</w:t>
            </w:r>
            <w:r>
              <w:rPr>
                <w:rFonts w:ascii="Times New Roman" w:hAnsi="宋体" w:eastAsia="宋体"/>
                <w:color w:val="auto"/>
                <w:sz w:val="21"/>
                <w:szCs w:val="21"/>
              </w:rPr>
              <w:t>）</w:t>
            </w:r>
          </w:p>
        </w:tc>
        <w:tc>
          <w:tcPr>
            <w:tcW w:w="1276" w:type="dxa"/>
            <w:vAlign w:val="center"/>
          </w:tcPr>
          <w:p>
            <w:pPr>
              <w:jc w:val="center"/>
              <w:rPr>
                <w:color w:val="auto"/>
                <w:sz w:val="21"/>
                <w:szCs w:val="21"/>
              </w:rPr>
            </w:pPr>
            <w:r>
              <w:rPr>
                <w:rFonts w:hint="eastAsia"/>
                <w:color w:val="auto"/>
                <w:sz w:val="21"/>
                <w:szCs w:val="21"/>
              </w:rPr>
              <w:t>0.0673</w:t>
            </w:r>
          </w:p>
          <w:p>
            <w:pPr>
              <w:jc w:val="center"/>
              <w:rPr>
                <w:color w:val="auto"/>
                <w:sz w:val="21"/>
                <w:szCs w:val="21"/>
              </w:rPr>
            </w:pPr>
            <w:r>
              <w:rPr>
                <w:rFonts w:hint="eastAsia"/>
                <w:color w:val="auto"/>
                <w:sz w:val="21"/>
                <w:szCs w:val="21"/>
              </w:rPr>
              <w:t>（离源距离74m）</w:t>
            </w:r>
          </w:p>
        </w:tc>
        <w:tc>
          <w:tcPr>
            <w:tcW w:w="709" w:type="dxa"/>
            <w:vAlign w:val="center"/>
          </w:tcPr>
          <w:p>
            <w:pPr>
              <w:jc w:val="center"/>
              <w:rPr>
                <w:color w:val="auto"/>
                <w:sz w:val="21"/>
                <w:szCs w:val="21"/>
              </w:rPr>
            </w:pPr>
            <w:r>
              <w:rPr>
                <w:rFonts w:hint="eastAsia"/>
                <w:color w:val="auto"/>
                <w:sz w:val="21"/>
                <w:szCs w:val="21"/>
              </w:rPr>
              <w:t>0.67</w:t>
            </w:r>
          </w:p>
        </w:tc>
        <w:tc>
          <w:tcPr>
            <w:tcW w:w="1276" w:type="dxa"/>
            <w:vAlign w:val="center"/>
          </w:tcPr>
          <w:p>
            <w:pPr>
              <w:jc w:val="center"/>
              <w:rPr>
                <w:color w:val="auto"/>
                <w:sz w:val="21"/>
                <w:szCs w:val="21"/>
              </w:rPr>
            </w:pPr>
            <w:r>
              <w:rPr>
                <w:rFonts w:hint="eastAsia"/>
                <w:color w:val="auto"/>
                <w:sz w:val="21"/>
                <w:szCs w:val="21"/>
              </w:rPr>
              <w:t>0.3367</w:t>
            </w:r>
          </w:p>
          <w:p>
            <w:pPr>
              <w:jc w:val="center"/>
              <w:rPr>
                <w:color w:val="auto"/>
                <w:sz w:val="21"/>
                <w:szCs w:val="21"/>
              </w:rPr>
            </w:pPr>
            <w:r>
              <w:rPr>
                <w:rFonts w:hint="eastAsia"/>
                <w:color w:val="auto"/>
                <w:sz w:val="21"/>
                <w:szCs w:val="21"/>
              </w:rPr>
              <w:t>（离源距离74m）</w:t>
            </w:r>
          </w:p>
        </w:tc>
        <w:tc>
          <w:tcPr>
            <w:tcW w:w="708" w:type="dxa"/>
            <w:vAlign w:val="center"/>
          </w:tcPr>
          <w:p>
            <w:pPr>
              <w:jc w:val="center"/>
              <w:rPr>
                <w:color w:val="auto"/>
                <w:sz w:val="21"/>
                <w:szCs w:val="21"/>
              </w:rPr>
            </w:pPr>
            <w:r>
              <w:rPr>
                <w:rFonts w:hint="eastAsia"/>
                <w:color w:val="auto"/>
                <w:sz w:val="21"/>
                <w:szCs w:val="21"/>
              </w:rPr>
              <w:t>0.17</w:t>
            </w:r>
          </w:p>
        </w:tc>
        <w:tc>
          <w:tcPr>
            <w:tcW w:w="1276" w:type="dxa"/>
            <w:vAlign w:val="center"/>
          </w:tcPr>
          <w:p>
            <w:pPr>
              <w:jc w:val="center"/>
              <w:rPr>
                <w:color w:val="auto"/>
                <w:sz w:val="21"/>
                <w:szCs w:val="21"/>
              </w:rPr>
            </w:pPr>
            <w:r>
              <w:rPr>
                <w:rFonts w:hint="eastAsia"/>
                <w:color w:val="auto"/>
                <w:sz w:val="21"/>
                <w:szCs w:val="21"/>
              </w:rPr>
              <w:t>0.5507</w:t>
            </w:r>
          </w:p>
          <w:p>
            <w:pPr>
              <w:jc w:val="center"/>
              <w:rPr>
                <w:color w:val="auto"/>
                <w:sz w:val="21"/>
                <w:szCs w:val="21"/>
              </w:rPr>
            </w:pPr>
            <w:r>
              <w:rPr>
                <w:rFonts w:hint="eastAsia"/>
                <w:color w:val="auto"/>
                <w:sz w:val="21"/>
                <w:szCs w:val="21"/>
              </w:rPr>
              <w:t>（离源距离94m）</w:t>
            </w:r>
          </w:p>
        </w:tc>
        <w:tc>
          <w:tcPr>
            <w:tcW w:w="709" w:type="dxa"/>
            <w:vAlign w:val="center"/>
          </w:tcPr>
          <w:p>
            <w:pPr>
              <w:jc w:val="center"/>
              <w:rPr>
                <w:color w:val="auto"/>
                <w:sz w:val="21"/>
                <w:szCs w:val="21"/>
              </w:rPr>
            </w:pPr>
            <w:r>
              <w:rPr>
                <w:rFonts w:hint="eastAsia"/>
                <w:color w:val="auto"/>
                <w:sz w:val="21"/>
                <w:szCs w:val="21"/>
              </w:rPr>
              <w:t>5.51</w:t>
            </w:r>
          </w:p>
        </w:tc>
        <w:tc>
          <w:tcPr>
            <w:tcW w:w="1364" w:type="dxa"/>
            <w:vAlign w:val="center"/>
          </w:tcPr>
          <w:p>
            <w:pPr>
              <w:jc w:val="center"/>
              <w:rPr>
                <w:color w:val="auto"/>
                <w:sz w:val="21"/>
                <w:szCs w:val="21"/>
              </w:rPr>
            </w:pPr>
            <w:r>
              <w:rPr>
                <w:rFonts w:hint="eastAsia"/>
                <w:color w:val="auto"/>
                <w:sz w:val="21"/>
                <w:szCs w:val="21"/>
              </w:rPr>
              <w:t>1.8356</w:t>
            </w:r>
          </w:p>
          <w:p>
            <w:pPr>
              <w:jc w:val="center"/>
              <w:rPr>
                <w:color w:val="auto"/>
                <w:sz w:val="21"/>
                <w:szCs w:val="21"/>
              </w:rPr>
            </w:pPr>
            <w:r>
              <w:rPr>
                <w:rFonts w:hint="eastAsia"/>
                <w:color w:val="auto"/>
                <w:sz w:val="21"/>
                <w:szCs w:val="21"/>
              </w:rPr>
              <w:t>（离源距离94m）</w:t>
            </w:r>
          </w:p>
        </w:tc>
        <w:tc>
          <w:tcPr>
            <w:tcW w:w="984" w:type="dxa"/>
            <w:vAlign w:val="center"/>
          </w:tcPr>
          <w:p>
            <w:pPr>
              <w:jc w:val="center"/>
              <w:rPr>
                <w:color w:val="auto"/>
                <w:sz w:val="21"/>
                <w:szCs w:val="21"/>
              </w:rPr>
            </w:pPr>
            <w:r>
              <w:rPr>
                <w:rFonts w:hint="eastAsia"/>
                <w:color w:val="auto"/>
                <w:sz w:val="21"/>
                <w:szCs w:val="21"/>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125" w:type="dxa"/>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D10%</w:t>
            </w:r>
            <w:r>
              <w:rPr>
                <w:rFonts w:ascii="Times New Roman" w:hAnsi="宋体" w:eastAsia="宋体"/>
                <w:color w:val="auto"/>
                <w:sz w:val="21"/>
                <w:szCs w:val="21"/>
              </w:rPr>
              <w:t>最</w:t>
            </w:r>
          </w:p>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远距离</w:t>
            </w:r>
            <w:r>
              <w:rPr>
                <w:rFonts w:ascii="Times New Roman" w:hAnsi="Times New Roman" w:eastAsia="宋体"/>
                <w:color w:val="auto"/>
                <w:sz w:val="21"/>
                <w:szCs w:val="21"/>
              </w:rPr>
              <w:t>/m</w:t>
            </w:r>
          </w:p>
        </w:tc>
        <w:tc>
          <w:tcPr>
            <w:tcW w:w="1985" w:type="dxa"/>
            <w:gridSpan w:val="2"/>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≤0</w:t>
            </w:r>
          </w:p>
        </w:tc>
        <w:tc>
          <w:tcPr>
            <w:tcW w:w="1984" w:type="dxa"/>
            <w:gridSpan w:val="2"/>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≤0</w:t>
            </w:r>
          </w:p>
        </w:tc>
        <w:tc>
          <w:tcPr>
            <w:tcW w:w="1985" w:type="dxa"/>
            <w:gridSpan w:val="2"/>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≤0</w:t>
            </w:r>
          </w:p>
        </w:tc>
        <w:tc>
          <w:tcPr>
            <w:tcW w:w="2348" w:type="dxa"/>
            <w:gridSpan w:val="2"/>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125"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评价等级</w:t>
            </w:r>
          </w:p>
        </w:tc>
        <w:tc>
          <w:tcPr>
            <w:tcW w:w="1985" w:type="dxa"/>
            <w:gridSpan w:val="2"/>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三级</w:t>
            </w:r>
          </w:p>
        </w:tc>
        <w:tc>
          <w:tcPr>
            <w:tcW w:w="1984" w:type="dxa"/>
            <w:gridSpan w:val="2"/>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三级</w:t>
            </w:r>
          </w:p>
        </w:tc>
        <w:tc>
          <w:tcPr>
            <w:tcW w:w="1985" w:type="dxa"/>
            <w:gridSpan w:val="2"/>
            <w:vAlign w:val="center"/>
          </w:tcPr>
          <w:p>
            <w:pPr>
              <w:pStyle w:val="49"/>
              <w:spacing w:line="240" w:lineRule="auto"/>
              <w:rPr>
                <w:rFonts w:ascii="Times New Roman" w:hAnsi="宋体" w:eastAsia="宋体"/>
                <w:color w:val="auto"/>
                <w:sz w:val="21"/>
                <w:szCs w:val="21"/>
              </w:rPr>
            </w:pPr>
            <w:r>
              <w:rPr>
                <w:rFonts w:hint="eastAsia" w:ascii="Times New Roman" w:hAnsi="宋体" w:eastAsia="宋体"/>
                <w:color w:val="auto"/>
                <w:sz w:val="21"/>
                <w:szCs w:val="21"/>
              </w:rPr>
              <w:t>二级</w:t>
            </w:r>
          </w:p>
        </w:tc>
        <w:tc>
          <w:tcPr>
            <w:tcW w:w="2348" w:type="dxa"/>
            <w:gridSpan w:val="2"/>
            <w:vAlign w:val="center"/>
          </w:tcPr>
          <w:p>
            <w:pPr>
              <w:pStyle w:val="49"/>
              <w:spacing w:line="240" w:lineRule="auto"/>
              <w:rPr>
                <w:rFonts w:ascii="Times New Roman" w:hAnsi="宋体" w:eastAsia="宋体"/>
                <w:color w:val="auto"/>
                <w:sz w:val="21"/>
                <w:szCs w:val="21"/>
              </w:rPr>
            </w:pPr>
            <w:r>
              <w:rPr>
                <w:rFonts w:ascii="Times New Roman" w:hAnsi="宋体" w:eastAsia="宋体"/>
                <w:color w:val="auto"/>
                <w:sz w:val="21"/>
                <w:szCs w:val="21"/>
              </w:rPr>
              <w:t>三级</w:t>
            </w:r>
          </w:p>
        </w:tc>
      </w:tr>
    </w:tbl>
    <w:p>
      <w:pPr>
        <w:pStyle w:val="47"/>
        <w:spacing w:beforeLines="50" w:afterLines="50"/>
        <w:rPr>
          <w:rFonts w:ascii="Times New Roman" w:hAnsi="宋体" w:eastAsia="宋体"/>
          <w:b/>
          <w:color w:val="auto"/>
          <w:sz w:val="24"/>
        </w:rPr>
      </w:pPr>
    </w:p>
    <w:p>
      <w:pPr>
        <w:pStyle w:val="47"/>
        <w:spacing w:beforeLines="50" w:afterLines="50"/>
        <w:rPr>
          <w:rFonts w:ascii="Times New Roman" w:hAnsi="宋体" w:eastAsia="宋体"/>
          <w:b/>
          <w:color w:val="auto"/>
          <w:sz w:val="24"/>
        </w:rPr>
      </w:pPr>
    </w:p>
    <w:p>
      <w:pPr>
        <w:pStyle w:val="47"/>
        <w:spacing w:beforeLines="50" w:afterLines="50"/>
        <w:rPr>
          <w:rFonts w:ascii="Times New Roman" w:hAnsi="宋体" w:eastAsia="宋体"/>
          <w:b/>
          <w:color w:val="auto"/>
          <w:sz w:val="24"/>
        </w:rPr>
      </w:pPr>
    </w:p>
    <w:p>
      <w:pPr>
        <w:pStyle w:val="47"/>
        <w:spacing w:beforeLines="50" w:afterLines="50"/>
        <w:rPr>
          <w:rFonts w:ascii="Times New Roman" w:hAnsi="宋体" w:eastAsia="宋体"/>
          <w:b/>
          <w:color w:val="auto"/>
          <w:sz w:val="24"/>
        </w:rPr>
      </w:pPr>
      <w:r>
        <w:rPr>
          <w:rFonts w:hint="eastAsia" w:ascii="Times New Roman" w:hAnsi="宋体" w:eastAsia="宋体"/>
          <w:b/>
          <w:color w:val="auto"/>
          <w:sz w:val="24"/>
        </w:rPr>
        <w:t xml:space="preserve">表5-2-11   </w:t>
      </w:r>
      <w:r>
        <w:rPr>
          <w:rFonts w:ascii="Times New Roman" w:hAnsi="宋体" w:eastAsia="宋体"/>
          <w:b/>
          <w:color w:val="auto"/>
          <w:sz w:val="24"/>
        </w:rPr>
        <w:t>项目主要污染源估算模型计算结果表</w:t>
      </w:r>
      <w:r>
        <w:rPr>
          <w:rFonts w:hint="eastAsia" w:ascii="Times New Roman" w:hAnsi="宋体" w:eastAsia="宋体"/>
          <w:b/>
          <w:color w:val="auto"/>
          <w:sz w:val="24"/>
        </w:rPr>
        <w:t>（无组织）</w:t>
      </w:r>
    </w:p>
    <w:tbl>
      <w:tblPr>
        <w:tblStyle w:val="28"/>
        <w:tblW w:w="82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2375"/>
        <w:gridCol w:w="1134"/>
        <w:gridCol w:w="2410"/>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25" w:type="dxa"/>
            <w:vMerge w:val="restart"/>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下风向距离</w:t>
            </w:r>
            <w:r>
              <w:rPr>
                <w:rFonts w:ascii="Times New Roman" w:hAnsi="Times New Roman" w:eastAsia="宋体"/>
                <w:b/>
                <w:color w:val="auto"/>
                <w:sz w:val="21"/>
                <w:szCs w:val="21"/>
              </w:rPr>
              <w:t>/m</w:t>
            </w:r>
          </w:p>
        </w:tc>
        <w:tc>
          <w:tcPr>
            <w:tcW w:w="7098" w:type="dxa"/>
            <w:gridSpan w:val="4"/>
            <w:vAlign w:val="center"/>
          </w:tcPr>
          <w:p>
            <w:pPr>
              <w:jc w:val="center"/>
              <w:rPr>
                <w:b/>
                <w:color w:val="auto"/>
                <w:sz w:val="21"/>
                <w:szCs w:val="21"/>
              </w:rPr>
            </w:pPr>
            <w:r>
              <w:rPr>
                <w:rFonts w:hint="eastAsia"/>
                <w:b/>
                <w:color w:val="auto"/>
                <w:sz w:val="21"/>
                <w:szCs w:val="21"/>
              </w:rPr>
              <w:t>生化处理区域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25" w:type="dxa"/>
            <w:vMerge w:val="continue"/>
            <w:vAlign w:val="center"/>
          </w:tcPr>
          <w:p>
            <w:pPr>
              <w:pStyle w:val="49"/>
              <w:spacing w:line="240" w:lineRule="auto"/>
              <w:rPr>
                <w:rFonts w:ascii="Times New Roman" w:hAnsi="宋体" w:eastAsia="宋体"/>
                <w:b/>
                <w:color w:val="auto"/>
                <w:sz w:val="21"/>
                <w:szCs w:val="21"/>
              </w:rPr>
            </w:pPr>
          </w:p>
        </w:tc>
        <w:tc>
          <w:tcPr>
            <w:tcW w:w="3509" w:type="dxa"/>
            <w:gridSpan w:val="2"/>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H</w:t>
            </w:r>
            <w:r>
              <w:rPr>
                <w:rFonts w:ascii="Times New Roman" w:hAnsi="Times New Roman" w:eastAsia="宋体"/>
                <w:b/>
                <w:color w:val="auto"/>
                <w:sz w:val="21"/>
                <w:szCs w:val="21"/>
                <w:vertAlign w:val="subscript"/>
              </w:rPr>
              <w:t>2</w:t>
            </w:r>
            <w:r>
              <w:rPr>
                <w:rFonts w:ascii="Times New Roman" w:hAnsi="Times New Roman" w:eastAsia="宋体"/>
                <w:b/>
                <w:color w:val="auto"/>
                <w:sz w:val="21"/>
                <w:szCs w:val="21"/>
              </w:rPr>
              <w:t>S</w:t>
            </w:r>
          </w:p>
        </w:tc>
        <w:tc>
          <w:tcPr>
            <w:tcW w:w="3589" w:type="dxa"/>
            <w:gridSpan w:val="2"/>
            <w:vAlign w:val="center"/>
          </w:tcPr>
          <w:p>
            <w:pPr>
              <w:pStyle w:val="49"/>
              <w:spacing w:line="240" w:lineRule="auto"/>
              <w:rPr>
                <w:rFonts w:ascii="Times New Roman" w:hAnsi="Times New Roman" w:eastAsia="宋体"/>
                <w:b/>
                <w:color w:val="auto"/>
                <w:sz w:val="21"/>
                <w:szCs w:val="21"/>
              </w:rPr>
            </w:pPr>
            <w:r>
              <w:rPr>
                <w:rFonts w:ascii="Times New Roman" w:hAnsi="Times New Roman" w:eastAsia="宋体"/>
                <w:b/>
                <w:color w:val="auto"/>
                <w:sz w:val="21"/>
                <w:szCs w:val="21"/>
              </w:rPr>
              <w:t>NH</w:t>
            </w:r>
            <w:r>
              <w:rPr>
                <w:rFonts w:ascii="Times New Roman" w:hAnsi="Times New Roman" w:eastAsia="宋体"/>
                <w:b/>
                <w:color w:val="auto"/>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125" w:type="dxa"/>
            <w:vMerge w:val="continue"/>
            <w:vAlign w:val="center"/>
          </w:tcPr>
          <w:p>
            <w:pPr>
              <w:pStyle w:val="49"/>
              <w:spacing w:line="240" w:lineRule="auto"/>
              <w:rPr>
                <w:rFonts w:ascii="Times New Roman" w:hAnsi="Times New Roman" w:eastAsia="宋体"/>
                <w:b/>
                <w:color w:val="auto"/>
                <w:sz w:val="21"/>
                <w:szCs w:val="21"/>
              </w:rPr>
            </w:pPr>
          </w:p>
        </w:tc>
        <w:tc>
          <w:tcPr>
            <w:tcW w:w="2375"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预测质量浓度（</w:t>
            </w:r>
            <w:r>
              <w:rPr>
                <w:rFonts w:ascii="Times New Roman" w:hAnsi="Times New Roman" w:eastAsia="宋体"/>
                <w:b/>
                <w:color w:val="auto"/>
                <w:sz w:val="21"/>
                <w:szCs w:val="21"/>
              </w:rPr>
              <w:t>μg/m</w:t>
            </w:r>
            <w:r>
              <w:rPr>
                <w:rFonts w:ascii="Times New Roman" w:hAnsi="Times New Roman" w:eastAsia="宋体"/>
                <w:b/>
                <w:color w:val="auto"/>
                <w:sz w:val="21"/>
                <w:szCs w:val="21"/>
                <w:vertAlign w:val="superscript"/>
              </w:rPr>
              <w:t>3</w:t>
            </w:r>
            <w:r>
              <w:rPr>
                <w:rFonts w:ascii="Times New Roman" w:hAnsi="宋体" w:eastAsia="宋体"/>
                <w:b/>
                <w:color w:val="auto"/>
                <w:sz w:val="21"/>
                <w:szCs w:val="21"/>
              </w:rPr>
              <w:t>）</w:t>
            </w:r>
          </w:p>
        </w:tc>
        <w:tc>
          <w:tcPr>
            <w:tcW w:w="1134"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占标率</w:t>
            </w:r>
            <w:r>
              <w:rPr>
                <w:rFonts w:ascii="Times New Roman" w:hAnsi="Times New Roman" w:eastAsia="宋体"/>
                <w:b/>
                <w:color w:val="auto"/>
                <w:sz w:val="21"/>
                <w:szCs w:val="21"/>
              </w:rPr>
              <w:t>/%</w:t>
            </w:r>
          </w:p>
        </w:tc>
        <w:tc>
          <w:tcPr>
            <w:tcW w:w="2410"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预测质量浓度（</w:t>
            </w:r>
            <w:r>
              <w:rPr>
                <w:rFonts w:ascii="Times New Roman" w:hAnsi="Times New Roman" w:eastAsia="宋体"/>
                <w:b/>
                <w:color w:val="auto"/>
                <w:sz w:val="21"/>
                <w:szCs w:val="21"/>
              </w:rPr>
              <w:t>μg/m</w:t>
            </w:r>
            <w:r>
              <w:rPr>
                <w:rFonts w:ascii="Times New Roman" w:hAnsi="Times New Roman" w:eastAsia="宋体"/>
                <w:b/>
                <w:color w:val="auto"/>
                <w:sz w:val="21"/>
                <w:szCs w:val="21"/>
                <w:vertAlign w:val="superscript"/>
              </w:rPr>
              <w:t>3</w:t>
            </w:r>
            <w:r>
              <w:rPr>
                <w:rFonts w:ascii="Times New Roman" w:hAnsi="宋体" w:eastAsia="宋体"/>
                <w:b/>
                <w:color w:val="auto"/>
                <w:sz w:val="21"/>
                <w:szCs w:val="21"/>
              </w:rPr>
              <w:t>）</w:t>
            </w:r>
          </w:p>
        </w:tc>
        <w:tc>
          <w:tcPr>
            <w:tcW w:w="1179" w:type="dxa"/>
            <w:vAlign w:val="center"/>
          </w:tcPr>
          <w:p>
            <w:pPr>
              <w:pStyle w:val="49"/>
              <w:spacing w:line="240" w:lineRule="auto"/>
              <w:rPr>
                <w:rFonts w:ascii="Times New Roman" w:hAnsi="Times New Roman" w:eastAsia="宋体"/>
                <w:b/>
                <w:color w:val="auto"/>
                <w:sz w:val="21"/>
                <w:szCs w:val="21"/>
              </w:rPr>
            </w:pPr>
            <w:r>
              <w:rPr>
                <w:rFonts w:ascii="Times New Roman" w:hAnsi="宋体" w:eastAsia="宋体"/>
                <w:b/>
                <w:color w:val="auto"/>
                <w:sz w:val="21"/>
                <w:szCs w:val="21"/>
              </w:rPr>
              <w:t>占标率</w:t>
            </w:r>
            <w:r>
              <w:rPr>
                <w:rFonts w:ascii="Times New Roman" w:hAnsi="Times New Roman" w:eastAsia="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10</w:t>
            </w:r>
          </w:p>
        </w:tc>
        <w:tc>
          <w:tcPr>
            <w:tcW w:w="2375" w:type="dxa"/>
            <w:vAlign w:val="center"/>
          </w:tcPr>
          <w:p>
            <w:pPr>
              <w:jc w:val="center"/>
              <w:rPr>
                <w:color w:val="auto"/>
                <w:sz w:val="21"/>
                <w:szCs w:val="21"/>
              </w:rPr>
            </w:pPr>
            <w:r>
              <w:rPr>
                <w:color w:val="auto"/>
                <w:sz w:val="21"/>
                <w:szCs w:val="21"/>
              </w:rPr>
              <w:t>0.2964</w:t>
            </w:r>
          </w:p>
        </w:tc>
        <w:tc>
          <w:tcPr>
            <w:tcW w:w="1134" w:type="dxa"/>
            <w:vAlign w:val="center"/>
          </w:tcPr>
          <w:p>
            <w:pPr>
              <w:jc w:val="center"/>
              <w:rPr>
                <w:color w:val="auto"/>
                <w:sz w:val="21"/>
                <w:szCs w:val="21"/>
              </w:rPr>
            </w:pPr>
            <w:r>
              <w:rPr>
                <w:color w:val="auto"/>
                <w:sz w:val="21"/>
                <w:szCs w:val="21"/>
              </w:rPr>
              <w:t>2.96</w:t>
            </w:r>
          </w:p>
        </w:tc>
        <w:tc>
          <w:tcPr>
            <w:tcW w:w="2410" w:type="dxa"/>
            <w:vAlign w:val="center"/>
          </w:tcPr>
          <w:p>
            <w:pPr>
              <w:jc w:val="center"/>
              <w:rPr>
                <w:color w:val="auto"/>
                <w:sz w:val="21"/>
                <w:szCs w:val="21"/>
              </w:rPr>
            </w:pPr>
            <w:r>
              <w:rPr>
                <w:color w:val="auto"/>
                <w:sz w:val="21"/>
                <w:szCs w:val="21"/>
              </w:rPr>
              <w:t>0.0995</w:t>
            </w:r>
          </w:p>
        </w:tc>
        <w:tc>
          <w:tcPr>
            <w:tcW w:w="1179" w:type="dxa"/>
            <w:vAlign w:val="center"/>
          </w:tcPr>
          <w:p>
            <w:pPr>
              <w:jc w:val="center"/>
              <w:rPr>
                <w:color w:val="auto"/>
                <w:sz w:val="21"/>
                <w:szCs w:val="21"/>
              </w:rPr>
            </w:pPr>
            <w:r>
              <w:rPr>
                <w:color w:val="auto"/>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25</w:t>
            </w:r>
          </w:p>
        </w:tc>
        <w:tc>
          <w:tcPr>
            <w:tcW w:w="2375" w:type="dxa"/>
            <w:vAlign w:val="center"/>
          </w:tcPr>
          <w:p>
            <w:pPr>
              <w:jc w:val="center"/>
              <w:rPr>
                <w:color w:val="auto"/>
                <w:sz w:val="21"/>
                <w:szCs w:val="21"/>
              </w:rPr>
            </w:pPr>
            <w:r>
              <w:rPr>
                <w:color w:val="auto"/>
                <w:sz w:val="21"/>
                <w:szCs w:val="21"/>
              </w:rPr>
              <w:t>0.3833</w:t>
            </w:r>
          </w:p>
        </w:tc>
        <w:tc>
          <w:tcPr>
            <w:tcW w:w="1134" w:type="dxa"/>
            <w:vAlign w:val="center"/>
          </w:tcPr>
          <w:p>
            <w:pPr>
              <w:jc w:val="center"/>
              <w:rPr>
                <w:color w:val="auto"/>
                <w:sz w:val="21"/>
                <w:szCs w:val="21"/>
              </w:rPr>
            </w:pPr>
            <w:r>
              <w:rPr>
                <w:color w:val="auto"/>
                <w:sz w:val="21"/>
                <w:szCs w:val="21"/>
              </w:rPr>
              <w:t>3.83</w:t>
            </w:r>
          </w:p>
        </w:tc>
        <w:tc>
          <w:tcPr>
            <w:tcW w:w="2410" w:type="dxa"/>
            <w:vAlign w:val="center"/>
          </w:tcPr>
          <w:p>
            <w:pPr>
              <w:jc w:val="center"/>
              <w:rPr>
                <w:color w:val="auto"/>
                <w:sz w:val="21"/>
                <w:szCs w:val="21"/>
              </w:rPr>
            </w:pPr>
            <w:r>
              <w:rPr>
                <w:color w:val="auto"/>
                <w:sz w:val="21"/>
                <w:szCs w:val="21"/>
              </w:rPr>
              <w:t>0.1287</w:t>
            </w:r>
          </w:p>
        </w:tc>
        <w:tc>
          <w:tcPr>
            <w:tcW w:w="1179" w:type="dxa"/>
            <w:vAlign w:val="center"/>
          </w:tcPr>
          <w:p>
            <w:pPr>
              <w:jc w:val="center"/>
              <w:rPr>
                <w:color w:val="auto"/>
                <w:sz w:val="21"/>
                <w:szCs w:val="21"/>
              </w:rPr>
            </w:pPr>
            <w:r>
              <w:rPr>
                <w:color w:val="auto"/>
                <w:sz w:val="21"/>
                <w:szCs w:val="21"/>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50</w:t>
            </w:r>
          </w:p>
        </w:tc>
        <w:tc>
          <w:tcPr>
            <w:tcW w:w="2375" w:type="dxa"/>
            <w:vAlign w:val="center"/>
          </w:tcPr>
          <w:p>
            <w:pPr>
              <w:jc w:val="center"/>
              <w:rPr>
                <w:color w:val="auto"/>
                <w:sz w:val="21"/>
                <w:szCs w:val="21"/>
              </w:rPr>
            </w:pPr>
            <w:r>
              <w:rPr>
                <w:color w:val="auto"/>
                <w:sz w:val="21"/>
                <w:szCs w:val="21"/>
              </w:rPr>
              <w:t>0.4489</w:t>
            </w:r>
          </w:p>
        </w:tc>
        <w:tc>
          <w:tcPr>
            <w:tcW w:w="1134" w:type="dxa"/>
            <w:vAlign w:val="center"/>
          </w:tcPr>
          <w:p>
            <w:pPr>
              <w:jc w:val="center"/>
              <w:rPr>
                <w:color w:val="auto"/>
                <w:sz w:val="21"/>
                <w:szCs w:val="21"/>
              </w:rPr>
            </w:pPr>
            <w:r>
              <w:rPr>
                <w:color w:val="auto"/>
                <w:sz w:val="21"/>
                <w:szCs w:val="21"/>
              </w:rPr>
              <w:t>4.49</w:t>
            </w:r>
          </w:p>
        </w:tc>
        <w:tc>
          <w:tcPr>
            <w:tcW w:w="2410" w:type="dxa"/>
            <w:vAlign w:val="center"/>
          </w:tcPr>
          <w:p>
            <w:pPr>
              <w:jc w:val="center"/>
              <w:rPr>
                <w:color w:val="auto"/>
                <w:sz w:val="21"/>
                <w:szCs w:val="21"/>
              </w:rPr>
            </w:pPr>
            <w:r>
              <w:rPr>
                <w:color w:val="auto"/>
                <w:sz w:val="21"/>
                <w:szCs w:val="21"/>
              </w:rPr>
              <w:t>0.1507</w:t>
            </w:r>
          </w:p>
        </w:tc>
        <w:tc>
          <w:tcPr>
            <w:tcW w:w="1179" w:type="dxa"/>
            <w:vAlign w:val="center"/>
          </w:tcPr>
          <w:p>
            <w:pPr>
              <w:jc w:val="center"/>
              <w:rPr>
                <w:color w:val="auto"/>
                <w:sz w:val="21"/>
                <w:szCs w:val="21"/>
              </w:rPr>
            </w:pPr>
            <w:r>
              <w:rPr>
                <w:color w:val="auto"/>
                <w:sz w:val="21"/>
                <w:szCs w:val="21"/>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color w:val="auto"/>
                <w:sz w:val="21"/>
                <w:szCs w:val="21"/>
              </w:rPr>
            </w:pPr>
            <w:r>
              <w:rPr>
                <w:rFonts w:hint="eastAsia"/>
                <w:color w:val="auto"/>
                <w:sz w:val="21"/>
                <w:szCs w:val="21"/>
              </w:rPr>
              <w:t>100</w:t>
            </w:r>
          </w:p>
        </w:tc>
        <w:tc>
          <w:tcPr>
            <w:tcW w:w="2375" w:type="dxa"/>
            <w:vAlign w:val="center"/>
          </w:tcPr>
          <w:p>
            <w:pPr>
              <w:jc w:val="center"/>
              <w:rPr>
                <w:color w:val="auto"/>
                <w:sz w:val="21"/>
                <w:szCs w:val="21"/>
              </w:rPr>
            </w:pPr>
            <w:r>
              <w:rPr>
                <w:color w:val="auto"/>
                <w:sz w:val="21"/>
                <w:szCs w:val="21"/>
              </w:rPr>
              <w:t>0.2577</w:t>
            </w:r>
          </w:p>
        </w:tc>
        <w:tc>
          <w:tcPr>
            <w:tcW w:w="1134" w:type="dxa"/>
            <w:vAlign w:val="center"/>
          </w:tcPr>
          <w:p>
            <w:pPr>
              <w:jc w:val="center"/>
              <w:rPr>
                <w:color w:val="auto"/>
                <w:sz w:val="21"/>
                <w:szCs w:val="21"/>
              </w:rPr>
            </w:pPr>
            <w:r>
              <w:rPr>
                <w:color w:val="auto"/>
                <w:sz w:val="21"/>
                <w:szCs w:val="21"/>
              </w:rPr>
              <w:t>2.58</w:t>
            </w:r>
          </w:p>
        </w:tc>
        <w:tc>
          <w:tcPr>
            <w:tcW w:w="2410" w:type="dxa"/>
            <w:vAlign w:val="center"/>
          </w:tcPr>
          <w:p>
            <w:pPr>
              <w:jc w:val="center"/>
              <w:rPr>
                <w:color w:val="auto"/>
                <w:sz w:val="21"/>
                <w:szCs w:val="21"/>
              </w:rPr>
            </w:pPr>
            <w:r>
              <w:rPr>
                <w:color w:val="auto"/>
                <w:sz w:val="21"/>
                <w:szCs w:val="21"/>
              </w:rPr>
              <w:t>0.0865</w:t>
            </w:r>
          </w:p>
        </w:tc>
        <w:tc>
          <w:tcPr>
            <w:tcW w:w="1179" w:type="dxa"/>
            <w:vAlign w:val="center"/>
          </w:tcPr>
          <w:p>
            <w:pPr>
              <w:jc w:val="center"/>
              <w:rPr>
                <w:color w:val="auto"/>
                <w:sz w:val="21"/>
                <w:szCs w:val="21"/>
              </w:rPr>
            </w:pPr>
            <w:r>
              <w:rPr>
                <w:color w:val="auto"/>
                <w:sz w:val="21"/>
                <w:szCs w:val="21"/>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125" w:type="dxa"/>
            <w:vAlign w:val="center"/>
          </w:tcPr>
          <w:p>
            <w:pPr>
              <w:jc w:val="center"/>
              <w:rPr>
                <w:rFonts w:ascii="宋体" w:hAnsi="宋体" w:cs="宋体"/>
                <w:color w:val="auto"/>
                <w:sz w:val="21"/>
                <w:szCs w:val="21"/>
              </w:rPr>
            </w:pPr>
            <w:r>
              <w:rPr>
                <w:color w:val="auto"/>
                <w:sz w:val="21"/>
                <w:szCs w:val="21"/>
              </w:rPr>
              <w:t>115</w:t>
            </w:r>
          </w:p>
        </w:tc>
        <w:tc>
          <w:tcPr>
            <w:tcW w:w="2375" w:type="dxa"/>
          </w:tcPr>
          <w:p>
            <w:pPr>
              <w:jc w:val="center"/>
              <w:rPr>
                <w:color w:val="auto"/>
                <w:sz w:val="21"/>
                <w:szCs w:val="22"/>
              </w:rPr>
            </w:pPr>
            <w:r>
              <w:rPr>
                <w:color w:val="auto"/>
                <w:sz w:val="21"/>
                <w:szCs w:val="22"/>
              </w:rPr>
              <w:t>0.2396</w:t>
            </w:r>
          </w:p>
        </w:tc>
        <w:tc>
          <w:tcPr>
            <w:tcW w:w="1134" w:type="dxa"/>
          </w:tcPr>
          <w:p>
            <w:pPr>
              <w:jc w:val="center"/>
              <w:rPr>
                <w:color w:val="auto"/>
                <w:sz w:val="21"/>
                <w:szCs w:val="22"/>
              </w:rPr>
            </w:pPr>
            <w:r>
              <w:rPr>
                <w:color w:val="auto"/>
                <w:sz w:val="21"/>
                <w:szCs w:val="22"/>
              </w:rPr>
              <w:t>2.40</w:t>
            </w:r>
          </w:p>
        </w:tc>
        <w:tc>
          <w:tcPr>
            <w:tcW w:w="2410" w:type="dxa"/>
          </w:tcPr>
          <w:p>
            <w:pPr>
              <w:jc w:val="center"/>
              <w:rPr>
                <w:color w:val="auto"/>
                <w:sz w:val="21"/>
                <w:szCs w:val="22"/>
              </w:rPr>
            </w:pPr>
            <w:r>
              <w:rPr>
                <w:color w:val="auto"/>
                <w:sz w:val="21"/>
                <w:szCs w:val="22"/>
              </w:rPr>
              <w:t>0.0804</w:t>
            </w:r>
          </w:p>
        </w:tc>
        <w:tc>
          <w:tcPr>
            <w:tcW w:w="1179" w:type="dxa"/>
          </w:tcPr>
          <w:p>
            <w:pPr>
              <w:jc w:val="center"/>
              <w:rPr>
                <w:color w:val="auto"/>
                <w:sz w:val="21"/>
                <w:szCs w:val="22"/>
              </w:rPr>
            </w:pPr>
            <w:r>
              <w:rPr>
                <w:color w:val="auto"/>
                <w:sz w:val="21"/>
                <w:szCs w:val="22"/>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135</w:t>
            </w:r>
          </w:p>
        </w:tc>
        <w:tc>
          <w:tcPr>
            <w:tcW w:w="2375" w:type="dxa"/>
          </w:tcPr>
          <w:p>
            <w:pPr>
              <w:jc w:val="center"/>
              <w:rPr>
                <w:color w:val="auto"/>
                <w:sz w:val="21"/>
                <w:szCs w:val="22"/>
              </w:rPr>
            </w:pPr>
            <w:r>
              <w:rPr>
                <w:color w:val="auto"/>
                <w:sz w:val="21"/>
                <w:szCs w:val="22"/>
              </w:rPr>
              <w:t>0.2314</w:t>
            </w:r>
          </w:p>
        </w:tc>
        <w:tc>
          <w:tcPr>
            <w:tcW w:w="1134" w:type="dxa"/>
          </w:tcPr>
          <w:p>
            <w:pPr>
              <w:jc w:val="center"/>
              <w:rPr>
                <w:color w:val="auto"/>
                <w:sz w:val="21"/>
                <w:szCs w:val="22"/>
              </w:rPr>
            </w:pPr>
            <w:r>
              <w:rPr>
                <w:color w:val="auto"/>
                <w:sz w:val="21"/>
                <w:szCs w:val="22"/>
              </w:rPr>
              <w:t>2.31</w:t>
            </w:r>
          </w:p>
        </w:tc>
        <w:tc>
          <w:tcPr>
            <w:tcW w:w="2410" w:type="dxa"/>
          </w:tcPr>
          <w:p>
            <w:pPr>
              <w:jc w:val="center"/>
              <w:rPr>
                <w:color w:val="auto"/>
                <w:sz w:val="21"/>
                <w:szCs w:val="22"/>
              </w:rPr>
            </w:pPr>
            <w:r>
              <w:rPr>
                <w:color w:val="auto"/>
                <w:sz w:val="21"/>
                <w:szCs w:val="22"/>
              </w:rPr>
              <w:t>0.0777</w:t>
            </w:r>
          </w:p>
        </w:tc>
        <w:tc>
          <w:tcPr>
            <w:tcW w:w="1179" w:type="dxa"/>
          </w:tcPr>
          <w:p>
            <w:pPr>
              <w:jc w:val="center"/>
              <w:rPr>
                <w:color w:val="auto"/>
                <w:sz w:val="21"/>
                <w:szCs w:val="22"/>
              </w:rPr>
            </w:pPr>
            <w:r>
              <w:rPr>
                <w:color w:val="auto"/>
                <w:sz w:val="21"/>
                <w:szCs w:val="22"/>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153</w:t>
            </w:r>
          </w:p>
        </w:tc>
        <w:tc>
          <w:tcPr>
            <w:tcW w:w="2375" w:type="dxa"/>
          </w:tcPr>
          <w:p>
            <w:pPr>
              <w:jc w:val="center"/>
              <w:rPr>
                <w:color w:val="auto"/>
                <w:sz w:val="21"/>
                <w:szCs w:val="22"/>
              </w:rPr>
            </w:pPr>
            <w:r>
              <w:rPr>
                <w:color w:val="auto"/>
                <w:sz w:val="21"/>
                <w:szCs w:val="22"/>
              </w:rPr>
              <w:t>0.2249</w:t>
            </w:r>
          </w:p>
        </w:tc>
        <w:tc>
          <w:tcPr>
            <w:tcW w:w="1134" w:type="dxa"/>
          </w:tcPr>
          <w:p>
            <w:pPr>
              <w:jc w:val="center"/>
              <w:rPr>
                <w:color w:val="auto"/>
                <w:sz w:val="21"/>
                <w:szCs w:val="22"/>
              </w:rPr>
            </w:pPr>
            <w:r>
              <w:rPr>
                <w:color w:val="auto"/>
                <w:sz w:val="21"/>
                <w:szCs w:val="22"/>
              </w:rPr>
              <w:t>2.25</w:t>
            </w:r>
          </w:p>
        </w:tc>
        <w:tc>
          <w:tcPr>
            <w:tcW w:w="2410" w:type="dxa"/>
          </w:tcPr>
          <w:p>
            <w:pPr>
              <w:jc w:val="center"/>
              <w:rPr>
                <w:color w:val="auto"/>
                <w:sz w:val="21"/>
                <w:szCs w:val="22"/>
              </w:rPr>
            </w:pPr>
            <w:r>
              <w:rPr>
                <w:color w:val="auto"/>
                <w:sz w:val="21"/>
                <w:szCs w:val="22"/>
              </w:rPr>
              <w:t>0.0755</w:t>
            </w:r>
          </w:p>
        </w:tc>
        <w:tc>
          <w:tcPr>
            <w:tcW w:w="1179" w:type="dxa"/>
          </w:tcPr>
          <w:p>
            <w:pPr>
              <w:jc w:val="center"/>
              <w:rPr>
                <w:color w:val="auto"/>
                <w:sz w:val="21"/>
                <w:szCs w:val="22"/>
              </w:rPr>
            </w:pPr>
            <w:r>
              <w:rPr>
                <w:color w:val="auto"/>
                <w:sz w:val="21"/>
                <w:szCs w:val="22"/>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265</w:t>
            </w:r>
          </w:p>
        </w:tc>
        <w:tc>
          <w:tcPr>
            <w:tcW w:w="2375" w:type="dxa"/>
          </w:tcPr>
          <w:p>
            <w:pPr>
              <w:jc w:val="center"/>
              <w:rPr>
                <w:color w:val="auto"/>
                <w:sz w:val="21"/>
                <w:szCs w:val="22"/>
              </w:rPr>
            </w:pPr>
            <w:r>
              <w:rPr>
                <w:color w:val="auto"/>
                <w:sz w:val="21"/>
                <w:szCs w:val="22"/>
              </w:rPr>
              <w:t>0.1962</w:t>
            </w:r>
          </w:p>
        </w:tc>
        <w:tc>
          <w:tcPr>
            <w:tcW w:w="1134" w:type="dxa"/>
          </w:tcPr>
          <w:p>
            <w:pPr>
              <w:jc w:val="center"/>
              <w:rPr>
                <w:color w:val="auto"/>
                <w:sz w:val="21"/>
                <w:szCs w:val="22"/>
              </w:rPr>
            </w:pPr>
            <w:r>
              <w:rPr>
                <w:color w:val="auto"/>
                <w:sz w:val="21"/>
                <w:szCs w:val="22"/>
              </w:rPr>
              <w:t>1.96</w:t>
            </w:r>
          </w:p>
        </w:tc>
        <w:tc>
          <w:tcPr>
            <w:tcW w:w="2410" w:type="dxa"/>
          </w:tcPr>
          <w:p>
            <w:pPr>
              <w:jc w:val="center"/>
              <w:rPr>
                <w:color w:val="auto"/>
                <w:sz w:val="21"/>
                <w:szCs w:val="22"/>
              </w:rPr>
            </w:pPr>
            <w:r>
              <w:rPr>
                <w:color w:val="auto"/>
                <w:sz w:val="21"/>
                <w:szCs w:val="22"/>
              </w:rPr>
              <w:t>0.0659</w:t>
            </w:r>
          </w:p>
        </w:tc>
        <w:tc>
          <w:tcPr>
            <w:tcW w:w="1179" w:type="dxa"/>
          </w:tcPr>
          <w:p>
            <w:pPr>
              <w:jc w:val="center"/>
              <w:rPr>
                <w:color w:val="auto"/>
                <w:sz w:val="21"/>
                <w:szCs w:val="22"/>
              </w:rPr>
            </w:pPr>
            <w:r>
              <w:rPr>
                <w:color w:val="auto"/>
                <w:sz w:val="21"/>
                <w:szCs w:val="22"/>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425</w:t>
            </w:r>
          </w:p>
        </w:tc>
        <w:tc>
          <w:tcPr>
            <w:tcW w:w="2375" w:type="dxa"/>
          </w:tcPr>
          <w:p>
            <w:pPr>
              <w:jc w:val="center"/>
              <w:rPr>
                <w:color w:val="auto"/>
                <w:sz w:val="21"/>
                <w:szCs w:val="22"/>
              </w:rPr>
            </w:pPr>
            <w:r>
              <w:rPr>
                <w:color w:val="auto"/>
                <w:sz w:val="21"/>
                <w:szCs w:val="22"/>
              </w:rPr>
              <w:t>0.1707</w:t>
            </w:r>
          </w:p>
        </w:tc>
        <w:tc>
          <w:tcPr>
            <w:tcW w:w="1134" w:type="dxa"/>
          </w:tcPr>
          <w:p>
            <w:pPr>
              <w:jc w:val="center"/>
              <w:rPr>
                <w:color w:val="auto"/>
                <w:sz w:val="21"/>
                <w:szCs w:val="22"/>
              </w:rPr>
            </w:pPr>
            <w:r>
              <w:rPr>
                <w:color w:val="auto"/>
                <w:sz w:val="21"/>
                <w:szCs w:val="22"/>
              </w:rPr>
              <w:t>1.71</w:t>
            </w:r>
          </w:p>
        </w:tc>
        <w:tc>
          <w:tcPr>
            <w:tcW w:w="2410" w:type="dxa"/>
          </w:tcPr>
          <w:p>
            <w:pPr>
              <w:jc w:val="center"/>
              <w:rPr>
                <w:color w:val="auto"/>
                <w:sz w:val="21"/>
                <w:szCs w:val="22"/>
              </w:rPr>
            </w:pPr>
            <w:r>
              <w:rPr>
                <w:color w:val="auto"/>
                <w:sz w:val="21"/>
                <w:szCs w:val="22"/>
              </w:rPr>
              <w:t>0.0573</w:t>
            </w:r>
          </w:p>
        </w:tc>
        <w:tc>
          <w:tcPr>
            <w:tcW w:w="1179" w:type="dxa"/>
          </w:tcPr>
          <w:p>
            <w:pPr>
              <w:jc w:val="center"/>
              <w:rPr>
                <w:color w:val="auto"/>
                <w:sz w:val="21"/>
                <w:szCs w:val="22"/>
              </w:rPr>
            </w:pPr>
            <w:r>
              <w:rPr>
                <w:color w:val="auto"/>
                <w:sz w:val="21"/>
                <w:szCs w:val="22"/>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440</w:t>
            </w:r>
          </w:p>
        </w:tc>
        <w:tc>
          <w:tcPr>
            <w:tcW w:w="2375" w:type="dxa"/>
          </w:tcPr>
          <w:p>
            <w:pPr>
              <w:jc w:val="center"/>
              <w:rPr>
                <w:color w:val="auto"/>
                <w:sz w:val="21"/>
                <w:szCs w:val="22"/>
              </w:rPr>
            </w:pPr>
            <w:r>
              <w:rPr>
                <w:color w:val="auto"/>
                <w:sz w:val="21"/>
                <w:szCs w:val="22"/>
              </w:rPr>
              <w:t>0.1688</w:t>
            </w:r>
          </w:p>
        </w:tc>
        <w:tc>
          <w:tcPr>
            <w:tcW w:w="1134" w:type="dxa"/>
          </w:tcPr>
          <w:p>
            <w:pPr>
              <w:jc w:val="center"/>
              <w:rPr>
                <w:color w:val="auto"/>
                <w:sz w:val="21"/>
                <w:szCs w:val="22"/>
              </w:rPr>
            </w:pPr>
            <w:r>
              <w:rPr>
                <w:color w:val="auto"/>
                <w:sz w:val="21"/>
                <w:szCs w:val="22"/>
              </w:rPr>
              <w:t>1.69</w:t>
            </w:r>
          </w:p>
        </w:tc>
        <w:tc>
          <w:tcPr>
            <w:tcW w:w="2410" w:type="dxa"/>
          </w:tcPr>
          <w:p>
            <w:pPr>
              <w:jc w:val="center"/>
              <w:rPr>
                <w:color w:val="auto"/>
                <w:sz w:val="21"/>
                <w:szCs w:val="22"/>
              </w:rPr>
            </w:pPr>
            <w:r>
              <w:rPr>
                <w:color w:val="auto"/>
                <w:sz w:val="21"/>
                <w:szCs w:val="22"/>
              </w:rPr>
              <w:t>0.0566</w:t>
            </w:r>
          </w:p>
        </w:tc>
        <w:tc>
          <w:tcPr>
            <w:tcW w:w="1179" w:type="dxa"/>
          </w:tcPr>
          <w:p>
            <w:pPr>
              <w:jc w:val="center"/>
              <w:rPr>
                <w:color w:val="auto"/>
                <w:sz w:val="21"/>
                <w:szCs w:val="22"/>
              </w:rPr>
            </w:pPr>
            <w:r>
              <w:rPr>
                <w:color w:val="auto"/>
                <w:sz w:val="21"/>
                <w:szCs w:val="22"/>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630</w:t>
            </w:r>
          </w:p>
        </w:tc>
        <w:tc>
          <w:tcPr>
            <w:tcW w:w="2375" w:type="dxa"/>
          </w:tcPr>
          <w:p>
            <w:pPr>
              <w:jc w:val="center"/>
              <w:rPr>
                <w:color w:val="auto"/>
                <w:sz w:val="21"/>
                <w:szCs w:val="22"/>
              </w:rPr>
            </w:pPr>
            <w:r>
              <w:rPr>
                <w:color w:val="auto"/>
                <w:sz w:val="21"/>
                <w:szCs w:val="22"/>
              </w:rPr>
              <w:t>0.1473</w:t>
            </w:r>
          </w:p>
        </w:tc>
        <w:tc>
          <w:tcPr>
            <w:tcW w:w="1134" w:type="dxa"/>
          </w:tcPr>
          <w:p>
            <w:pPr>
              <w:jc w:val="center"/>
              <w:rPr>
                <w:color w:val="auto"/>
                <w:sz w:val="21"/>
                <w:szCs w:val="22"/>
              </w:rPr>
            </w:pPr>
            <w:r>
              <w:rPr>
                <w:color w:val="auto"/>
                <w:sz w:val="21"/>
                <w:szCs w:val="22"/>
              </w:rPr>
              <w:t>1.47</w:t>
            </w:r>
          </w:p>
        </w:tc>
        <w:tc>
          <w:tcPr>
            <w:tcW w:w="2410" w:type="dxa"/>
          </w:tcPr>
          <w:p>
            <w:pPr>
              <w:jc w:val="center"/>
              <w:rPr>
                <w:color w:val="auto"/>
                <w:sz w:val="21"/>
                <w:szCs w:val="22"/>
              </w:rPr>
            </w:pPr>
            <w:r>
              <w:rPr>
                <w:color w:val="auto"/>
                <w:sz w:val="21"/>
                <w:szCs w:val="22"/>
              </w:rPr>
              <w:t>0.0495</w:t>
            </w:r>
          </w:p>
        </w:tc>
        <w:tc>
          <w:tcPr>
            <w:tcW w:w="1179" w:type="dxa"/>
          </w:tcPr>
          <w:p>
            <w:pPr>
              <w:jc w:val="center"/>
              <w:rPr>
                <w:color w:val="auto"/>
                <w:sz w:val="21"/>
                <w:szCs w:val="22"/>
              </w:rPr>
            </w:pPr>
            <w:r>
              <w:rPr>
                <w:color w:val="auto"/>
                <w:sz w:val="21"/>
                <w:szCs w:val="22"/>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777</w:t>
            </w:r>
          </w:p>
        </w:tc>
        <w:tc>
          <w:tcPr>
            <w:tcW w:w="2375" w:type="dxa"/>
          </w:tcPr>
          <w:p>
            <w:pPr>
              <w:jc w:val="center"/>
              <w:rPr>
                <w:color w:val="auto"/>
                <w:sz w:val="21"/>
                <w:szCs w:val="22"/>
              </w:rPr>
            </w:pPr>
            <w:r>
              <w:rPr>
                <w:color w:val="auto"/>
                <w:sz w:val="21"/>
                <w:szCs w:val="22"/>
              </w:rPr>
              <w:t>0.1340</w:t>
            </w:r>
          </w:p>
        </w:tc>
        <w:tc>
          <w:tcPr>
            <w:tcW w:w="1134" w:type="dxa"/>
          </w:tcPr>
          <w:p>
            <w:pPr>
              <w:jc w:val="center"/>
              <w:rPr>
                <w:color w:val="auto"/>
                <w:sz w:val="21"/>
                <w:szCs w:val="22"/>
              </w:rPr>
            </w:pPr>
            <w:r>
              <w:rPr>
                <w:color w:val="auto"/>
                <w:sz w:val="21"/>
                <w:szCs w:val="22"/>
              </w:rPr>
              <w:t>1.34</w:t>
            </w:r>
          </w:p>
        </w:tc>
        <w:tc>
          <w:tcPr>
            <w:tcW w:w="2410" w:type="dxa"/>
          </w:tcPr>
          <w:p>
            <w:pPr>
              <w:jc w:val="center"/>
              <w:rPr>
                <w:color w:val="auto"/>
                <w:sz w:val="21"/>
                <w:szCs w:val="22"/>
              </w:rPr>
            </w:pPr>
            <w:r>
              <w:rPr>
                <w:color w:val="auto"/>
                <w:sz w:val="21"/>
                <w:szCs w:val="22"/>
              </w:rPr>
              <w:t>0.0450</w:t>
            </w:r>
          </w:p>
        </w:tc>
        <w:tc>
          <w:tcPr>
            <w:tcW w:w="1179" w:type="dxa"/>
          </w:tcPr>
          <w:p>
            <w:pPr>
              <w:jc w:val="center"/>
              <w:rPr>
                <w:color w:val="auto"/>
                <w:sz w:val="21"/>
                <w:szCs w:val="22"/>
              </w:rPr>
            </w:pPr>
            <w:r>
              <w:rPr>
                <w:color w:val="auto"/>
                <w:sz w:val="21"/>
                <w:szCs w:val="22"/>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855</w:t>
            </w:r>
          </w:p>
        </w:tc>
        <w:tc>
          <w:tcPr>
            <w:tcW w:w="2375" w:type="dxa"/>
          </w:tcPr>
          <w:p>
            <w:pPr>
              <w:jc w:val="center"/>
              <w:rPr>
                <w:color w:val="auto"/>
                <w:sz w:val="21"/>
                <w:szCs w:val="22"/>
              </w:rPr>
            </w:pPr>
            <w:r>
              <w:rPr>
                <w:color w:val="auto"/>
                <w:sz w:val="21"/>
                <w:szCs w:val="22"/>
              </w:rPr>
              <w:t>0.1278</w:t>
            </w:r>
          </w:p>
        </w:tc>
        <w:tc>
          <w:tcPr>
            <w:tcW w:w="1134" w:type="dxa"/>
          </w:tcPr>
          <w:p>
            <w:pPr>
              <w:jc w:val="center"/>
              <w:rPr>
                <w:color w:val="auto"/>
                <w:sz w:val="21"/>
                <w:szCs w:val="22"/>
              </w:rPr>
            </w:pPr>
            <w:r>
              <w:rPr>
                <w:color w:val="auto"/>
                <w:sz w:val="21"/>
                <w:szCs w:val="22"/>
              </w:rPr>
              <w:t>1.28</w:t>
            </w:r>
          </w:p>
        </w:tc>
        <w:tc>
          <w:tcPr>
            <w:tcW w:w="2410" w:type="dxa"/>
          </w:tcPr>
          <w:p>
            <w:pPr>
              <w:jc w:val="center"/>
              <w:rPr>
                <w:color w:val="auto"/>
                <w:sz w:val="21"/>
                <w:szCs w:val="22"/>
              </w:rPr>
            </w:pPr>
            <w:r>
              <w:rPr>
                <w:color w:val="auto"/>
                <w:sz w:val="21"/>
                <w:szCs w:val="22"/>
              </w:rPr>
              <w:t>0.0429</w:t>
            </w:r>
          </w:p>
        </w:tc>
        <w:tc>
          <w:tcPr>
            <w:tcW w:w="1179" w:type="dxa"/>
          </w:tcPr>
          <w:p>
            <w:pPr>
              <w:jc w:val="center"/>
              <w:rPr>
                <w:color w:val="auto"/>
                <w:sz w:val="21"/>
                <w:szCs w:val="22"/>
              </w:rPr>
            </w:pPr>
            <w:r>
              <w:rPr>
                <w:color w:val="auto"/>
                <w:sz w:val="21"/>
                <w:szCs w:val="22"/>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1100</w:t>
            </w:r>
          </w:p>
        </w:tc>
        <w:tc>
          <w:tcPr>
            <w:tcW w:w="2375" w:type="dxa"/>
          </w:tcPr>
          <w:p>
            <w:pPr>
              <w:jc w:val="center"/>
              <w:rPr>
                <w:color w:val="auto"/>
                <w:sz w:val="21"/>
                <w:szCs w:val="22"/>
              </w:rPr>
            </w:pPr>
            <w:r>
              <w:rPr>
                <w:color w:val="auto"/>
                <w:sz w:val="21"/>
                <w:szCs w:val="22"/>
              </w:rPr>
              <w:t>0.1113</w:t>
            </w:r>
          </w:p>
        </w:tc>
        <w:tc>
          <w:tcPr>
            <w:tcW w:w="1134" w:type="dxa"/>
          </w:tcPr>
          <w:p>
            <w:pPr>
              <w:jc w:val="center"/>
              <w:rPr>
                <w:color w:val="auto"/>
                <w:sz w:val="21"/>
                <w:szCs w:val="22"/>
              </w:rPr>
            </w:pPr>
            <w:r>
              <w:rPr>
                <w:color w:val="auto"/>
                <w:sz w:val="21"/>
                <w:szCs w:val="22"/>
              </w:rPr>
              <w:t>1.11</w:t>
            </w:r>
          </w:p>
        </w:tc>
        <w:tc>
          <w:tcPr>
            <w:tcW w:w="2410" w:type="dxa"/>
          </w:tcPr>
          <w:p>
            <w:pPr>
              <w:jc w:val="center"/>
              <w:rPr>
                <w:color w:val="auto"/>
                <w:sz w:val="21"/>
                <w:szCs w:val="22"/>
              </w:rPr>
            </w:pPr>
            <w:r>
              <w:rPr>
                <w:color w:val="auto"/>
                <w:sz w:val="21"/>
                <w:szCs w:val="22"/>
              </w:rPr>
              <w:t>0.0374</w:t>
            </w:r>
          </w:p>
        </w:tc>
        <w:tc>
          <w:tcPr>
            <w:tcW w:w="1179" w:type="dxa"/>
          </w:tcPr>
          <w:p>
            <w:pPr>
              <w:jc w:val="center"/>
              <w:rPr>
                <w:color w:val="auto"/>
                <w:sz w:val="21"/>
                <w:szCs w:val="22"/>
              </w:rPr>
            </w:pPr>
            <w:r>
              <w:rPr>
                <w:color w:val="auto"/>
                <w:sz w:val="21"/>
                <w:szCs w:val="22"/>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1390</w:t>
            </w:r>
          </w:p>
        </w:tc>
        <w:tc>
          <w:tcPr>
            <w:tcW w:w="2375" w:type="dxa"/>
          </w:tcPr>
          <w:p>
            <w:pPr>
              <w:jc w:val="center"/>
              <w:rPr>
                <w:color w:val="auto"/>
                <w:sz w:val="21"/>
                <w:szCs w:val="22"/>
              </w:rPr>
            </w:pPr>
            <w:r>
              <w:rPr>
                <w:color w:val="auto"/>
                <w:sz w:val="21"/>
                <w:szCs w:val="22"/>
              </w:rPr>
              <w:t>0.0965</w:t>
            </w:r>
          </w:p>
        </w:tc>
        <w:tc>
          <w:tcPr>
            <w:tcW w:w="1134" w:type="dxa"/>
          </w:tcPr>
          <w:p>
            <w:pPr>
              <w:jc w:val="center"/>
              <w:rPr>
                <w:color w:val="auto"/>
                <w:sz w:val="21"/>
                <w:szCs w:val="22"/>
              </w:rPr>
            </w:pPr>
            <w:r>
              <w:rPr>
                <w:color w:val="auto"/>
                <w:sz w:val="21"/>
                <w:szCs w:val="22"/>
              </w:rPr>
              <w:t>0.97</w:t>
            </w:r>
          </w:p>
        </w:tc>
        <w:tc>
          <w:tcPr>
            <w:tcW w:w="2410" w:type="dxa"/>
          </w:tcPr>
          <w:p>
            <w:pPr>
              <w:jc w:val="center"/>
              <w:rPr>
                <w:color w:val="auto"/>
                <w:sz w:val="21"/>
                <w:szCs w:val="22"/>
              </w:rPr>
            </w:pPr>
            <w:r>
              <w:rPr>
                <w:color w:val="auto"/>
                <w:sz w:val="21"/>
                <w:szCs w:val="22"/>
              </w:rPr>
              <w:t>0.0324</w:t>
            </w:r>
          </w:p>
        </w:tc>
        <w:tc>
          <w:tcPr>
            <w:tcW w:w="1179" w:type="dxa"/>
          </w:tcPr>
          <w:p>
            <w:pPr>
              <w:jc w:val="center"/>
              <w:rPr>
                <w:color w:val="auto"/>
                <w:sz w:val="21"/>
                <w:szCs w:val="22"/>
              </w:rPr>
            </w:pPr>
            <w:r>
              <w:rPr>
                <w:color w:val="auto"/>
                <w:sz w:val="21"/>
                <w:szCs w:val="22"/>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1400</w:t>
            </w:r>
          </w:p>
        </w:tc>
        <w:tc>
          <w:tcPr>
            <w:tcW w:w="2375" w:type="dxa"/>
          </w:tcPr>
          <w:p>
            <w:pPr>
              <w:jc w:val="center"/>
              <w:rPr>
                <w:color w:val="auto"/>
                <w:sz w:val="21"/>
                <w:szCs w:val="22"/>
              </w:rPr>
            </w:pPr>
            <w:r>
              <w:rPr>
                <w:color w:val="auto"/>
                <w:sz w:val="21"/>
                <w:szCs w:val="22"/>
              </w:rPr>
              <w:t>0.0961</w:t>
            </w:r>
          </w:p>
        </w:tc>
        <w:tc>
          <w:tcPr>
            <w:tcW w:w="1134" w:type="dxa"/>
          </w:tcPr>
          <w:p>
            <w:pPr>
              <w:jc w:val="center"/>
              <w:rPr>
                <w:color w:val="auto"/>
                <w:sz w:val="21"/>
                <w:szCs w:val="22"/>
              </w:rPr>
            </w:pPr>
            <w:r>
              <w:rPr>
                <w:color w:val="auto"/>
                <w:sz w:val="21"/>
                <w:szCs w:val="22"/>
              </w:rPr>
              <w:t>0.96</w:t>
            </w:r>
          </w:p>
        </w:tc>
        <w:tc>
          <w:tcPr>
            <w:tcW w:w="2410" w:type="dxa"/>
          </w:tcPr>
          <w:p>
            <w:pPr>
              <w:jc w:val="center"/>
              <w:rPr>
                <w:color w:val="auto"/>
                <w:sz w:val="21"/>
                <w:szCs w:val="22"/>
              </w:rPr>
            </w:pPr>
            <w:r>
              <w:rPr>
                <w:color w:val="auto"/>
                <w:sz w:val="21"/>
                <w:szCs w:val="22"/>
              </w:rPr>
              <w:t>0.0322</w:t>
            </w:r>
          </w:p>
        </w:tc>
        <w:tc>
          <w:tcPr>
            <w:tcW w:w="1179" w:type="dxa"/>
          </w:tcPr>
          <w:p>
            <w:pPr>
              <w:jc w:val="center"/>
              <w:rPr>
                <w:color w:val="auto"/>
                <w:sz w:val="21"/>
                <w:szCs w:val="22"/>
              </w:rPr>
            </w:pPr>
            <w:r>
              <w:rPr>
                <w:color w:val="auto"/>
                <w:sz w:val="21"/>
                <w:szCs w:val="22"/>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1480</w:t>
            </w:r>
          </w:p>
        </w:tc>
        <w:tc>
          <w:tcPr>
            <w:tcW w:w="2375" w:type="dxa"/>
          </w:tcPr>
          <w:p>
            <w:pPr>
              <w:jc w:val="center"/>
              <w:rPr>
                <w:color w:val="auto"/>
                <w:sz w:val="21"/>
                <w:szCs w:val="22"/>
              </w:rPr>
            </w:pPr>
            <w:r>
              <w:rPr>
                <w:color w:val="auto"/>
                <w:sz w:val="21"/>
                <w:szCs w:val="22"/>
              </w:rPr>
              <w:t>0.0925</w:t>
            </w:r>
          </w:p>
        </w:tc>
        <w:tc>
          <w:tcPr>
            <w:tcW w:w="1134" w:type="dxa"/>
          </w:tcPr>
          <w:p>
            <w:pPr>
              <w:jc w:val="center"/>
              <w:rPr>
                <w:color w:val="auto"/>
                <w:sz w:val="21"/>
                <w:szCs w:val="22"/>
              </w:rPr>
            </w:pPr>
            <w:r>
              <w:rPr>
                <w:color w:val="auto"/>
                <w:sz w:val="21"/>
                <w:szCs w:val="22"/>
              </w:rPr>
              <w:t>0.92</w:t>
            </w:r>
          </w:p>
        </w:tc>
        <w:tc>
          <w:tcPr>
            <w:tcW w:w="2410" w:type="dxa"/>
          </w:tcPr>
          <w:p>
            <w:pPr>
              <w:jc w:val="center"/>
              <w:rPr>
                <w:color w:val="auto"/>
                <w:sz w:val="21"/>
                <w:szCs w:val="22"/>
              </w:rPr>
            </w:pPr>
            <w:r>
              <w:rPr>
                <w:color w:val="auto"/>
                <w:sz w:val="21"/>
                <w:szCs w:val="22"/>
              </w:rPr>
              <w:t>0.0310</w:t>
            </w:r>
          </w:p>
        </w:tc>
        <w:tc>
          <w:tcPr>
            <w:tcW w:w="1179" w:type="dxa"/>
          </w:tcPr>
          <w:p>
            <w:pPr>
              <w:jc w:val="center"/>
              <w:rPr>
                <w:color w:val="auto"/>
                <w:sz w:val="21"/>
                <w:szCs w:val="22"/>
              </w:rPr>
            </w:pPr>
            <w:r>
              <w:rPr>
                <w:color w:val="auto"/>
                <w:sz w:val="21"/>
                <w:szCs w:val="22"/>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1580</w:t>
            </w:r>
          </w:p>
        </w:tc>
        <w:tc>
          <w:tcPr>
            <w:tcW w:w="2375" w:type="dxa"/>
          </w:tcPr>
          <w:p>
            <w:pPr>
              <w:jc w:val="center"/>
              <w:rPr>
                <w:color w:val="auto"/>
                <w:sz w:val="21"/>
                <w:szCs w:val="22"/>
              </w:rPr>
            </w:pPr>
            <w:r>
              <w:rPr>
                <w:color w:val="auto"/>
                <w:sz w:val="21"/>
                <w:szCs w:val="22"/>
              </w:rPr>
              <w:t>0.0883</w:t>
            </w:r>
          </w:p>
        </w:tc>
        <w:tc>
          <w:tcPr>
            <w:tcW w:w="1134" w:type="dxa"/>
          </w:tcPr>
          <w:p>
            <w:pPr>
              <w:jc w:val="center"/>
              <w:rPr>
                <w:color w:val="auto"/>
                <w:sz w:val="21"/>
                <w:szCs w:val="22"/>
              </w:rPr>
            </w:pPr>
            <w:r>
              <w:rPr>
                <w:color w:val="auto"/>
                <w:sz w:val="21"/>
                <w:szCs w:val="22"/>
              </w:rPr>
              <w:t>0.88</w:t>
            </w:r>
          </w:p>
        </w:tc>
        <w:tc>
          <w:tcPr>
            <w:tcW w:w="2410" w:type="dxa"/>
          </w:tcPr>
          <w:p>
            <w:pPr>
              <w:jc w:val="center"/>
              <w:rPr>
                <w:color w:val="auto"/>
                <w:sz w:val="21"/>
                <w:szCs w:val="22"/>
              </w:rPr>
            </w:pPr>
            <w:r>
              <w:rPr>
                <w:color w:val="auto"/>
                <w:sz w:val="21"/>
                <w:szCs w:val="22"/>
              </w:rPr>
              <w:t>0.0296</w:t>
            </w:r>
          </w:p>
        </w:tc>
        <w:tc>
          <w:tcPr>
            <w:tcW w:w="1179" w:type="dxa"/>
          </w:tcPr>
          <w:p>
            <w:pPr>
              <w:jc w:val="center"/>
              <w:rPr>
                <w:color w:val="auto"/>
                <w:sz w:val="21"/>
                <w:szCs w:val="22"/>
              </w:rPr>
            </w:pPr>
            <w:r>
              <w:rPr>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1590</w:t>
            </w:r>
          </w:p>
        </w:tc>
        <w:tc>
          <w:tcPr>
            <w:tcW w:w="2375" w:type="dxa"/>
          </w:tcPr>
          <w:p>
            <w:pPr>
              <w:jc w:val="center"/>
              <w:rPr>
                <w:color w:val="auto"/>
                <w:sz w:val="21"/>
                <w:szCs w:val="22"/>
              </w:rPr>
            </w:pPr>
            <w:r>
              <w:rPr>
                <w:color w:val="auto"/>
                <w:sz w:val="21"/>
                <w:szCs w:val="22"/>
              </w:rPr>
              <w:t>0.0879</w:t>
            </w:r>
          </w:p>
        </w:tc>
        <w:tc>
          <w:tcPr>
            <w:tcW w:w="1134" w:type="dxa"/>
          </w:tcPr>
          <w:p>
            <w:pPr>
              <w:jc w:val="center"/>
              <w:rPr>
                <w:color w:val="auto"/>
                <w:sz w:val="21"/>
                <w:szCs w:val="22"/>
              </w:rPr>
            </w:pPr>
            <w:r>
              <w:rPr>
                <w:color w:val="auto"/>
                <w:sz w:val="21"/>
                <w:szCs w:val="22"/>
              </w:rPr>
              <w:t>0.88</w:t>
            </w:r>
          </w:p>
        </w:tc>
        <w:tc>
          <w:tcPr>
            <w:tcW w:w="2410" w:type="dxa"/>
          </w:tcPr>
          <w:p>
            <w:pPr>
              <w:jc w:val="center"/>
              <w:rPr>
                <w:color w:val="auto"/>
                <w:sz w:val="21"/>
                <w:szCs w:val="22"/>
              </w:rPr>
            </w:pPr>
            <w:r>
              <w:rPr>
                <w:color w:val="auto"/>
                <w:sz w:val="21"/>
                <w:szCs w:val="22"/>
              </w:rPr>
              <w:t>0.0295</w:t>
            </w:r>
          </w:p>
        </w:tc>
        <w:tc>
          <w:tcPr>
            <w:tcW w:w="1179" w:type="dxa"/>
          </w:tcPr>
          <w:p>
            <w:pPr>
              <w:jc w:val="center"/>
              <w:rPr>
                <w:color w:val="auto"/>
                <w:sz w:val="21"/>
                <w:szCs w:val="22"/>
              </w:rPr>
            </w:pPr>
            <w:r>
              <w:rPr>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1720</w:t>
            </w:r>
          </w:p>
        </w:tc>
        <w:tc>
          <w:tcPr>
            <w:tcW w:w="2375" w:type="dxa"/>
          </w:tcPr>
          <w:p>
            <w:pPr>
              <w:jc w:val="center"/>
              <w:rPr>
                <w:color w:val="auto"/>
                <w:sz w:val="21"/>
                <w:szCs w:val="22"/>
              </w:rPr>
            </w:pPr>
            <w:r>
              <w:rPr>
                <w:color w:val="auto"/>
                <w:sz w:val="21"/>
                <w:szCs w:val="22"/>
              </w:rPr>
              <w:t>0.0830</w:t>
            </w:r>
          </w:p>
        </w:tc>
        <w:tc>
          <w:tcPr>
            <w:tcW w:w="1134" w:type="dxa"/>
          </w:tcPr>
          <w:p>
            <w:pPr>
              <w:jc w:val="center"/>
              <w:rPr>
                <w:color w:val="auto"/>
                <w:sz w:val="21"/>
                <w:szCs w:val="22"/>
              </w:rPr>
            </w:pPr>
            <w:r>
              <w:rPr>
                <w:color w:val="auto"/>
                <w:sz w:val="21"/>
                <w:szCs w:val="22"/>
              </w:rPr>
              <w:t>0.83</w:t>
            </w:r>
          </w:p>
        </w:tc>
        <w:tc>
          <w:tcPr>
            <w:tcW w:w="2410" w:type="dxa"/>
          </w:tcPr>
          <w:p>
            <w:pPr>
              <w:jc w:val="center"/>
              <w:rPr>
                <w:color w:val="auto"/>
                <w:sz w:val="21"/>
                <w:szCs w:val="22"/>
              </w:rPr>
            </w:pPr>
            <w:r>
              <w:rPr>
                <w:color w:val="auto"/>
                <w:sz w:val="21"/>
                <w:szCs w:val="22"/>
              </w:rPr>
              <w:t>0.0279</w:t>
            </w:r>
          </w:p>
        </w:tc>
        <w:tc>
          <w:tcPr>
            <w:tcW w:w="1179" w:type="dxa"/>
          </w:tcPr>
          <w:p>
            <w:pPr>
              <w:jc w:val="center"/>
              <w:rPr>
                <w:color w:val="auto"/>
                <w:sz w:val="21"/>
                <w:szCs w:val="22"/>
              </w:rPr>
            </w:pPr>
            <w:r>
              <w:rPr>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1820</w:t>
            </w:r>
          </w:p>
        </w:tc>
        <w:tc>
          <w:tcPr>
            <w:tcW w:w="2375" w:type="dxa"/>
          </w:tcPr>
          <w:p>
            <w:pPr>
              <w:jc w:val="center"/>
              <w:rPr>
                <w:color w:val="auto"/>
                <w:sz w:val="21"/>
                <w:szCs w:val="22"/>
              </w:rPr>
            </w:pPr>
            <w:r>
              <w:rPr>
                <w:color w:val="auto"/>
                <w:sz w:val="21"/>
                <w:szCs w:val="22"/>
              </w:rPr>
              <w:t>0.0796</w:t>
            </w:r>
          </w:p>
        </w:tc>
        <w:tc>
          <w:tcPr>
            <w:tcW w:w="1134" w:type="dxa"/>
          </w:tcPr>
          <w:p>
            <w:pPr>
              <w:jc w:val="center"/>
              <w:rPr>
                <w:color w:val="auto"/>
                <w:sz w:val="21"/>
                <w:szCs w:val="22"/>
              </w:rPr>
            </w:pPr>
            <w:r>
              <w:rPr>
                <w:color w:val="auto"/>
                <w:sz w:val="21"/>
                <w:szCs w:val="22"/>
              </w:rPr>
              <w:t>0.80</w:t>
            </w:r>
          </w:p>
        </w:tc>
        <w:tc>
          <w:tcPr>
            <w:tcW w:w="2410" w:type="dxa"/>
          </w:tcPr>
          <w:p>
            <w:pPr>
              <w:jc w:val="center"/>
              <w:rPr>
                <w:color w:val="auto"/>
                <w:sz w:val="21"/>
                <w:szCs w:val="22"/>
              </w:rPr>
            </w:pPr>
            <w:r>
              <w:rPr>
                <w:color w:val="auto"/>
                <w:sz w:val="21"/>
                <w:szCs w:val="22"/>
              </w:rPr>
              <w:t>0.0267</w:t>
            </w:r>
          </w:p>
        </w:tc>
        <w:tc>
          <w:tcPr>
            <w:tcW w:w="1179" w:type="dxa"/>
          </w:tcPr>
          <w:p>
            <w:pPr>
              <w:jc w:val="center"/>
              <w:rPr>
                <w:color w:val="auto"/>
                <w:sz w:val="21"/>
                <w:szCs w:val="22"/>
              </w:rPr>
            </w:pPr>
            <w:r>
              <w:rPr>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1830</w:t>
            </w:r>
          </w:p>
        </w:tc>
        <w:tc>
          <w:tcPr>
            <w:tcW w:w="2375" w:type="dxa"/>
          </w:tcPr>
          <w:p>
            <w:pPr>
              <w:jc w:val="center"/>
              <w:rPr>
                <w:color w:val="auto"/>
                <w:sz w:val="21"/>
                <w:szCs w:val="22"/>
              </w:rPr>
            </w:pPr>
            <w:r>
              <w:rPr>
                <w:color w:val="auto"/>
                <w:sz w:val="21"/>
                <w:szCs w:val="22"/>
              </w:rPr>
              <w:t>0.0793</w:t>
            </w:r>
          </w:p>
        </w:tc>
        <w:tc>
          <w:tcPr>
            <w:tcW w:w="1134" w:type="dxa"/>
          </w:tcPr>
          <w:p>
            <w:pPr>
              <w:jc w:val="center"/>
              <w:rPr>
                <w:color w:val="auto"/>
                <w:sz w:val="21"/>
                <w:szCs w:val="22"/>
              </w:rPr>
            </w:pPr>
            <w:r>
              <w:rPr>
                <w:color w:val="auto"/>
                <w:sz w:val="21"/>
                <w:szCs w:val="22"/>
              </w:rPr>
              <w:t>0.79</w:t>
            </w:r>
          </w:p>
        </w:tc>
        <w:tc>
          <w:tcPr>
            <w:tcW w:w="2410" w:type="dxa"/>
          </w:tcPr>
          <w:p>
            <w:pPr>
              <w:jc w:val="center"/>
              <w:rPr>
                <w:color w:val="auto"/>
                <w:sz w:val="21"/>
                <w:szCs w:val="22"/>
              </w:rPr>
            </w:pPr>
            <w:r>
              <w:rPr>
                <w:color w:val="auto"/>
                <w:sz w:val="21"/>
                <w:szCs w:val="22"/>
              </w:rPr>
              <w:t>0.0266</w:t>
            </w:r>
          </w:p>
        </w:tc>
        <w:tc>
          <w:tcPr>
            <w:tcW w:w="1179" w:type="dxa"/>
          </w:tcPr>
          <w:p>
            <w:pPr>
              <w:jc w:val="center"/>
              <w:rPr>
                <w:color w:val="auto"/>
                <w:sz w:val="21"/>
                <w:szCs w:val="22"/>
              </w:rPr>
            </w:pPr>
            <w:r>
              <w:rPr>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rFonts w:ascii="宋体" w:hAnsi="宋体" w:cs="宋体"/>
                <w:color w:val="auto"/>
                <w:sz w:val="21"/>
                <w:szCs w:val="21"/>
              </w:rPr>
            </w:pPr>
            <w:r>
              <w:rPr>
                <w:color w:val="auto"/>
                <w:sz w:val="21"/>
                <w:szCs w:val="21"/>
              </w:rPr>
              <w:t>1990</w:t>
            </w:r>
          </w:p>
        </w:tc>
        <w:tc>
          <w:tcPr>
            <w:tcW w:w="2375" w:type="dxa"/>
          </w:tcPr>
          <w:p>
            <w:pPr>
              <w:jc w:val="center"/>
              <w:rPr>
                <w:color w:val="auto"/>
                <w:sz w:val="21"/>
                <w:szCs w:val="22"/>
              </w:rPr>
            </w:pPr>
            <w:r>
              <w:rPr>
                <w:color w:val="auto"/>
                <w:sz w:val="21"/>
                <w:szCs w:val="22"/>
              </w:rPr>
              <w:t>0.0743</w:t>
            </w:r>
          </w:p>
        </w:tc>
        <w:tc>
          <w:tcPr>
            <w:tcW w:w="1134" w:type="dxa"/>
          </w:tcPr>
          <w:p>
            <w:pPr>
              <w:jc w:val="center"/>
              <w:rPr>
                <w:color w:val="auto"/>
                <w:sz w:val="21"/>
                <w:szCs w:val="22"/>
              </w:rPr>
            </w:pPr>
            <w:r>
              <w:rPr>
                <w:color w:val="auto"/>
                <w:sz w:val="21"/>
                <w:szCs w:val="22"/>
              </w:rPr>
              <w:t>0.74</w:t>
            </w:r>
          </w:p>
        </w:tc>
        <w:tc>
          <w:tcPr>
            <w:tcW w:w="2410" w:type="dxa"/>
          </w:tcPr>
          <w:p>
            <w:pPr>
              <w:jc w:val="center"/>
              <w:rPr>
                <w:color w:val="auto"/>
                <w:sz w:val="21"/>
                <w:szCs w:val="22"/>
              </w:rPr>
            </w:pPr>
            <w:r>
              <w:rPr>
                <w:color w:val="auto"/>
                <w:sz w:val="21"/>
                <w:szCs w:val="22"/>
              </w:rPr>
              <w:t>0.0249</w:t>
            </w:r>
          </w:p>
        </w:tc>
        <w:tc>
          <w:tcPr>
            <w:tcW w:w="1179" w:type="dxa"/>
          </w:tcPr>
          <w:p>
            <w:pPr>
              <w:jc w:val="center"/>
              <w:rPr>
                <w:color w:val="auto"/>
                <w:sz w:val="21"/>
                <w:szCs w:val="22"/>
              </w:rPr>
            </w:pPr>
            <w:r>
              <w:rPr>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color w:val="auto"/>
                <w:sz w:val="21"/>
                <w:szCs w:val="21"/>
              </w:rPr>
            </w:pPr>
            <w:r>
              <w:rPr>
                <w:color w:val="auto"/>
                <w:sz w:val="21"/>
                <w:szCs w:val="21"/>
              </w:rPr>
              <w:t>2100</w:t>
            </w:r>
          </w:p>
        </w:tc>
        <w:tc>
          <w:tcPr>
            <w:tcW w:w="2375" w:type="dxa"/>
          </w:tcPr>
          <w:p>
            <w:pPr>
              <w:jc w:val="center"/>
              <w:rPr>
                <w:color w:val="auto"/>
                <w:sz w:val="21"/>
                <w:szCs w:val="22"/>
              </w:rPr>
            </w:pPr>
            <w:r>
              <w:rPr>
                <w:color w:val="auto"/>
                <w:sz w:val="21"/>
                <w:szCs w:val="22"/>
              </w:rPr>
              <w:t>0.0712</w:t>
            </w:r>
          </w:p>
        </w:tc>
        <w:tc>
          <w:tcPr>
            <w:tcW w:w="1134" w:type="dxa"/>
          </w:tcPr>
          <w:p>
            <w:pPr>
              <w:jc w:val="center"/>
              <w:rPr>
                <w:color w:val="auto"/>
                <w:sz w:val="21"/>
                <w:szCs w:val="22"/>
              </w:rPr>
            </w:pPr>
            <w:r>
              <w:rPr>
                <w:color w:val="auto"/>
                <w:sz w:val="21"/>
                <w:szCs w:val="22"/>
              </w:rPr>
              <w:t>0.71</w:t>
            </w:r>
          </w:p>
        </w:tc>
        <w:tc>
          <w:tcPr>
            <w:tcW w:w="2410" w:type="dxa"/>
          </w:tcPr>
          <w:p>
            <w:pPr>
              <w:jc w:val="center"/>
              <w:rPr>
                <w:color w:val="auto"/>
                <w:sz w:val="21"/>
                <w:szCs w:val="22"/>
              </w:rPr>
            </w:pPr>
            <w:r>
              <w:rPr>
                <w:color w:val="auto"/>
                <w:sz w:val="21"/>
                <w:szCs w:val="22"/>
              </w:rPr>
              <w:t>0.0239</w:t>
            </w:r>
          </w:p>
        </w:tc>
        <w:tc>
          <w:tcPr>
            <w:tcW w:w="1179" w:type="dxa"/>
          </w:tcPr>
          <w:p>
            <w:pPr>
              <w:jc w:val="center"/>
              <w:rPr>
                <w:color w:val="auto"/>
                <w:sz w:val="21"/>
                <w:szCs w:val="22"/>
              </w:rPr>
            </w:pPr>
            <w:r>
              <w:rPr>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125" w:type="dxa"/>
            <w:vAlign w:val="center"/>
          </w:tcPr>
          <w:p>
            <w:pPr>
              <w:jc w:val="center"/>
              <w:rPr>
                <w:color w:val="auto"/>
                <w:sz w:val="21"/>
                <w:szCs w:val="21"/>
              </w:rPr>
            </w:pPr>
            <w:r>
              <w:rPr>
                <w:color w:val="auto"/>
                <w:sz w:val="21"/>
                <w:szCs w:val="21"/>
              </w:rPr>
              <w:t>2220</w:t>
            </w:r>
          </w:p>
        </w:tc>
        <w:tc>
          <w:tcPr>
            <w:tcW w:w="2375" w:type="dxa"/>
            <w:vAlign w:val="center"/>
          </w:tcPr>
          <w:p>
            <w:pPr>
              <w:jc w:val="center"/>
              <w:rPr>
                <w:color w:val="auto"/>
                <w:sz w:val="21"/>
                <w:szCs w:val="22"/>
              </w:rPr>
            </w:pPr>
            <w:r>
              <w:rPr>
                <w:rFonts w:hint="eastAsia"/>
                <w:color w:val="auto"/>
                <w:sz w:val="21"/>
                <w:szCs w:val="22"/>
              </w:rPr>
              <w:t xml:space="preserve">0.0689        </w:t>
            </w:r>
          </w:p>
        </w:tc>
        <w:tc>
          <w:tcPr>
            <w:tcW w:w="1134" w:type="dxa"/>
            <w:vAlign w:val="center"/>
          </w:tcPr>
          <w:p>
            <w:pPr>
              <w:jc w:val="center"/>
              <w:rPr>
                <w:color w:val="auto"/>
                <w:sz w:val="21"/>
                <w:szCs w:val="22"/>
              </w:rPr>
            </w:pPr>
            <w:r>
              <w:rPr>
                <w:rFonts w:hint="eastAsia"/>
                <w:color w:val="auto"/>
                <w:sz w:val="21"/>
                <w:szCs w:val="22"/>
              </w:rPr>
              <w:t>0.69</w:t>
            </w:r>
          </w:p>
        </w:tc>
        <w:tc>
          <w:tcPr>
            <w:tcW w:w="2410" w:type="dxa"/>
            <w:vAlign w:val="center"/>
          </w:tcPr>
          <w:p>
            <w:pPr>
              <w:jc w:val="center"/>
              <w:rPr>
                <w:color w:val="auto"/>
                <w:sz w:val="21"/>
                <w:szCs w:val="22"/>
              </w:rPr>
            </w:pPr>
            <w:r>
              <w:rPr>
                <w:rFonts w:hint="eastAsia"/>
                <w:color w:val="auto"/>
                <w:sz w:val="21"/>
                <w:szCs w:val="22"/>
              </w:rPr>
              <w:t>0.0231</w:t>
            </w:r>
          </w:p>
        </w:tc>
        <w:tc>
          <w:tcPr>
            <w:tcW w:w="1179" w:type="dxa"/>
            <w:vAlign w:val="center"/>
          </w:tcPr>
          <w:p>
            <w:pPr>
              <w:jc w:val="center"/>
              <w:rPr>
                <w:color w:val="auto"/>
                <w:sz w:val="21"/>
                <w:szCs w:val="22"/>
              </w:rPr>
            </w:pPr>
            <w:r>
              <w:rPr>
                <w:rFonts w:hint="eastAsia"/>
                <w:color w:val="auto"/>
                <w:sz w:val="21"/>
                <w:szCs w:val="22"/>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25"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下风向最大质量浓度及占标</w:t>
            </w:r>
          </w:p>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率（</w:t>
            </w:r>
            <w:r>
              <w:rPr>
                <w:rFonts w:ascii="Times New Roman" w:hAnsi="Times New Roman" w:eastAsia="宋体"/>
                <w:color w:val="auto"/>
                <w:sz w:val="21"/>
                <w:szCs w:val="21"/>
              </w:rPr>
              <w:t>%</w:t>
            </w:r>
            <w:r>
              <w:rPr>
                <w:rFonts w:ascii="Times New Roman" w:hAnsi="宋体" w:eastAsia="宋体"/>
                <w:color w:val="auto"/>
                <w:sz w:val="21"/>
                <w:szCs w:val="21"/>
              </w:rPr>
              <w:t>）</w:t>
            </w:r>
          </w:p>
        </w:tc>
        <w:tc>
          <w:tcPr>
            <w:tcW w:w="2375" w:type="dxa"/>
            <w:vAlign w:val="center"/>
          </w:tcPr>
          <w:p>
            <w:pPr>
              <w:jc w:val="center"/>
              <w:rPr>
                <w:color w:val="auto"/>
                <w:sz w:val="21"/>
                <w:szCs w:val="21"/>
              </w:rPr>
            </w:pPr>
            <w:r>
              <w:rPr>
                <w:rFonts w:hint="eastAsia"/>
                <w:color w:val="auto"/>
                <w:sz w:val="21"/>
                <w:szCs w:val="21"/>
              </w:rPr>
              <w:t>0.4532</w:t>
            </w:r>
          </w:p>
          <w:p>
            <w:pPr>
              <w:jc w:val="center"/>
              <w:rPr>
                <w:color w:val="auto"/>
                <w:sz w:val="21"/>
                <w:szCs w:val="21"/>
              </w:rPr>
            </w:pPr>
            <w:r>
              <w:rPr>
                <w:rFonts w:hint="eastAsia"/>
                <w:color w:val="auto"/>
                <w:sz w:val="21"/>
                <w:szCs w:val="21"/>
              </w:rPr>
              <w:t>（离源距离46m）</w:t>
            </w:r>
          </w:p>
        </w:tc>
        <w:tc>
          <w:tcPr>
            <w:tcW w:w="1134" w:type="dxa"/>
            <w:vAlign w:val="center"/>
          </w:tcPr>
          <w:p>
            <w:pPr>
              <w:jc w:val="center"/>
              <w:rPr>
                <w:color w:val="auto"/>
                <w:sz w:val="21"/>
                <w:szCs w:val="21"/>
              </w:rPr>
            </w:pPr>
            <w:r>
              <w:rPr>
                <w:rFonts w:hint="eastAsia"/>
                <w:color w:val="auto"/>
                <w:sz w:val="21"/>
                <w:szCs w:val="21"/>
              </w:rPr>
              <w:t>4.53</w:t>
            </w:r>
          </w:p>
        </w:tc>
        <w:tc>
          <w:tcPr>
            <w:tcW w:w="2410" w:type="dxa"/>
            <w:vAlign w:val="center"/>
          </w:tcPr>
          <w:p>
            <w:pPr>
              <w:jc w:val="center"/>
              <w:rPr>
                <w:color w:val="auto"/>
                <w:sz w:val="21"/>
                <w:szCs w:val="21"/>
              </w:rPr>
            </w:pPr>
            <w:r>
              <w:rPr>
                <w:rFonts w:hint="eastAsia"/>
                <w:color w:val="auto"/>
                <w:sz w:val="21"/>
                <w:szCs w:val="21"/>
              </w:rPr>
              <w:t>0.1521</w:t>
            </w:r>
          </w:p>
          <w:p>
            <w:pPr>
              <w:jc w:val="center"/>
              <w:rPr>
                <w:color w:val="auto"/>
                <w:sz w:val="21"/>
                <w:szCs w:val="21"/>
              </w:rPr>
            </w:pPr>
            <w:r>
              <w:rPr>
                <w:rFonts w:hint="eastAsia"/>
                <w:color w:val="auto"/>
                <w:sz w:val="21"/>
                <w:szCs w:val="21"/>
              </w:rPr>
              <w:t>（离源距离46m）</w:t>
            </w:r>
          </w:p>
        </w:tc>
        <w:tc>
          <w:tcPr>
            <w:tcW w:w="1179" w:type="dxa"/>
            <w:vAlign w:val="center"/>
          </w:tcPr>
          <w:p>
            <w:pPr>
              <w:jc w:val="center"/>
              <w:rPr>
                <w:color w:val="auto"/>
                <w:sz w:val="21"/>
                <w:szCs w:val="21"/>
              </w:rPr>
            </w:pPr>
            <w:r>
              <w:rPr>
                <w:rFonts w:hint="eastAsia"/>
                <w:color w:val="auto"/>
                <w:sz w:val="21"/>
                <w:szCs w:val="21"/>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125" w:type="dxa"/>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D10%</w:t>
            </w:r>
            <w:r>
              <w:rPr>
                <w:rFonts w:ascii="Times New Roman" w:hAnsi="宋体" w:eastAsia="宋体"/>
                <w:color w:val="auto"/>
                <w:sz w:val="21"/>
                <w:szCs w:val="21"/>
              </w:rPr>
              <w:t>最</w:t>
            </w:r>
          </w:p>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远距离</w:t>
            </w:r>
            <w:r>
              <w:rPr>
                <w:rFonts w:ascii="Times New Roman" w:hAnsi="Times New Roman" w:eastAsia="宋体"/>
                <w:color w:val="auto"/>
                <w:sz w:val="21"/>
                <w:szCs w:val="21"/>
              </w:rPr>
              <w:t>/m</w:t>
            </w:r>
          </w:p>
        </w:tc>
        <w:tc>
          <w:tcPr>
            <w:tcW w:w="3509" w:type="dxa"/>
            <w:gridSpan w:val="2"/>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≤0</w:t>
            </w:r>
          </w:p>
        </w:tc>
        <w:tc>
          <w:tcPr>
            <w:tcW w:w="3589" w:type="dxa"/>
            <w:gridSpan w:val="2"/>
            <w:vAlign w:val="center"/>
          </w:tcPr>
          <w:p>
            <w:pPr>
              <w:pStyle w:val="49"/>
              <w:spacing w:line="240" w:lineRule="auto"/>
              <w:rPr>
                <w:rFonts w:ascii="Times New Roman" w:hAnsi="Times New Roman" w:eastAsia="宋体"/>
                <w:color w:val="auto"/>
                <w:sz w:val="21"/>
                <w:szCs w:val="21"/>
              </w:rPr>
            </w:pPr>
            <w:r>
              <w:rPr>
                <w:rFonts w:ascii="Times New Roman" w:hAnsi="Times New Roman" w:eastAsia="宋体"/>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125" w:type="dxa"/>
            <w:vAlign w:val="center"/>
          </w:tcPr>
          <w:p>
            <w:pPr>
              <w:pStyle w:val="49"/>
              <w:spacing w:line="240" w:lineRule="auto"/>
              <w:rPr>
                <w:rFonts w:ascii="Times New Roman" w:hAnsi="Times New Roman" w:eastAsia="宋体"/>
                <w:color w:val="auto"/>
                <w:sz w:val="21"/>
                <w:szCs w:val="21"/>
              </w:rPr>
            </w:pPr>
            <w:r>
              <w:rPr>
                <w:rFonts w:ascii="Times New Roman" w:hAnsi="宋体" w:eastAsia="宋体"/>
                <w:color w:val="auto"/>
                <w:sz w:val="21"/>
                <w:szCs w:val="21"/>
              </w:rPr>
              <w:t>评价等级</w:t>
            </w:r>
          </w:p>
        </w:tc>
        <w:tc>
          <w:tcPr>
            <w:tcW w:w="3509" w:type="dxa"/>
            <w:gridSpan w:val="2"/>
            <w:vAlign w:val="center"/>
          </w:tcPr>
          <w:p>
            <w:pPr>
              <w:pStyle w:val="49"/>
              <w:spacing w:line="240" w:lineRule="auto"/>
              <w:rPr>
                <w:rFonts w:ascii="Times New Roman" w:hAnsi="Times New Roman" w:eastAsia="宋体"/>
                <w:color w:val="auto"/>
                <w:sz w:val="21"/>
                <w:szCs w:val="21"/>
              </w:rPr>
            </w:pPr>
            <w:r>
              <w:rPr>
                <w:rFonts w:hint="eastAsia" w:ascii="Times New Roman" w:hAnsi="宋体" w:eastAsia="宋体"/>
                <w:color w:val="auto"/>
                <w:sz w:val="21"/>
                <w:szCs w:val="21"/>
              </w:rPr>
              <w:t>二</w:t>
            </w:r>
            <w:r>
              <w:rPr>
                <w:rFonts w:ascii="Times New Roman" w:hAnsi="宋体" w:eastAsia="宋体"/>
                <w:color w:val="auto"/>
                <w:sz w:val="21"/>
                <w:szCs w:val="21"/>
              </w:rPr>
              <w:t>级</w:t>
            </w:r>
          </w:p>
        </w:tc>
        <w:tc>
          <w:tcPr>
            <w:tcW w:w="3589" w:type="dxa"/>
            <w:gridSpan w:val="2"/>
            <w:vAlign w:val="center"/>
          </w:tcPr>
          <w:p>
            <w:pPr>
              <w:pStyle w:val="49"/>
              <w:spacing w:line="240" w:lineRule="auto"/>
              <w:rPr>
                <w:rFonts w:ascii="Times New Roman" w:hAnsi="Times New Roman" w:eastAsia="宋体"/>
                <w:color w:val="auto"/>
                <w:sz w:val="21"/>
                <w:szCs w:val="21"/>
              </w:rPr>
            </w:pPr>
            <w:r>
              <w:rPr>
                <w:rFonts w:hint="eastAsia" w:ascii="Times New Roman" w:hAnsi="宋体" w:eastAsia="宋体"/>
                <w:color w:val="auto"/>
                <w:sz w:val="21"/>
                <w:szCs w:val="21"/>
              </w:rPr>
              <w:t>三</w:t>
            </w:r>
            <w:r>
              <w:rPr>
                <w:rFonts w:ascii="Times New Roman" w:hAnsi="宋体" w:eastAsia="宋体"/>
                <w:color w:val="auto"/>
                <w:sz w:val="21"/>
                <w:szCs w:val="21"/>
              </w:rPr>
              <w:t>级</w:t>
            </w:r>
          </w:p>
        </w:tc>
      </w:tr>
    </w:tbl>
    <w:p>
      <w:pPr>
        <w:spacing w:line="360" w:lineRule="auto"/>
        <w:ind w:firstLine="480" w:firstLineChars="200"/>
        <w:jc w:val="left"/>
        <w:rPr>
          <w:rFonts w:hAnsi="宋体"/>
          <w:color w:val="auto"/>
          <w:sz w:val="24"/>
          <w:szCs w:val="24"/>
        </w:rPr>
        <w:sectPr>
          <w:pgSz w:w="11906" w:h="16838"/>
          <w:pgMar w:top="1440" w:right="1797" w:bottom="1440" w:left="1797" w:header="851" w:footer="992" w:gutter="0"/>
          <w:cols w:space="425" w:num="1"/>
          <w:docGrid w:type="lines" w:linePitch="312" w:charSpace="0"/>
        </w:sectPr>
      </w:pPr>
    </w:p>
    <w:p>
      <w:pPr>
        <w:adjustRightInd w:val="0"/>
        <w:snapToGrid w:val="0"/>
        <w:spacing w:beforeLines="50" w:afterLines="50"/>
        <w:jc w:val="center"/>
        <w:rPr>
          <w:rFonts w:hAnsi="宋体"/>
          <w:color w:val="auto"/>
          <w:sz w:val="24"/>
          <w:szCs w:val="24"/>
        </w:rPr>
      </w:pPr>
      <w:r>
        <w:rPr>
          <w:rFonts w:hAnsi="宋体"/>
          <w:color w:val="auto"/>
          <w:sz w:val="24"/>
          <w:szCs w:val="24"/>
        </w:rPr>
        <w:drawing>
          <wp:inline distT="0" distB="0" distL="0" distR="0">
            <wp:extent cx="6120130" cy="1567180"/>
            <wp:effectExtent l="0" t="0" r="6350" b="2540"/>
            <wp:docPr id="7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31"/>
                    <pic:cNvPicPr>
                      <a:picLocks noChangeAspect="1" noChangeArrowheads="1"/>
                    </pic:cNvPicPr>
                  </pic:nvPicPr>
                  <pic:blipFill>
                    <a:blip r:embed="rId63" cstate="print"/>
                    <a:srcRect/>
                    <a:stretch>
                      <a:fillRect/>
                    </a:stretch>
                  </pic:blipFill>
                  <pic:spPr>
                    <a:xfrm>
                      <a:off x="0" y="0"/>
                      <a:ext cx="6120130" cy="1567180"/>
                    </a:xfrm>
                    <a:prstGeom prst="rect">
                      <a:avLst/>
                    </a:prstGeom>
                    <a:noFill/>
                    <a:ln w="9525">
                      <a:noFill/>
                      <a:miter lim="800000"/>
                      <a:headEnd/>
                      <a:tailEnd/>
                    </a:ln>
                  </pic:spPr>
                </pic:pic>
              </a:graphicData>
            </a:graphic>
          </wp:inline>
        </w:drawing>
      </w:r>
    </w:p>
    <w:p>
      <w:pPr>
        <w:adjustRightInd w:val="0"/>
        <w:snapToGrid w:val="0"/>
        <w:spacing w:beforeLines="50" w:afterLines="50"/>
        <w:jc w:val="center"/>
        <w:rPr>
          <w:rFonts w:hAnsi="宋体"/>
          <w:color w:val="auto"/>
          <w:sz w:val="24"/>
          <w:szCs w:val="24"/>
        </w:rPr>
      </w:pPr>
      <w:r>
        <w:rPr>
          <w:rFonts w:hAnsi="宋体"/>
          <w:color w:val="auto"/>
          <w:sz w:val="24"/>
          <w:szCs w:val="24"/>
        </w:rPr>
        <w:drawing>
          <wp:inline distT="0" distB="0" distL="0" distR="0">
            <wp:extent cx="6120130" cy="1487805"/>
            <wp:effectExtent l="0" t="0" r="6350" b="5715"/>
            <wp:docPr id="7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34"/>
                    <pic:cNvPicPr>
                      <a:picLocks noChangeAspect="1" noChangeArrowheads="1"/>
                    </pic:cNvPicPr>
                  </pic:nvPicPr>
                  <pic:blipFill>
                    <a:blip r:embed="rId64" cstate="print"/>
                    <a:srcRect/>
                    <a:stretch>
                      <a:fillRect/>
                    </a:stretch>
                  </pic:blipFill>
                  <pic:spPr>
                    <a:xfrm>
                      <a:off x="0" y="0"/>
                      <a:ext cx="6120130" cy="1487805"/>
                    </a:xfrm>
                    <a:prstGeom prst="rect">
                      <a:avLst/>
                    </a:prstGeom>
                    <a:noFill/>
                    <a:ln w="9525">
                      <a:noFill/>
                      <a:miter lim="800000"/>
                      <a:headEnd/>
                      <a:tailEnd/>
                    </a:ln>
                  </pic:spPr>
                </pic:pic>
              </a:graphicData>
            </a:graphic>
          </wp:inline>
        </w:drawing>
      </w:r>
    </w:p>
    <w:p>
      <w:pPr>
        <w:adjustRightInd w:val="0"/>
        <w:snapToGrid w:val="0"/>
        <w:spacing w:beforeLines="50" w:afterLines="50"/>
        <w:jc w:val="center"/>
        <w:rPr>
          <w:rFonts w:hAnsi="宋体"/>
          <w:color w:val="auto"/>
          <w:sz w:val="24"/>
          <w:szCs w:val="24"/>
        </w:rPr>
      </w:pPr>
      <w:r>
        <w:rPr>
          <w:rFonts w:hAnsi="宋体"/>
          <w:color w:val="auto"/>
          <w:sz w:val="24"/>
          <w:szCs w:val="24"/>
        </w:rPr>
        <w:drawing>
          <wp:inline distT="0" distB="0" distL="0" distR="0">
            <wp:extent cx="6120130" cy="1506220"/>
            <wp:effectExtent l="0" t="0" r="6350" b="2540"/>
            <wp:docPr id="7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7"/>
                    <pic:cNvPicPr>
                      <a:picLocks noChangeAspect="1" noChangeArrowheads="1"/>
                    </pic:cNvPicPr>
                  </pic:nvPicPr>
                  <pic:blipFill>
                    <a:blip r:embed="rId65" cstate="print"/>
                    <a:srcRect/>
                    <a:stretch>
                      <a:fillRect/>
                    </a:stretch>
                  </pic:blipFill>
                  <pic:spPr>
                    <a:xfrm>
                      <a:off x="0" y="0"/>
                      <a:ext cx="6120130" cy="1506220"/>
                    </a:xfrm>
                    <a:prstGeom prst="rect">
                      <a:avLst/>
                    </a:prstGeom>
                    <a:noFill/>
                    <a:ln w="9525">
                      <a:noFill/>
                      <a:miter lim="800000"/>
                      <a:headEnd/>
                      <a:tailEnd/>
                    </a:ln>
                  </pic:spPr>
                </pic:pic>
              </a:graphicData>
            </a:graphic>
          </wp:inline>
        </w:drawing>
      </w:r>
    </w:p>
    <w:p>
      <w:pPr>
        <w:adjustRightInd w:val="0"/>
        <w:snapToGrid w:val="0"/>
        <w:spacing w:beforeLines="50" w:afterLines="50"/>
        <w:jc w:val="center"/>
        <w:rPr>
          <w:rFonts w:hAnsi="宋体"/>
          <w:b/>
          <w:bCs/>
          <w:color w:val="auto"/>
          <w:sz w:val="24"/>
          <w:szCs w:val="24"/>
        </w:rPr>
      </w:pPr>
      <w:r>
        <w:rPr>
          <w:rFonts w:hint="eastAsia" w:hAnsi="宋体"/>
          <w:b/>
          <w:bCs/>
          <w:color w:val="auto"/>
          <w:sz w:val="24"/>
          <w:szCs w:val="24"/>
        </w:rPr>
        <w:t>图5-2-6  筛选计算与评价等级截图</w:t>
      </w:r>
    </w:p>
    <w:p>
      <w:pPr>
        <w:adjustRightInd w:val="0"/>
        <w:snapToGrid w:val="0"/>
        <w:spacing w:beforeLines="50" w:afterLines="50"/>
        <w:jc w:val="center"/>
        <w:rPr>
          <w:rFonts w:hAnsi="宋体"/>
          <w:color w:val="auto"/>
          <w:sz w:val="24"/>
          <w:szCs w:val="24"/>
        </w:rPr>
        <w:sectPr>
          <w:pgSz w:w="16838" w:h="11906" w:orient="landscape"/>
          <w:pgMar w:top="1797" w:right="1440" w:bottom="1797" w:left="1440" w:header="851" w:footer="992" w:gutter="0"/>
          <w:cols w:space="425" w:num="1"/>
          <w:docGrid w:type="lines" w:linePitch="312" w:charSpace="0"/>
        </w:sectPr>
      </w:pPr>
    </w:p>
    <w:p>
      <w:pPr>
        <w:spacing w:line="360" w:lineRule="auto"/>
        <w:ind w:firstLine="480" w:firstLineChars="200"/>
        <w:jc w:val="left"/>
        <w:rPr>
          <w:rFonts w:hAnsi="宋体"/>
          <w:color w:val="auto"/>
          <w:sz w:val="24"/>
          <w:szCs w:val="24"/>
        </w:rPr>
      </w:pPr>
      <w:r>
        <w:rPr>
          <w:rFonts w:hAnsi="宋体"/>
          <w:color w:val="auto"/>
          <w:sz w:val="24"/>
          <w:szCs w:val="24"/>
        </w:rPr>
        <w:t>由上表可知，</w:t>
      </w:r>
      <w:r>
        <w:rPr>
          <w:rFonts w:hint="eastAsia" w:hAnsi="宋体"/>
          <w:color w:val="auto"/>
          <w:sz w:val="24"/>
          <w:szCs w:val="24"/>
        </w:rPr>
        <w:t>项目有组织排放和无组织排放氨、硫化氢1小时贡献质量浓度均满足《环境影响评价技术导则 大气环境》（HJ2.2-2018）表D.1 其他污染物空气质量浓度参考限值的要求。可见，本项目运营过程中产生的废气污染物对周围环境的贡献浓度较低，影响范围较小。项目建设不会对周围大气环境产生明显影响。</w:t>
      </w:r>
    </w:p>
    <w:p>
      <w:pPr>
        <w:pStyle w:val="5"/>
        <w:rPr>
          <w:color w:val="auto"/>
        </w:rPr>
      </w:pPr>
      <w:r>
        <w:rPr>
          <w:rFonts w:hint="eastAsia"/>
          <w:color w:val="auto"/>
        </w:rPr>
        <w:t>5.2.1.8大气环境防护距离</w:t>
      </w:r>
    </w:p>
    <w:p>
      <w:pPr>
        <w:spacing w:line="360" w:lineRule="auto"/>
        <w:ind w:firstLine="480" w:firstLineChars="200"/>
        <w:jc w:val="left"/>
        <w:rPr>
          <w:rFonts w:hAnsi="宋体"/>
          <w:color w:val="auto"/>
          <w:sz w:val="24"/>
          <w:szCs w:val="24"/>
        </w:rPr>
      </w:pPr>
      <w:r>
        <w:rPr>
          <w:rFonts w:hint="eastAsia" w:hAnsi="宋体"/>
          <w:color w:val="auto"/>
          <w:sz w:val="24"/>
          <w:szCs w:val="24"/>
        </w:rPr>
        <w:t>本项目大气污染物下风向最大占标率均小于相应环境质量标准的10%，项目厂界浓度满足大气污染物厂界浓度限值，且厂界外大气污染物短期贡献浓度不超过环境质量浓度限值，根据《环境影响评价技术导则 大气环境》(HJ2.2-2018)，本项目不需要设置大气环境防护距离。</w:t>
      </w:r>
    </w:p>
    <w:p>
      <w:pPr>
        <w:pStyle w:val="4"/>
        <w:rPr>
          <w:color w:val="auto"/>
        </w:rPr>
      </w:pPr>
      <w:bookmarkStart w:id="143" w:name="_Toc26276863"/>
      <w:r>
        <w:rPr>
          <w:rFonts w:hint="eastAsia"/>
          <w:color w:val="auto"/>
        </w:rPr>
        <w:t>5.2.2运营期地表水环境影响分析</w:t>
      </w:r>
      <w:bookmarkEnd w:id="143"/>
    </w:p>
    <w:p>
      <w:pPr>
        <w:pStyle w:val="5"/>
        <w:rPr>
          <w:color w:val="auto"/>
        </w:rPr>
      </w:pPr>
      <w:r>
        <w:rPr>
          <w:rFonts w:hint="eastAsia"/>
          <w:color w:val="auto"/>
        </w:rPr>
        <w:t>5.2.2.1水污染控制和水环境影响减缓措施有效性评价</w:t>
      </w:r>
    </w:p>
    <w:p>
      <w:pPr>
        <w:spacing w:line="360" w:lineRule="auto"/>
        <w:ind w:firstLine="480" w:firstLineChars="200"/>
        <w:rPr>
          <w:color w:val="auto"/>
          <w:sz w:val="24"/>
          <w:szCs w:val="24"/>
        </w:rPr>
      </w:pPr>
      <w:r>
        <w:rPr>
          <w:rFonts w:hint="eastAsia"/>
          <w:color w:val="auto"/>
          <w:sz w:val="24"/>
          <w:szCs w:val="24"/>
        </w:rPr>
        <w:t>本项目为水质净化厂建设项目，评价等级为水污染影响型二级评价，不属于水文要素影响型项目，也不涉及面源污染。根据地表水环境质量现状监测数据，受纳水体大嵩河水质现状可以达到《地表水环境质量标准》(GB3838-2002)Ⅲ类标准要求，属于地表水环境质量达标区。根据《环境影响评价技术导则 地表水环境》（HJ2.3-2018），本项目水污染控制和水环境影响减缓措施有效性评价主要从“污染控制措施及各类排放口排放浓度限值等应满足国家和地方相关排放标准及符合有关标准规定的排水协议关于水污染物排放的条款要求”和“受纳水体环境质量达标区的建设项目选择废水处理措施或多方案比选时，应满足行业污染防治可行技术指南要求，确保废水稳定达标排放且环境影响可以接受”2方面论述。</w:t>
      </w:r>
    </w:p>
    <w:p>
      <w:pPr>
        <w:spacing w:line="360" w:lineRule="auto"/>
        <w:ind w:firstLine="480" w:firstLineChars="200"/>
        <w:rPr>
          <w:color w:val="auto"/>
          <w:sz w:val="24"/>
          <w:szCs w:val="24"/>
        </w:rPr>
      </w:pPr>
      <w:r>
        <w:rPr>
          <w:rFonts w:hint="eastAsia"/>
          <w:color w:val="auto"/>
          <w:sz w:val="24"/>
          <w:szCs w:val="24"/>
        </w:rPr>
        <w:t>根据《广东梅兴华丰产业集聚带环保基础设施规划建设方案》（广东省环境科学研究院、广东环科院环境科技有限公司，2016年4月）、《河东绿色生态工业小镇水质净化厂一期提标改造工程可行性研究报告》（湖北省城建设计院有限公司上海分公司，2019年7月）等文件，本项目尾水需部分回用于水质净化厂自用、园区内城市绿化、道路清扫和冲厕（回用率要求达到30%以上），其余尾水排入大嵩河，外排尾水需执行《地表水环境质量标准》（GB3838-2002）准Ⅳ类标准（即SS、粪大肠菌群数达到《城镇污水处理厂污染物排放标准》（GB18918-2002）中的一级A出水标准，其它主要污染指标达到地表水Ⅳ类标准，TN放宽至10mg/L）。本项目污水处理采用“曝气沉砂池+应急沉淀池+倒置AAO+曝气生物滤池+高效沉淀池+转盘滤池+消毒接触池”工艺，采用生物处理和物理化学处理相结合的办法对项目污水进行处理，同时设置应急沉淀池，有效解决工业废水可能产生的排放冲击，确保尾水稳定达标排放，可以满足相关排放标准要求。</w:t>
      </w:r>
    </w:p>
    <w:p>
      <w:pPr>
        <w:spacing w:line="360" w:lineRule="auto"/>
        <w:ind w:firstLine="480" w:firstLineChars="200"/>
        <w:rPr>
          <w:color w:val="auto"/>
          <w:sz w:val="24"/>
          <w:szCs w:val="24"/>
        </w:rPr>
      </w:pPr>
      <w:r>
        <w:rPr>
          <w:rFonts w:hint="eastAsia"/>
          <w:color w:val="auto"/>
          <w:sz w:val="24"/>
          <w:szCs w:val="24"/>
        </w:rPr>
        <w:t>《关于印发&lt;城市污水处理及污染防治技术政策&gt;的通知》（城建〔2000〕124号）中提出：“非重点流域和非水源保护区的建制镇，根据当地经济条件和水污染控制要求，可先行一级强化处理，分期实现二级处理。”、“城市污水处理设施建设，应采用成熟可靠的技术。……城市污水处理设施出水应达到国家或地方规定的水污染物排放控制的要求。对城市污水处理设施出水水质有特殊要求的，须进行深度处理。”本项目出水标准较高，单一生物处理已难以满足出水水质要求，故二级处理（倒置AAO工艺）后设置曝气生物滤池，可以确保出水达到水污染物排放控制的要求，符合《关于印发&lt;城市污水处理及污染防治技术政策&gt;的通知》（城建〔2000〕124号）。</w:t>
      </w:r>
    </w:p>
    <w:p>
      <w:pPr>
        <w:spacing w:line="360" w:lineRule="auto"/>
        <w:ind w:firstLine="480" w:firstLineChars="200"/>
        <w:rPr>
          <w:color w:val="auto"/>
          <w:sz w:val="24"/>
          <w:szCs w:val="24"/>
        </w:rPr>
      </w:pPr>
      <w:r>
        <w:rPr>
          <w:rFonts w:hint="eastAsia"/>
          <w:color w:val="auto"/>
          <w:sz w:val="24"/>
          <w:szCs w:val="24"/>
        </w:rPr>
        <w:t>综上所述，本项目尾水排放满足相关排放标准要求，处理工艺满足《关于印发&lt;城市污水处理及污染防治技术政策&gt;的通知》（城建〔2000〕124号）要求，可以确保废水稳定达标排放，环境影响可以接受。</w:t>
      </w:r>
    </w:p>
    <w:p>
      <w:pPr>
        <w:pStyle w:val="5"/>
        <w:rPr>
          <w:color w:val="auto"/>
        </w:rPr>
      </w:pPr>
      <w:r>
        <w:rPr>
          <w:rFonts w:hint="eastAsia"/>
          <w:color w:val="auto"/>
        </w:rPr>
        <w:t>5.2.2.2地表水环境影响评价</w:t>
      </w:r>
    </w:p>
    <w:p>
      <w:pPr>
        <w:spacing w:line="360" w:lineRule="auto"/>
        <w:ind w:firstLine="480" w:firstLineChars="200"/>
        <w:rPr>
          <w:color w:val="auto"/>
          <w:sz w:val="24"/>
          <w:szCs w:val="24"/>
        </w:rPr>
      </w:pPr>
      <w:r>
        <w:rPr>
          <w:rFonts w:hint="eastAsia"/>
          <w:color w:val="auto"/>
          <w:sz w:val="24"/>
          <w:szCs w:val="24"/>
        </w:rPr>
        <w:t>本项目尾水经处理达标后</w:t>
      </w:r>
      <w:r>
        <w:rPr>
          <w:rFonts w:hAnsi="宋体"/>
          <w:color w:val="auto"/>
          <w:sz w:val="24"/>
          <w:szCs w:val="24"/>
        </w:rPr>
        <w:t>部分回用于</w:t>
      </w:r>
      <w:r>
        <w:rPr>
          <w:rFonts w:hint="eastAsia" w:hAnsi="宋体"/>
          <w:color w:val="auto"/>
          <w:sz w:val="24"/>
          <w:szCs w:val="24"/>
        </w:rPr>
        <w:t>水质净化厂自用、园区内城市绿化、道路清扫和冲厕</w:t>
      </w:r>
      <w:r>
        <w:rPr>
          <w:rFonts w:hAnsi="宋体"/>
          <w:color w:val="auto"/>
          <w:sz w:val="24"/>
          <w:szCs w:val="24"/>
        </w:rPr>
        <w:t>，其余尾水</w:t>
      </w:r>
      <w:r>
        <w:rPr>
          <w:rFonts w:hint="eastAsia"/>
          <w:color w:val="auto"/>
          <w:sz w:val="24"/>
          <w:szCs w:val="24"/>
        </w:rPr>
        <w:t>排入大嵩河，</w:t>
      </w:r>
      <w:r>
        <w:rPr>
          <w:rFonts w:hAnsi="宋体"/>
          <w:color w:val="auto"/>
          <w:sz w:val="24"/>
          <w:szCs w:val="24"/>
        </w:rPr>
        <w:t>排放水量为</w:t>
      </w:r>
      <w:r>
        <w:rPr>
          <w:rFonts w:hint="eastAsia"/>
          <w:color w:val="auto"/>
          <w:sz w:val="24"/>
          <w:szCs w:val="24"/>
        </w:rPr>
        <w:t>56</w:t>
      </w:r>
      <w:r>
        <w:rPr>
          <w:color w:val="auto"/>
          <w:sz w:val="24"/>
          <w:szCs w:val="24"/>
        </w:rPr>
        <w:t>00 m</w:t>
      </w:r>
      <w:r>
        <w:rPr>
          <w:color w:val="auto"/>
          <w:sz w:val="24"/>
          <w:szCs w:val="24"/>
          <w:vertAlign w:val="superscript"/>
        </w:rPr>
        <w:t>3</w:t>
      </w:r>
      <w:r>
        <w:rPr>
          <w:color w:val="auto"/>
          <w:sz w:val="24"/>
          <w:szCs w:val="24"/>
        </w:rPr>
        <w:t>/d</w:t>
      </w:r>
      <w:r>
        <w:rPr>
          <w:rFonts w:hAnsi="宋体"/>
          <w:color w:val="auto"/>
          <w:sz w:val="24"/>
          <w:szCs w:val="24"/>
        </w:rPr>
        <w:t>。</w:t>
      </w:r>
      <w:r>
        <w:rPr>
          <w:rFonts w:hint="eastAsia"/>
          <w:color w:val="auto"/>
          <w:sz w:val="24"/>
          <w:szCs w:val="24"/>
        </w:rPr>
        <w:t>大嵩河属韩江主流梅江河系，是五华县梅江一级支流，发源于兴宁市宋声镇坑尾肚，于河东镇浮湖村汇入梅江，流向为由南至北。</w:t>
      </w:r>
    </w:p>
    <w:p>
      <w:pPr>
        <w:adjustRightInd w:val="0"/>
        <w:snapToGrid w:val="0"/>
        <w:spacing w:line="360" w:lineRule="auto"/>
        <w:jc w:val="center"/>
        <w:rPr>
          <w:color w:val="auto"/>
          <w:sz w:val="24"/>
          <w:szCs w:val="24"/>
        </w:rPr>
      </w:pPr>
      <w:r>
        <w:rPr>
          <w:color w:val="auto"/>
          <w:sz w:val="24"/>
          <w:szCs w:val="24"/>
        </w:rPr>
        <w:drawing>
          <wp:inline distT="0" distB="0" distL="0" distR="0">
            <wp:extent cx="5278120" cy="5792470"/>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66" cstate="print"/>
                    <a:srcRect/>
                    <a:stretch>
                      <a:fillRect/>
                    </a:stretch>
                  </pic:blipFill>
                  <pic:spPr>
                    <a:xfrm>
                      <a:off x="0" y="0"/>
                      <a:ext cx="5278120" cy="5793082"/>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图5-2-7   项目尾水流向图</w:t>
      </w:r>
    </w:p>
    <w:p>
      <w:pPr>
        <w:pStyle w:val="5"/>
        <w:rPr>
          <w:color w:val="auto"/>
        </w:rPr>
      </w:pPr>
      <w:r>
        <w:rPr>
          <w:rFonts w:hint="eastAsia"/>
          <w:color w:val="auto"/>
        </w:rPr>
        <w:t>5.2.2.3预测因子、预测时段、预测情景</w:t>
      </w:r>
    </w:p>
    <w:p>
      <w:pPr>
        <w:spacing w:line="360" w:lineRule="auto"/>
        <w:ind w:firstLine="480" w:firstLineChars="200"/>
        <w:jc w:val="left"/>
        <w:rPr>
          <w:color w:val="auto"/>
          <w:sz w:val="24"/>
          <w:szCs w:val="24"/>
        </w:rPr>
      </w:pPr>
      <w:r>
        <w:rPr>
          <w:rFonts w:hint="eastAsia"/>
          <w:color w:val="auto"/>
          <w:sz w:val="24"/>
          <w:szCs w:val="24"/>
        </w:rPr>
        <w:t>预测因子：</w:t>
      </w:r>
      <w:r>
        <w:rPr>
          <w:color w:val="auto"/>
          <w:sz w:val="24"/>
          <w:szCs w:val="24"/>
        </w:rPr>
        <w:t>根据项目水污染物排放特点及项目外排废水受纳水体水污染特征，确定COD、NH</w:t>
      </w:r>
      <w:r>
        <w:rPr>
          <w:color w:val="auto"/>
          <w:sz w:val="24"/>
          <w:szCs w:val="24"/>
          <w:vertAlign w:val="subscript"/>
        </w:rPr>
        <w:t>3</w:t>
      </w:r>
      <w:r>
        <w:rPr>
          <w:color w:val="auto"/>
          <w:sz w:val="24"/>
          <w:szCs w:val="24"/>
        </w:rPr>
        <w:t>-N作为水环境影响预测评价因子。</w:t>
      </w:r>
    </w:p>
    <w:p>
      <w:pPr>
        <w:spacing w:line="360" w:lineRule="auto"/>
        <w:ind w:firstLine="480" w:firstLineChars="200"/>
        <w:jc w:val="left"/>
        <w:rPr>
          <w:color w:val="auto"/>
          <w:sz w:val="24"/>
          <w:szCs w:val="24"/>
        </w:rPr>
      </w:pPr>
      <w:r>
        <w:rPr>
          <w:rFonts w:hint="eastAsia"/>
          <w:color w:val="auto"/>
          <w:sz w:val="24"/>
          <w:szCs w:val="24"/>
        </w:rPr>
        <w:t>预测时段：项目评价等级为二级，预测时期主要为枯水期。</w:t>
      </w:r>
    </w:p>
    <w:p>
      <w:pPr>
        <w:spacing w:line="360" w:lineRule="auto"/>
        <w:ind w:firstLine="480" w:firstLineChars="200"/>
        <w:jc w:val="left"/>
        <w:rPr>
          <w:color w:val="auto"/>
          <w:sz w:val="24"/>
          <w:szCs w:val="24"/>
        </w:rPr>
      </w:pPr>
      <w:r>
        <w:rPr>
          <w:rFonts w:hint="eastAsia"/>
          <w:color w:val="auto"/>
          <w:sz w:val="24"/>
          <w:szCs w:val="24"/>
        </w:rPr>
        <w:t>预测情景：</w:t>
      </w:r>
      <w:r>
        <w:rPr>
          <w:color w:val="auto"/>
          <w:sz w:val="24"/>
          <w:szCs w:val="24"/>
        </w:rPr>
        <w:t>主要从以下</w:t>
      </w:r>
      <w:r>
        <w:rPr>
          <w:rFonts w:hint="eastAsia"/>
          <w:color w:val="auto"/>
          <w:sz w:val="24"/>
          <w:szCs w:val="24"/>
        </w:rPr>
        <w:t>两</w:t>
      </w:r>
      <w:r>
        <w:rPr>
          <w:color w:val="auto"/>
          <w:sz w:val="24"/>
          <w:szCs w:val="24"/>
        </w:rPr>
        <w:t>种情况进行分析计算：</w:t>
      </w:r>
    </w:p>
    <w:p>
      <w:pPr>
        <w:spacing w:line="360" w:lineRule="auto"/>
        <w:ind w:firstLine="480" w:firstLineChars="200"/>
        <w:jc w:val="left"/>
        <w:rPr>
          <w:color w:val="auto"/>
          <w:sz w:val="24"/>
          <w:szCs w:val="24"/>
        </w:rPr>
      </w:pPr>
      <w:r>
        <w:rPr>
          <w:color w:val="auto"/>
          <w:sz w:val="24"/>
          <w:szCs w:val="24"/>
        </w:rPr>
        <w:t>（</w:t>
      </w:r>
      <w:r>
        <w:rPr>
          <w:rFonts w:hint="eastAsia"/>
          <w:color w:val="auto"/>
          <w:sz w:val="24"/>
          <w:szCs w:val="24"/>
        </w:rPr>
        <w:t>1</w:t>
      </w:r>
      <w:r>
        <w:rPr>
          <w:color w:val="auto"/>
          <w:sz w:val="24"/>
          <w:szCs w:val="24"/>
        </w:rPr>
        <w:t>）</w:t>
      </w:r>
      <w:r>
        <w:rPr>
          <w:rFonts w:hint="eastAsia"/>
          <w:color w:val="auto"/>
          <w:sz w:val="24"/>
          <w:szCs w:val="24"/>
        </w:rPr>
        <w:t>项目尾水</w:t>
      </w:r>
      <w:r>
        <w:rPr>
          <w:color w:val="auto"/>
          <w:sz w:val="24"/>
          <w:szCs w:val="24"/>
        </w:rPr>
        <w:t>正常排放时</w:t>
      </w:r>
      <w:r>
        <w:rPr>
          <w:rFonts w:hint="eastAsia"/>
          <w:color w:val="auto"/>
          <w:sz w:val="24"/>
          <w:szCs w:val="24"/>
        </w:rPr>
        <w:t>的</w:t>
      </w:r>
      <w:r>
        <w:rPr>
          <w:color w:val="auto"/>
          <w:sz w:val="24"/>
          <w:szCs w:val="24"/>
        </w:rPr>
        <w:t>预测</w:t>
      </w:r>
      <w:r>
        <w:rPr>
          <w:rFonts w:hint="eastAsia"/>
          <w:color w:val="auto"/>
          <w:sz w:val="24"/>
          <w:szCs w:val="24"/>
        </w:rPr>
        <w:t>分析</w:t>
      </w:r>
      <w:r>
        <w:rPr>
          <w:color w:val="auto"/>
          <w:sz w:val="24"/>
          <w:szCs w:val="24"/>
        </w:rPr>
        <w:t>。</w:t>
      </w:r>
    </w:p>
    <w:p>
      <w:pPr>
        <w:spacing w:line="360" w:lineRule="auto"/>
        <w:ind w:firstLine="480" w:firstLineChars="200"/>
        <w:jc w:val="left"/>
        <w:rPr>
          <w:color w:val="auto"/>
          <w:sz w:val="24"/>
          <w:szCs w:val="24"/>
        </w:rPr>
      </w:pPr>
      <w:r>
        <w:rPr>
          <w:color w:val="auto"/>
          <w:sz w:val="24"/>
          <w:szCs w:val="24"/>
        </w:rPr>
        <w:t>（</w:t>
      </w:r>
      <w:r>
        <w:rPr>
          <w:rFonts w:hint="eastAsia"/>
          <w:color w:val="auto"/>
          <w:sz w:val="24"/>
          <w:szCs w:val="24"/>
        </w:rPr>
        <w:t>2</w:t>
      </w:r>
      <w:r>
        <w:rPr>
          <w:color w:val="auto"/>
          <w:sz w:val="24"/>
          <w:szCs w:val="24"/>
        </w:rPr>
        <w:t>）</w:t>
      </w:r>
      <w:r>
        <w:rPr>
          <w:rFonts w:hint="eastAsia"/>
          <w:color w:val="auto"/>
          <w:sz w:val="24"/>
          <w:szCs w:val="24"/>
        </w:rPr>
        <w:t>项目污水</w:t>
      </w:r>
      <w:r>
        <w:rPr>
          <w:color w:val="auto"/>
          <w:sz w:val="24"/>
          <w:szCs w:val="24"/>
        </w:rPr>
        <w:t>非正常排放时预测</w:t>
      </w:r>
      <w:r>
        <w:rPr>
          <w:rFonts w:hint="eastAsia"/>
          <w:color w:val="auto"/>
          <w:sz w:val="24"/>
          <w:szCs w:val="24"/>
        </w:rPr>
        <w:t>分析</w:t>
      </w:r>
      <w:r>
        <w:rPr>
          <w:color w:val="auto"/>
          <w:sz w:val="24"/>
          <w:szCs w:val="24"/>
        </w:rPr>
        <w:t>。</w:t>
      </w:r>
    </w:p>
    <w:p>
      <w:pPr>
        <w:pStyle w:val="5"/>
        <w:rPr>
          <w:color w:val="auto"/>
        </w:rPr>
      </w:pPr>
      <w:r>
        <w:rPr>
          <w:rFonts w:hint="eastAsia"/>
          <w:color w:val="auto"/>
        </w:rPr>
        <w:t>5.2.2.4预测参数</w:t>
      </w:r>
    </w:p>
    <w:p>
      <w:pPr>
        <w:spacing w:line="360" w:lineRule="auto"/>
        <w:ind w:firstLine="482" w:firstLineChars="200"/>
        <w:jc w:val="left"/>
        <w:rPr>
          <w:b/>
          <w:color w:val="auto"/>
          <w:sz w:val="24"/>
          <w:szCs w:val="24"/>
        </w:rPr>
      </w:pPr>
      <w:r>
        <w:rPr>
          <w:rFonts w:hint="eastAsia"/>
          <w:b/>
          <w:color w:val="auto"/>
          <w:sz w:val="24"/>
          <w:szCs w:val="24"/>
        </w:rPr>
        <w:t>1、受纳水体水文参数</w:t>
      </w:r>
    </w:p>
    <w:p>
      <w:pPr>
        <w:spacing w:line="360" w:lineRule="auto"/>
        <w:ind w:firstLine="480" w:firstLineChars="200"/>
        <w:jc w:val="left"/>
        <w:rPr>
          <w:color w:val="auto"/>
          <w:sz w:val="24"/>
          <w:szCs w:val="24"/>
        </w:rPr>
      </w:pPr>
      <w:r>
        <w:rPr>
          <w:rFonts w:hint="eastAsia"/>
          <w:color w:val="auto"/>
          <w:sz w:val="24"/>
          <w:szCs w:val="24"/>
        </w:rPr>
        <w:t>本项目排放口位于大嵩水，经大嵩水流经4.8km后，汇入梅江干流。</w:t>
      </w:r>
    </w:p>
    <w:p>
      <w:pPr>
        <w:spacing w:line="360" w:lineRule="auto"/>
        <w:ind w:firstLine="480" w:firstLineChars="200"/>
        <w:jc w:val="left"/>
        <w:rPr>
          <w:color w:val="auto"/>
          <w:sz w:val="24"/>
          <w:szCs w:val="24"/>
        </w:rPr>
      </w:pPr>
      <w:r>
        <w:rPr>
          <w:rFonts w:hint="eastAsia"/>
          <w:color w:val="auto"/>
          <w:sz w:val="24"/>
          <w:szCs w:val="24"/>
        </w:rPr>
        <w:t>本项目受纳水体为大嵩河，由于缺乏水文观测资料，本次评价引用现状监测报告（报告编号：中创检字[zc20200910（JC001）030]号）表3.2.1地表水样品信息及水文参数中的相关数据确定大嵩河水文参数。</w:t>
      </w:r>
    </w:p>
    <w:p>
      <w:pPr>
        <w:spacing w:line="360" w:lineRule="auto"/>
        <w:ind w:firstLine="480" w:firstLineChars="200"/>
        <w:jc w:val="left"/>
        <w:rPr>
          <w:color w:val="auto"/>
          <w:sz w:val="24"/>
          <w:szCs w:val="24"/>
        </w:rPr>
      </w:pPr>
      <w:r>
        <w:rPr>
          <w:rFonts w:hint="eastAsia"/>
          <w:color w:val="auto"/>
          <w:sz w:val="24"/>
          <w:szCs w:val="24"/>
        </w:rPr>
        <w:t>梅江干流有水文、水位站3个，分别为水口站、梅县站和横山站。本项目排污口经大嵩水流经4.8km后，汇入梅江干流，大嵩河与梅江交汇口下游约4.9km为水口水文站，故引用水口水文站的水文数据确定梅江水文参数。</w:t>
      </w:r>
    </w:p>
    <w:p>
      <w:pPr>
        <w:jc w:val="center"/>
        <w:rPr>
          <w:b/>
          <w:color w:val="auto"/>
          <w:sz w:val="24"/>
          <w:szCs w:val="24"/>
        </w:rPr>
      </w:pPr>
      <w:r>
        <w:rPr>
          <w:rFonts w:hint="eastAsia"/>
          <w:b/>
          <w:color w:val="auto"/>
          <w:sz w:val="24"/>
          <w:szCs w:val="24"/>
        </w:rPr>
        <w:t>表5-2-12   评价河段水文参数表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9"/>
        <w:gridCol w:w="1276"/>
        <w:gridCol w:w="1133"/>
        <w:gridCol w:w="1275"/>
        <w:gridCol w:w="1558"/>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9" w:type="dxa"/>
            <w:vAlign w:val="center"/>
          </w:tcPr>
          <w:p>
            <w:pPr>
              <w:jc w:val="center"/>
              <w:rPr>
                <w:b/>
                <w:color w:val="auto"/>
                <w:sz w:val="21"/>
                <w:szCs w:val="21"/>
              </w:rPr>
            </w:pPr>
            <w:r>
              <w:rPr>
                <w:rFonts w:hint="eastAsia"/>
                <w:b/>
                <w:color w:val="auto"/>
                <w:sz w:val="21"/>
                <w:szCs w:val="21"/>
              </w:rPr>
              <w:t>河流</w:t>
            </w:r>
          </w:p>
        </w:tc>
        <w:tc>
          <w:tcPr>
            <w:tcW w:w="1276" w:type="dxa"/>
            <w:vAlign w:val="center"/>
          </w:tcPr>
          <w:p>
            <w:pPr>
              <w:jc w:val="center"/>
              <w:rPr>
                <w:b/>
                <w:color w:val="auto"/>
                <w:sz w:val="21"/>
                <w:szCs w:val="21"/>
              </w:rPr>
            </w:pPr>
            <w:r>
              <w:rPr>
                <w:rFonts w:hint="eastAsia"/>
                <w:b/>
                <w:color w:val="auto"/>
                <w:sz w:val="21"/>
                <w:szCs w:val="21"/>
              </w:rPr>
              <w:t>水深（m）</w:t>
            </w:r>
          </w:p>
        </w:tc>
        <w:tc>
          <w:tcPr>
            <w:tcW w:w="1133" w:type="dxa"/>
            <w:vAlign w:val="center"/>
          </w:tcPr>
          <w:p>
            <w:pPr>
              <w:jc w:val="center"/>
              <w:rPr>
                <w:b/>
                <w:color w:val="auto"/>
                <w:sz w:val="21"/>
                <w:szCs w:val="21"/>
              </w:rPr>
            </w:pPr>
            <w:r>
              <w:rPr>
                <w:rFonts w:hint="eastAsia"/>
                <w:b/>
                <w:color w:val="auto"/>
                <w:sz w:val="21"/>
                <w:szCs w:val="21"/>
              </w:rPr>
              <w:t>河宽（m）</w:t>
            </w:r>
          </w:p>
        </w:tc>
        <w:tc>
          <w:tcPr>
            <w:tcW w:w="1275" w:type="dxa"/>
            <w:vAlign w:val="center"/>
          </w:tcPr>
          <w:p>
            <w:pPr>
              <w:jc w:val="center"/>
              <w:rPr>
                <w:b/>
                <w:color w:val="auto"/>
                <w:sz w:val="21"/>
                <w:szCs w:val="21"/>
              </w:rPr>
            </w:pPr>
            <w:r>
              <w:rPr>
                <w:rFonts w:hint="eastAsia"/>
                <w:b/>
                <w:color w:val="auto"/>
                <w:sz w:val="21"/>
                <w:szCs w:val="21"/>
              </w:rPr>
              <w:t>流速（m/s）</w:t>
            </w:r>
          </w:p>
        </w:tc>
        <w:tc>
          <w:tcPr>
            <w:tcW w:w="1558" w:type="dxa"/>
            <w:vAlign w:val="center"/>
          </w:tcPr>
          <w:p>
            <w:pPr>
              <w:jc w:val="center"/>
              <w:rPr>
                <w:b/>
                <w:color w:val="auto"/>
                <w:sz w:val="21"/>
                <w:szCs w:val="21"/>
              </w:rPr>
            </w:pPr>
            <w:r>
              <w:rPr>
                <w:rFonts w:hint="eastAsia"/>
                <w:b/>
                <w:color w:val="auto"/>
                <w:sz w:val="21"/>
                <w:szCs w:val="21"/>
              </w:rPr>
              <w:t>平均比降（%）</w:t>
            </w:r>
          </w:p>
        </w:tc>
        <w:tc>
          <w:tcPr>
            <w:tcW w:w="1331" w:type="dxa"/>
            <w:vAlign w:val="center"/>
          </w:tcPr>
          <w:p>
            <w:pPr>
              <w:jc w:val="center"/>
              <w:rPr>
                <w:b/>
                <w:color w:val="auto"/>
                <w:sz w:val="21"/>
                <w:szCs w:val="21"/>
              </w:rPr>
            </w:pPr>
            <w:r>
              <w:rPr>
                <w:rFonts w:hint="eastAsia"/>
                <w:b/>
                <w:color w:val="auto"/>
                <w:sz w:val="21"/>
                <w:szCs w:val="21"/>
              </w:rPr>
              <w:t>流量（m</w:t>
            </w:r>
            <w:r>
              <w:rPr>
                <w:rFonts w:hint="eastAsia"/>
                <w:b/>
                <w:color w:val="auto"/>
                <w:sz w:val="21"/>
                <w:szCs w:val="21"/>
                <w:vertAlign w:val="superscript"/>
              </w:rPr>
              <w:t>3</w:t>
            </w:r>
            <w:r>
              <w:rPr>
                <w:rFonts w:hint="eastAsia"/>
                <w:b/>
                <w:color w:val="auto"/>
                <w:sz w:val="21"/>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9" w:type="dxa"/>
            <w:vAlign w:val="center"/>
          </w:tcPr>
          <w:p>
            <w:pPr>
              <w:jc w:val="center"/>
              <w:rPr>
                <w:color w:val="auto"/>
                <w:sz w:val="21"/>
                <w:szCs w:val="21"/>
              </w:rPr>
            </w:pPr>
            <w:r>
              <w:rPr>
                <w:rFonts w:hint="eastAsia"/>
                <w:color w:val="auto"/>
                <w:sz w:val="21"/>
                <w:szCs w:val="21"/>
              </w:rPr>
              <w:t>大嵩河</w:t>
            </w:r>
          </w:p>
        </w:tc>
        <w:tc>
          <w:tcPr>
            <w:tcW w:w="1276" w:type="dxa"/>
            <w:vAlign w:val="center"/>
          </w:tcPr>
          <w:p>
            <w:pPr>
              <w:jc w:val="center"/>
              <w:rPr>
                <w:color w:val="auto"/>
                <w:sz w:val="21"/>
                <w:szCs w:val="21"/>
              </w:rPr>
            </w:pPr>
            <w:r>
              <w:rPr>
                <w:rFonts w:hint="eastAsia"/>
                <w:color w:val="auto"/>
                <w:sz w:val="21"/>
                <w:szCs w:val="21"/>
              </w:rPr>
              <w:t>0.8</w:t>
            </w:r>
          </w:p>
        </w:tc>
        <w:tc>
          <w:tcPr>
            <w:tcW w:w="1133" w:type="dxa"/>
            <w:vAlign w:val="center"/>
          </w:tcPr>
          <w:p>
            <w:pPr>
              <w:jc w:val="center"/>
              <w:rPr>
                <w:color w:val="auto"/>
                <w:sz w:val="21"/>
                <w:szCs w:val="21"/>
              </w:rPr>
            </w:pPr>
            <w:r>
              <w:rPr>
                <w:rFonts w:hint="eastAsia"/>
                <w:color w:val="auto"/>
                <w:sz w:val="21"/>
                <w:szCs w:val="21"/>
              </w:rPr>
              <w:t>6.6</w:t>
            </w:r>
          </w:p>
        </w:tc>
        <w:tc>
          <w:tcPr>
            <w:tcW w:w="1275" w:type="dxa"/>
            <w:vAlign w:val="center"/>
          </w:tcPr>
          <w:p>
            <w:pPr>
              <w:jc w:val="center"/>
              <w:rPr>
                <w:color w:val="auto"/>
                <w:sz w:val="21"/>
                <w:szCs w:val="21"/>
              </w:rPr>
            </w:pPr>
            <w:r>
              <w:rPr>
                <w:rFonts w:hint="eastAsia"/>
                <w:color w:val="auto"/>
                <w:sz w:val="21"/>
                <w:szCs w:val="21"/>
              </w:rPr>
              <w:t>0.188</w:t>
            </w:r>
          </w:p>
        </w:tc>
        <w:tc>
          <w:tcPr>
            <w:tcW w:w="1558" w:type="dxa"/>
            <w:vAlign w:val="center"/>
          </w:tcPr>
          <w:p>
            <w:pPr>
              <w:jc w:val="center"/>
              <w:rPr>
                <w:color w:val="auto"/>
                <w:sz w:val="21"/>
                <w:szCs w:val="21"/>
              </w:rPr>
            </w:pPr>
            <w:r>
              <w:rPr>
                <w:rFonts w:hint="eastAsia"/>
                <w:color w:val="auto"/>
                <w:sz w:val="21"/>
                <w:szCs w:val="21"/>
              </w:rPr>
              <w:t>0.2</w:t>
            </w:r>
          </w:p>
        </w:tc>
        <w:tc>
          <w:tcPr>
            <w:tcW w:w="1331" w:type="dxa"/>
            <w:vAlign w:val="center"/>
          </w:tcPr>
          <w:p>
            <w:pPr>
              <w:jc w:val="center"/>
              <w:rPr>
                <w:color w:val="auto"/>
                <w:sz w:val="21"/>
                <w:szCs w:val="21"/>
              </w:rPr>
            </w:pPr>
            <w:r>
              <w:rPr>
                <w:rFonts w:hint="eastAsia"/>
                <w:color w:val="auto"/>
                <w:sz w:val="21"/>
                <w:szCs w:val="21"/>
              </w:rPr>
              <w:t>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9" w:type="dxa"/>
            <w:vAlign w:val="center"/>
          </w:tcPr>
          <w:p>
            <w:pPr>
              <w:jc w:val="center"/>
              <w:rPr>
                <w:color w:val="auto"/>
                <w:sz w:val="21"/>
                <w:szCs w:val="21"/>
              </w:rPr>
            </w:pPr>
            <w:r>
              <w:rPr>
                <w:rFonts w:hint="eastAsia"/>
                <w:color w:val="auto"/>
                <w:sz w:val="21"/>
                <w:szCs w:val="21"/>
              </w:rPr>
              <w:t>梅江</w:t>
            </w:r>
          </w:p>
        </w:tc>
        <w:tc>
          <w:tcPr>
            <w:tcW w:w="1276" w:type="dxa"/>
            <w:vAlign w:val="center"/>
          </w:tcPr>
          <w:p>
            <w:pPr>
              <w:jc w:val="center"/>
              <w:rPr>
                <w:color w:val="auto"/>
                <w:sz w:val="21"/>
                <w:szCs w:val="21"/>
              </w:rPr>
            </w:pPr>
            <w:r>
              <w:rPr>
                <w:rFonts w:hint="eastAsia"/>
                <w:color w:val="auto"/>
                <w:sz w:val="21"/>
                <w:szCs w:val="21"/>
              </w:rPr>
              <w:t>4.69</w:t>
            </w:r>
          </w:p>
        </w:tc>
        <w:tc>
          <w:tcPr>
            <w:tcW w:w="1133" w:type="dxa"/>
            <w:vAlign w:val="center"/>
          </w:tcPr>
          <w:p>
            <w:pPr>
              <w:jc w:val="center"/>
              <w:rPr>
                <w:color w:val="auto"/>
                <w:sz w:val="21"/>
                <w:szCs w:val="21"/>
              </w:rPr>
            </w:pPr>
            <w:r>
              <w:rPr>
                <w:rFonts w:hint="eastAsia"/>
                <w:color w:val="auto"/>
                <w:sz w:val="21"/>
                <w:szCs w:val="21"/>
              </w:rPr>
              <w:t>250</w:t>
            </w:r>
          </w:p>
        </w:tc>
        <w:tc>
          <w:tcPr>
            <w:tcW w:w="1275" w:type="dxa"/>
            <w:vAlign w:val="center"/>
          </w:tcPr>
          <w:p>
            <w:pPr>
              <w:jc w:val="center"/>
              <w:rPr>
                <w:color w:val="auto"/>
                <w:sz w:val="21"/>
                <w:szCs w:val="21"/>
              </w:rPr>
            </w:pPr>
            <w:r>
              <w:rPr>
                <w:rFonts w:hint="eastAsia"/>
                <w:color w:val="auto"/>
                <w:sz w:val="21"/>
                <w:szCs w:val="21"/>
              </w:rPr>
              <w:t>0.033</w:t>
            </w:r>
          </w:p>
        </w:tc>
        <w:tc>
          <w:tcPr>
            <w:tcW w:w="1558" w:type="dxa"/>
            <w:vAlign w:val="center"/>
          </w:tcPr>
          <w:p>
            <w:pPr>
              <w:jc w:val="center"/>
              <w:rPr>
                <w:color w:val="auto"/>
                <w:sz w:val="21"/>
                <w:szCs w:val="21"/>
              </w:rPr>
            </w:pPr>
            <w:r>
              <w:rPr>
                <w:rFonts w:hint="eastAsia"/>
                <w:color w:val="auto"/>
                <w:sz w:val="21"/>
                <w:szCs w:val="21"/>
              </w:rPr>
              <w:t>0.4</w:t>
            </w:r>
          </w:p>
        </w:tc>
        <w:tc>
          <w:tcPr>
            <w:tcW w:w="1331" w:type="dxa"/>
            <w:vAlign w:val="center"/>
          </w:tcPr>
          <w:p>
            <w:pPr>
              <w:jc w:val="center"/>
              <w:rPr>
                <w:color w:val="auto"/>
                <w:sz w:val="21"/>
                <w:szCs w:val="21"/>
              </w:rPr>
            </w:pPr>
            <w:r>
              <w:rPr>
                <w:rFonts w:hint="eastAsia"/>
                <w:color w:val="auto"/>
                <w:sz w:val="21"/>
                <w:szCs w:val="21"/>
              </w:rPr>
              <w:t>17.35</w:t>
            </w:r>
          </w:p>
        </w:tc>
      </w:tr>
    </w:tbl>
    <w:p>
      <w:pPr>
        <w:spacing w:line="360" w:lineRule="auto"/>
        <w:ind w:firstLine="482" w:firstLineChars="200"/>
        <w:jc w:val="left"/>
        <w:rPr>
          <w:b/>
          <w:color w:val="auto"/>
          <w:sz w:val="24"/>
          <w:szCs w:val="24"/>
        </w:rPr>
      </w:pPr>
      <w:r>
        <w:rPr>
          <w:rFonts w:hint="eastAsia"/>
          <w:b/>
          <w:color w:val="auto"/>
          <w:sz w:val="24"/>
          <w:szCs w:val="24"/>
        </w:rPr>
        <w:t>2、污染源排放参数</w:t>
      </w:r>
    </w:p>
    <w:p>
      <w:pPr>
        <w:spacing w:line="360" w:lineRule="auto"/>
        <w:ind w:firstLine="480" w:firstLineChars="200"/>
        <w:jc w:val="left"/>
        <w:rPr>
          <w:color w:val="auto"/>
          <w:sz w:val="24"/>
          <w:szCs w:val="24"/>
        </w:rPr>
      </w:pPr>
      <w:r>
        <w:rPr>
          <w:rFonts w:hint="eastAsia"/>
          <w:color w:val="auto"/>
          <w:sz w:val="24"/>
          <w:szCs w:val="24"/>
        </w:rPr>
        <w:t>本项目处理污水规模为0.8万m</w:t>
      </w:r>
      <w:r>
        <w:rPr>
          <w:rFonts w:hint="eastAsia"/>
          <w:color w:val="auto"/>
          <w:sz w:val="24"/>
          <w:szCs w:val="24"/>
          <w:vertAlign w:val="superscript"/>
        </w:rPr>
        <w:t>3</w:t>
      </w:r>
      <w:r>
        <w:rPr>
          <w:rFonts w:hint="eastAsia"/>
          <w:color w:val="auto"/>
          <w:sz w:val="24"/>
          <w:szCs w:val="24"/>
        </w:rPr>
        <w:t>/d，经处理后的尾水达到《地表水环境质量标准》（GB3838-2002）的准Ⅳ类标准（即SS、粪大肠菌群数达到《城镇污水处理厂污染物排放标准》（GB18918-2002）中的一级A出水标准，其它主要污染指标达到地表水Ⅳ类标准，TN放宽至10mg/L），</w:t>
      </w:r>
      <w:r>
        <w:rPr>
          <w:rFonts w:hAnsi="宋体"/>
          <w:color w:val="auto"/>
          <w:sz w:val="24"/>
          <w:szCs w:val="24"/>
        </w:rPr>
        <w:t>部分回用于</w:t>
      </w:r>
      <w:r>
        <w:rPr>
          <w:rFonts w:hint="eastAsia" w:hAnsi="宋体"/>
          <w:color w:val="auto"/>
          <w:sz w:val="24"/>
          <w:szCs w:val="24"/>
        </w:rPr>
        <w:t>水质净化厂自用、园区内城市绿化、道路清扫和冲厕</w:t>
      </w:r>
      <w:r>
        <w:rPr>
          <w:rFonts w:hAnsi="宋体"/>
          <w:color w:val="auto"/>
          <w:sz w:val="24"/>
          <w:szCs w:val="24"/>
        </w:rPr>
        <w:t>，其余尾水排入</w:t>
      </w:r>
      <w:r>
        <w:rPr>
          <w:rFonts w:hint="eastAsia" w:hAnsi="宋体"/>
          <w:color w:val="auto"/>
          <w:sz w:val="24"/>
          <w:szCs w:val="24"/>
        </w:rPr>
        <w:t>大嵩河</w:t>
      </w:r>
      <w:r>
        <w:rPr>
          <w:rFonts w:hAnsi="宋体"/>
          <w:color w:val="auto"/>
          <w:sz w:val="24"/>
          <w:szCs w:val="24"/>
        </w:rPr>
        <w:t>，排放水量为</w:t>
      </w:r>
      <w:r>
        <w:rPr>
          <w:rFonts w:hint="eastAsia"/>
          <w:color w:val="auto"/>
          <w:sz w:val="24"/>
          <w:szCs w:val="24"/>
        </w:rPr>
        <w:t>56</w:t>
      </w:r>
      <w:r>
        <w:rPr>
          <w:color w:val="auto"/>
          <w:sz w:val="24"/>
          <w:szCs w:val="24"/>
        </w:rPr>
        <w:t>00 m</w:t>
      </w:r>
      <w:r>
        <w:rPr>
          <w:color w:val="auto"/>
          <w:sz w:val="24"/>
          <w:szCs w:val="24"/>
          <w:vertAlign w:val="superscript"/>
        </w:rPr>
        <w:t>3</w:t>
      </w:r>
      <w:r>
        <w:rPr>
          <w:color w:val="auto"/>
          <w:sz w:val="24"/>
          <w:szCs w:val="24"/>
        </w:rPr>
        <w:t>/d</w:t>
      </w:r>
      <w:r>
        <w:rPr>
          <w:rFonts w:hAnsi="宋体"/>
          <w:color w:val="auto"/>
          <w:sz w:val="24"/>
          <w:szCs w:val="24"/>
        </w:rPr>
        <w:t>。</w:t>
      </w:r>
      <w:r>
        <w:rPr>
          <w:rFonts w:hint="eastAsia"/>
          <w:color w:val="auto"/>
          <w:sz w:val="24"/>
          <w:szCs w:val="24"/>
        </w:rPr>
        <w:t>因此本项目建成后废水排放污染源强如下表所示。</w:t>
      </w:r>
    </w:p>
    <w:p>
      <w:pPr>
        <w:spacing w:line="360" w:lineRule="auto"/>
        <w:jc w:val="center"/>
        <w:rPr>
          <w:b/>
          <w:color w:val="auto"/>
          <w:sz w:val="24"/>
          <w:szCs w:val="24"/>
        </w:rPr>
      </w:pPr>
      <w:r>
        <w:rPr>
          <w:rFonts w:hint="eastAsia"/>
          <w:b/>
          <w:color w:val="auto"/>
          <w:sz w:val="24"/>
          <w:szCs w:val="24"/>
        </w:rPr>
        <w:t>表5-2-13   预测污染源源强一览表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700"/>
        <w:gridCol w:w="2833"/>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dxa"/>
          </w:tcPr>
          <w:p>
            <w:pPr>
              <w:jc w:val="center"/>
              <w:rPr>
                <w:b/>
                <w:color w:val="auto"/>
                <w:sz w:val="21"/>
                <w:szCs w:val="21"/>
              </w:rPr>
            </w:pPr>
            <w:r>
              <w:rPr>
                <w:rFonts w:hint="eastAsia"/>
                <w:b/>
                <w:color w:val="auto"/>
                <w:sz w:val="21"/>
                <w:szCs w:val="21"/>
              </w:rPr>
              <w:t>预测情景</w:t>
            </w:r>
          </w:p>
        </w:tc>
        <w:tc>
          <w:tcPr>
            <w:tcW w:w="1700" w:type="dxa"/>
          </w:tcPr>
          <w:p>
            <w:pPr>
              <w:jc w:val="center"/>
              <w:rPr>
                <w:b/>
                <w:color w:val="auto"/>
                <w:sz w:val="21"/>
                <w:szCs w:val="21"/>
              </w:rPr>
            </w:pPr>
            <w:r>
              <w:rPr>
                <w:rFonts w:hint="eastAsia"/>
                <w:b/>
                <w:color w:val="auto"/>
                <w:sz w:val="21"/>
                <w:szCs w:val="21"/>
              </w:rPr>
              <w:t>废水量（m</w:t>
            </w:r>
            <w:r>
              <w:rPr>
                <w:rFonts w:hint="eastAsia"/>
                <w:b/>
                <w:color w:val="auto"/>
                <w:sz w:val="21"/>
                <w:szCs w:val="21"/>
                <w:vertAlign w:val="superscript"/>
              </w:rPr>
              <w:t>3</w:t>
            </w:r>
            <w:r>
              <w:rPr>
                <w:rFonts w:hint="eastAsia"/>
                <w:b/>
                <w:color w:val="auto"/>
                <w:sz w:val="21"/>
                <w:szCs w:val="21"/>
              </w:rPr>
              <w:t>/d）</w:t>
            </w:r>
          </w:p>
        </w:tc>
        <w:tc>
          <w:tcPr>
            <w:tcW w:w="2833" w:type="dxa"/>
          </w:tcPr>
          <w:p>
            <w:pPr>
              <w:jc w:val="center"/>
              <w:rPr>
                <w:b/>
                <w:color w:val="auto"/>
                <w:sz w:val="21"/>
                <w:szCs w:val="21"/>
              </w:rPr>
            </w:pPr>
            <w:r>
              <w:rPr>
                <w:rFonts w:hint="eastAsia"/>
                <w:b/>
                <w:color w:val="auto"/>
                <w:sz w:val="21"/>
                <w:szCs w:val="21"/>
              </w:rPr>
              <w:t>COD排放浓度（mg/L）</w:t>
            </w:r>
          </w:p>
        </w:tc>
        <w:tc>
          <w:tcPr>
            <w:tcW w:w="2748" w:type="dxa"/>
          </w:tcPr>
          <w:p>
            <w:pPr>
              <w:jc w:val="center"/>
              <w:rPr>
                <w:b/>
                <w:color w:val="auto"/>
                <w:sz w:val="21"/>
                <w:szCs w:val="21"/>
              </w:rPr>
            </w:pPr>
            <w:r>
              <w:rPr>
                <w:rFonts w:hint="eastAsia"/>
                <w:b/>
                <w:color w:val="auto"/>
                <w:sz w:val="21"/>
                <w:szCs w:val="21"/>
              </w:rPr>
              <w:t>NH</w:t>
            </w:r>
            <w:r>
              <w:rPr>
                <w:rFonts w:hint="eastAsia"/>
                <w:b/>
                <w:color w:val="auto"/>
                <w:sz w:val="21"/>
                <w:szCs w:val="21"/>
                <w:vertAlign w:val="subscript"/>
              </w:rPr>
              <w:t>3</w:t>
            </w:r>
            <w:r>
              <w:rPr>
                <w:rFonts w:hint="eastAsia"/>
                <w:b/>
                <w:color w:val="auto"/>
                <w:sz w:val="21"/>
                <w:szCs w:val="21"/>
              </w:rPr>
              <w:t>-N排放浓度（mg/L）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dxa"/>
          </w:tcPr>
          <w:p>
            <w:pPr>
              <w:jc w:val="center"/>
              <w:rPr>
                <w:color w:val="auto"/>
                <w:sz w:val="21"/>
                <w:szCs w:val="21"/>
              </w:rPr>
            </w:pPr>
            <w:r>
              <w:rPr>
                <w:rFonts w:hint="eastAsia"/>
                <w:color w:val="auto"/>
                <w:sz w:val="21"/>
                <w:szCs w:val="21"/>
              </w:rPr>
              <w:t>正常排放</w:t>
            </w:r>
          </w:p>
        </w:tc>
        <w:tc>
          <w:tcPr>
            <w:tcW w:w="1700" w:type="dxa"/>
          </w:tcPr>
          <w:p>
            <w:pPr>
              <w:jc w:val="center"/>
              <w:rPr>
                <w:color w:val="auto"/>
                <w:sz w:val="21"/>
                <w:szCs w:val="21"/>
              </w:rPr>
            </w:pPr>
            <w:r>
              <w:rPr>
                <w:rFonts w:hint="eastAsia"/>
                <w:color w:val="auto"/>
                <w:sz w:val="21"/>
                <w:szCs w:val="21"/>
              </w:rPr>
              <w:t>5600</w:t>
            </w:r>
          </w:p>
        </w:tc>
        <w:tc>
          <w:tcPr>
            <w:tcW w:w="2833" w:type="dxa"/>
          </w:tcPr>
          <w:p>
            <w:pPr>
              <w:jc w:val="center"/>
              <w:rPr>
                <w:color w:val="auto"/>
                <w:sz w:val="21"/>
                <w:szCs w:val="21"/>
              </w:rPr>
            </w:pPr>
            <w:r>
              <w:rPr>
                <w:rFonts w:hint="eastAsia"/>
                <w:color w:val="auto"/>
                <w:sz w:val="21"/>
                <w:szCs w:val="21"/>
              </w:rPr>
              <w:t>30</w:t>
            </w:r>
          </w:p>
        </w:tc>
        <w:tc>
          <w:tcPr>
            <w:tcW w:w="2748" w:type="dxa"/>
          </w:tcPr>
          <w:p>
            <w:pPr>
              <w:jc w:val="center"/>
              <w:rPr>
                <w:color w:val="auto"/>
                <w:sz w:val="21"/>
                <w:szCs w:val="21"/>
              </w:rPr>
            </w:pPr>
            <w:r>
              <w:rPr>
                <w:rFonts w:hint="eastAsia"/>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dxa"/>
          </w:tcPr>
          <w:p>
            <w:pPr>
              <w:jc w:val="center"/>
              <w:rPr>
                <w:color w:val="auto"/>
                <w:sz w:val="21"/>
                <w:szCs w:val="21"/>
              </w:rPr>
            </w:pPr>
            <w:r>
              <w:rPr>
                <w:rFonts w:hint="eastAsia"/>
                <w:color w:val="auto"/>
                <w:sz w:val="21"/>
                <w:szCs w:val="21"/>
              </w:rPr>
              <w:t>事故排放</w:t>
            </w:r>
          </w:p>
        </w:tc>
        <w:tc>
          <w:tcPr>
            <w:tcW w:w="1700" w:type="dxa"/>
          </w:tcPr>
          <w:p>
            <w:pPr>
              <w:jc w:val="center"/>
              <w:rPr>
                <w:color w:val="auto"/>
                <w:sz w:val="21"/>
                <w:szCs w:val="21"/>
              </w:rPr>
            </w:pPr>
            <w:r>
              <w:rPr>
                <w:rFonts w:hint="eastAsia"/>
                <w:color w:val="auto"/>
                <w:sz w:val="21"/>
                <w:szCs w:val="21"/>
              </w:rPr>
              <w:t>5600</w:t>
            </w:r>
          </w:p>
        </w:tc>
        <w:tc>
          <w:tcPr>
            <w:tcW w:w="2833" w:type="dxa"/>
          </w:tcPr>
          <w:p>
            <w:pPr>
              <w:jc w:val="center"/>
              <w:rPr>
                <w:color w:val="auto"/>
                <w:sz w:val="21"/>
                <w:szCs w:val="21"/>
              </w:rPr>
            </w:pPr>
            <w:r>
              <w:rPr>
                <w:rFonts w:hint="eastAsia"/>
                <w:color w:val="auto"/>
                <w:sz w:val="21"/>
                <w:szCs w:val="21"/>
              </w:rPr>
              <w:t>500</w:t>
            </w:r>
          </w:p>
        </w:tc>
        <w:tc>
          <w:tcPr>
            <w:tcW w:w="2748" w:type="dxa"/>
          </w:tcPr>
          <w:p>
            <w:pPr>
              <w:jc w:val="center"/>
              <w:rPr>
                <w:color w:val="auto"/>
                <w:sz w:val="21"/>
                <w:szCs w:val="21"/>
              </w:rPr>
            </w:pPr>
            <w:r>
              <w:rPr>
                <w:rFonts w:hint="eastAsia"/>
                <w:color w:val="auto"/>
                <w:sz w:val="21"/>
                <w:szCs w:val="21"/>
              </w:rPr>
              <w:t>40</w:t>
            </w:r>
          </w:p>
        </w:tc>
      </w:tr>
    </w:tbl>
    <w:p>
      <w:pPr>
        <w:spacing w:line="360" w:lineRule="auto"/>
        <w:ind w:firstLine="482" w:firstLineChars="200"/>
        <w:jc w:val="left"/>
        <w:rPr>
          <w:b/>
          <w:color w:val="auto"/>
          <w:sz w:val="24"/>
          <w:szCs w:val="24"/>
        </w:rPr>
      </w:pPr>
      <w:r>
        <w:rPr>
          <w:rFonts w:hint="eastAsia"/>
          <w:b/>
          <w:color w:val="auto"/>
          <w:sz w:val="24"/>
          <w:szCs w:val="24"/>
        </w:rPr>
        <w:t>3、污染物降解系数</w:t>
      </w:r>
    </w:p>
    <w:p>
      <w:pPr>
        <w:spacing w:line="360" w:lineRule="auto"/>
        <w:ind w:firstLine="480" w:firstLineChars="200"/>
        <w:jc w:val="left"/>
        <w:rPr>
          <w:rFonts w:ascii="宋体" w:hAnsi="宋体"/>
          <w:color w:val="auto"/>
          <w:sz w:val="24"/>
          <w:szCs w:val="24"/>
        </w:rPr>
      </w:pPr>
      <w:r>
        <w:rPr>
          <w:rFonts w:hint="eastAsia"/>
          <w:color w:val="auto"/>
          <w:sz w:val="24"/>
          <w:szCs w:val="24"/>
        </w:rPr>
        <w:t>根据《广东梅兴华丰产业集聚带环保基础设施规划建设调整方案技术说明书》，借鉴周边各批复的产业园报告书（广梅园、石碣产业园）及当地研究成果选取K</w:t>
      </w:r>
      <w:r>
        <w:rPr>
          <w:rFonts w:hint="eastAsia"/>
          <w:color w:val="auto"/>
          <w:sz w:val="24"/>
          <w:szCs w:val="24"/>
          <w:vertAlign w:val="subscript"/>
        </w:rPr>
        <w:t>COD</w:t>
      </w:r>
      <w:r>
        <w:rPr>
          <w:rFonts w:hint="eastAsia"/>
          <w:color w:val="auto"/>
          <w:sz w:val="24"/>
          <w:szCs w:val="24"/>
        </w:rPr>
        <w:t>=0.10/d，K</w:t>
      </w:r>
      <w:r>
        <w:rPr>
          <w:rFonts w:hint="eastAsia"/>
          <w:color w:val="auto"/>
          <w:sz w:val="24"/>
          <w:szCs w:val="24"/>
          <w:vertAlign w:val="subscript"/>
        </w:rPr>
        <w:t>NH3-N</w:t>
      </w:r>
      <w:r>
        <w:rPr>
          <w:rFonts w:hint="eastAsia"/>
          <w:color w:val="auto"/>
          <w:sz w:val="24"/>
          <w:szCs w:val="24"/>
        </w:rPr>
        <w:t>=0.05/d</w:t>
      </w:r>
      <w:r>
        <w:rPr>
          <w:rFonts w:hint="eastAsia" w:ascii="宋体" w:hAnsi="宋体"/>
          <w:color w:val="auto"/>
          <w:sz w:val="24"/>
          <w:szCs w:val="24"/>
        </w:rPr>
        <w:t>。</w:t>
      </w:r>
    </w:p>
    <w:p>
      <w:pPr>
        <w:spacing w:line="360" w:lineRule="auto"/>
        <w:ind w:firstLine="482" w:firstLineChars="200"/>
        <w:jc w:val="left"/>
        <w:rPr>
          <w:b/>
          <w:color w:val="auto"/>
          <w:sz w:val="24"/>
          <w:szCs w:val="24"/>
        </w:rPr>
      </w:pPr>
      <w:r>
        <w:rPr>
          <w:rFonts w:hint="eastAsia"/>
          <w:b/>
          <w:color w:val="auto"/>
          <w:sz w:val="24"/>
          <w:szCs w:val="24"/>
        </w:rPr>
        <w:t>4、扩散系数</w:t>
      </w:r>
    </w:p>
    <w:p>
      <w:pPr>
        <w:spacing w:line="360" w:lineRule="auto"/>
        <w:ind w:firstLine="480" w:firstLineChars="200"/>
        <w:jc w:val="left"/>
        <w:rPr>
          <w:color w:val="auto"/>
          <w:sz w:val="24"/>
          <w:szCs w:val="24"/>
        </w:rPr>
      </w:pPr>
      <w:r>
        <w:rPr>
          <w:rFonts w:hint="eastAsia"/>
          <w:color w:val="auto"/>
          <w:sz w:val="24"/>
          <w:szCs w:val="24"/>
        </w:rPr>
        <w:t>横向扩散系数E</w:t>
      </w:r>
      <w:r>
        <w:rPr>
          <w:rFonts w:hint="eastAsia"/>
          <w:color w:val="auto"/>
          <w:sz w:val="24"/>
          <w:szCs w:val="24"/>
          <w:vertAlign w:val="subscript"/>
        </w:rPr>
        <w:t>y</w:t>
      </w:r>
      <w:r>
        <w:rPr>
          <w:rFonts w:hint="eastAsia"/>
          <w:color w:val="auto"/>
          <w:sz w:val="24"/>
          <w:szCs w:val="24"/>
        </w:rPr>
        <w:t xml:space="preserve"> 计算公式为；</w:t>
      </w:r>
    </w:p>
    <w:p>
      <w:pPr>
        <w:spacing w:line="360" w:lineRule="auto"/>
        <w:jc w:val="center"/>
        <w:rPr>
          <w:color w:val="auto"/>
          <w:sz w:val="24"/>
          <w:szCs w:val="24"/>
        </w:rPr>
      </w:pPr>
      <w:r>
        <w:rPr>
          <w:color w:val="auto"/>
          <w:sz w:val="24"/>
          <w:szCs w:val="24"/>
        </w:rPr>
        <w:t>E</w:t>
      </w:r>
      <w:r>
        <w:rPr>
          <w:color w:val="auto"/>
          <w:sz w:val="24"/>
          <w:szCs w:val="24"/>
          <w:vertAlign w:val="subscript"/>
        </w:rPr>
        <w:t>y</w:t>
      </w:r>
      <w:r>
        <w:rPr>
          <w:color w:val="auto"/>
          <w:sz w:val="24"/>
          <w:szCs w:val="24"/>
        </w:rPr>
        <w:t>=(0.058H+0.0065B)(gHi)</w:t>
      </w:r>
      <w:r>
        <w:rPr>
          <w:color w:val="auto"/>
          <w:sz w:val="24"/>
          <w:szCs w:val="24"/>
          <w:vertAlign w:val="superscript"/>
        </w:rPr>
        <w:t>1/2</w:t>
      </w:r>
    </w:p>
    <w:p>
      <w:pPr>
        <w:spacing w:line="360" w:lineRule="auto"/>
        <w:ind w:firstLine="480" w:firstLineChars="200"/>
        <w:jc w:val="left"/>
        <w:rPr>
          <w:color w:val="auto"/>
          <w:sz w:val="24"/>
          <w:szCs w:val="24"/>
        </w:rPr>
      </w:pPr>
      <w:r>
        <w:rPr>
          <w:rFonts w:hint="eastAsia"/>
          <w:color w:val="auto"/>
          <w:sz w:val="24"/>
          <w:szCs w:val="24"/>
        </w:rPr>
        <w:t>纵向扩散系数E</w:t>
      </w:r>
      <w:r>
        <w:rPr>
          <w:rFonts w:hint="eastAsia"/>
          <w:color w:val="auto"/>
          <w:sz w:val="24"/>
          <w:szCs w:val="24"/>
          <w:vertAlign w:val="subscript"/>
        </w:rPr>
        <w:t xml:space="preserve">x </w:t>
      </w:r>
      <w:r>
        <w:rPr>
          <w:rFonts w:hint="eastAsia"/>
          <w:color w:val="auto"/>
          <w:sz w:val="24"/>
          <w:szCs w:val="24"/>
        </w:rPr>
        <w:t>计算公式为；</w:t>
      </w:r>
    </w:p>
    <w:p>
      <w:pPr>
        <w:spacing w:line="360" w:lineRule="auto"/>
        <w:ind w:firstLine="480" w:firstLineChars="200"/>
        <w:jc w:val="center"/>
        <w:rPr>
          <w:color w:val="auto"/>
          <w:sz w:val="24"/>
          <w:szCs w:val="24"/>
        </w:rPr>
      </w:pPr>
      <w:r>
        <w:rPr>
          <w:color w:val="auto"/>
          <w:sz w:val="24"/>
          <w:szCs w:val="24"/>
        </w:rPr>
        <w:t>E</w:t>
      </w:r>
      <w:r>
        <w:rPr>
          <w:color w:val="auto"/>
          <w:sz w:val="24"/>
          <w:szCs w:val="24"/>
          <w:vertAlign w:val="subscript"/>
        </w:rPr>
        <w:t>x</w:t>
      </w:r>
      <w:r>
        <w:rPr>
          <w:color w:val="auto"/>
          <w:sz w:val="24"/>
          <w:szCs w:val="24"/>
        </w:rPr>
        <w:t>=0.011u</w:t>
      </w:r>
      <w:r>
        <w:rPr>
          <w:color w:val="auto"/>
          <w:sz w:val="24"/>
          <w:szCs w:val="24"/>
          <w:vertAlign w:val="superscript"/>
        </w:rPr>
        <w:t>2</w:t>
      </w:r>
      <w:r>
        <w:rPr>
          <w:color w:val="auto"/>
          <w:sz w:val="24"/>
          <w:szCs w:val="24"/>
        </w:rPr>
        <w:t>B</w:t>
      </w:r>
      <w:r>
        <w:rPr>
          <w:color w:val="auto"/>
          <w:sz w:val="24"/>
          <w:szCs w:val="24"/>
          <w:vertAlign w:val="superscript"/>
        </w:rPr>
        <w:t>2</w:t>
      </w:r>
      <w:r>
        <w:rPr>
          <w:color w:val="auto"/>
          <w:sz w:val="24"/>
          <w:szCs w:val="24"/>
        </w:rPr>
        <w:t>/H(gHi)</w:t>
      </w:r>
      <w:r>
        <w:rPr>
          <w:color w:val="auto"/>
          <w:sz w:val="24"/>
          <w:szCs w:val="24"/>
          <w:vertAlign w:val="superscript"/>
        </w:rPr>
        <w:t>1/2</w:t>
      </w:r>
    </w:p>
    <w:p>
      <w:pPr>
        <w:spacing w:line="360" w:lineRule="auto"/>
        <w:ind w:firstLine="480" w:firstLineChars="200"/>
        <w:jc w:val="left"/>
        <w:rPr>
          <w:color w:val="auto"/>
          <w:sz w:val="24"/>
          <w:szCs w:val="24"/>
        </w:rPr>
      </w:pPr>
      <w:r>
        <w:rPr>
          <w:rFonts w:hint="eastAsia"/>
          <w:color w:val="auto"/>
          <w:sz w:val="24"/>
          <w:szCs w:val="24"/>
        </w:rPr>
        <w:t>式中：E</w:t>
      </w:r>
      <w:r>
        <w:rPr>
          <w:rFonts w:hint="eastAsia"/>
          <w:color w:val="auto"/>
          <w:sz w:val="24"/>
          <w:szCs w:val="24"/>
          <w:vertAlign w:val="subscript"/>
        </w:rPr>
        <w:t>y</w:t>
      </w:r>
      <w:r>
        <w:rPr>
          <w:rFonts w:hint="eastAsia"/>
          <w:color w:val="auto"/>
          <w:sz w:val="24"/>
          <w:szCs w:val="24"/>
        </w:rPr>
        <w:t>—横向扩散系数，m</w:t>
      </w:r>
      <w:r>
        <w:rPr>
          <w:rFonts w:hint="eastAsia"/>
          <w:color w:val="auto"/>
          <w:sz w:val="24"/>
          <w:szCs w:val="24"/>
          <w:vertAlign w:val="superscript"/>
        </w:rPr>
        <w:t>2</w:t>
      </w:r>
      <w:r>
        <w:rPr>
          <w:rFonts w:hint="eastAsia"/>
          <w:color w:val="auto"/>
          <w:sz w:val="24"/>
          <w:szCs w:val="24"/>
        </w:rPr>
        <w:t>/s；</w:t>
      </w:r>
    </w:p>
    <w:p>
      <w:pPr>
        <w:spacing w:line="360" w:lineRule="auto"/>
        <w:ind w:firstLine="480" w:firstLineChars="200"/>
        <w:jc w:val="left"/>
        <w:rPr>
          <w:color w:val="auto"/>
          <w:sz w:val="24"/>
          <w:szCs w:val="24"/>
        </w:rPr>
      </w:pPr>
      <w:r>
        <w:rPr>
          <w:rFonts w:hint="eastAsia"/>
          <w:color w:val="auto"/>
          <w:sz w:val="24"/>
          <w:szCs w:val="24"/>
        </w:rPr>
        <w:t>E</w:t>
      </w:r>
      <w:r>
        <w:rPr>
          <w:rFonts w:hint="eastAsia"/>
          <w:color w:val="auto"/>
          <w:sz w:val="24"/>
          <w:szCs w:val="24"/>
          <w:vertAlign w:val="subscript"/>
        </w:rPr>
        <w:t>x</w:t>
      </w:r>
      <w:r>
        <w:rPr>
          <w:rFonts w:hint="eastAsia"/>
          <w:color w:val="auto"/>
          <w:sz w:val="24"/>
          <w:szCs w:val="24"/>
        </w:rPr>
        <w:t>—纵向扩散系数，m</w:t>
      </w:r>
      <w:r>
        <w:rPr>
          <w:rFonts w:hint="eastAsia"/>
          <w:color w:val="auto"/>
          <w:sz w:val="24"/>
          <w:szCs w:val="24"/>
          <w:vertAlign w:val="superscript"/>
        </w:rPr>
        <w:t>2</w:t>
      </w:r>
      <w:r>
        <w:rPr>
          <w:rFonts w:hint="eastAsia"/>
          <w:color w:val="auto"/>
          <w:sz w:val="24"/>
          <w:szCs w:val="24"/>
        </w:rPr>
        <w:t>/s；</w:t>
      </w:r>
    </w:p>
    <w:p>
      <w:pPr>
        <w:spacing w:line="360" w:lineRule="auto"/>
        <w:ind w:firstLine="480" w:firstLineChars="200"/>
        <w:jc w:val="left"/>
        <w:rPr>
          <w:color w:val="auto"/>
          <w:sz w:val="24"/>
          <w:szCs w:val="24"/>
        </w:rPr>
      </w:pPr>
      <w:r>
        <w:rPr>
          <w:rFonts w:hint="eastAsia"/>
          <w:color w:val="auto"/>
          <w:sz w:val="24"/>
          <w:szCs w:val="24"/>
        </w:rPr>
        <w:t>H—平均水深；</w:t>
      </w:r>
    </w:p>
    <w:p>
      <w:pPr>
        <w:spacing w:line="360" w:lineRule="auto"/>
        <w:ind w:firstLine="480" w:firstLineChars="200"/>
        <w:jc w:val="left"/>
        <w:rPr>
          <w:color w:val="auto"/>
          <w:sz w:val="24"/>
          <w:szCs w:val="24"/>
        </w:rPr>
      </w:pPr>
      <w:r>
        <w:rPr>
          <w:rFonts w:hint="eastAsia"/>
          <w:color w:val="auto"/>
          <w:sz w:val="24"/>
          <w:szCs w:val="24"/>
        </w:rPr>
        <w:t>B—水面宽度，m；</w:t>
      </w:r>
    </w:p>
    <w:p>
      <w:pPr>
        <w:spacing w:line="360" w:lineRule="auto"/>
        <w:ind w:firstLine="480" w:firstLineChars="200"/>
        <w:jc w:val="left"/>
        <w:rPr>
          <w:color w:val="auto"/>
          <w:sz w:val="24"/>
          <w:szCs w:val="24"/>
        </w:rPr>
      </w:pPr>
      <w:r>
        <w:rPr>
          <w:rFonts w:hint="eastAsia"/>
          <w:color w:val="auto"/>
          <w:sz w:val="24"/>
          <w:szCs w:val="24"/>
        </w:rPr>
        <w:t>g—重力加速度，m/s</w:t>
      </w:r>
      <w:r>
        <w:rPr>
          <w:rFonts w:hint="eastAsia"/>
          <w:color w:val="auto"/>
          <w:sz w:val="24"/>
          <w:szCs w:val="24"/>
          <w:vertAlign w:val="superscript"/>
        </w:rPr>
        <w:t>2</w:t>
      </w:r>
      <w:r>
        <w:rPr>
          <w:rFonts w:hint="eastAsia"/>
          <w:color w:val="auto"/>
          <w:sz w:val="24"/>
          <w:szCs w:val="24"/>
        </w:rPr>
        <w:t>；</w:t>
      </w:r>
    </w:p>
    <w:p>
      <w:pPr>
        <w:spacing w:line="360" w:lineRule="auto"/>
        <w:ind w:firstLine="480" w:firstLineChars="200"/>
        <w:jc w:val="left"/>
        <w:rPr>
          <w:color w:val="auto"/>
          <w:sz w:val="24"/>
          <w:szCs w:val="24"/>
        </w:rPr>
      </w:pPr>
      <w:r>
        <w:rPr>
          <w:rFonts w:hint="eastAsia"/>
          <w:color w:val="auto"/>
          <w:sz w:val="24"/>
          <w:szCs w:val="24"/>
        </w:rPr>
        <w:t>i—水力坡降，m/m；</w:t>
      </w:r>
    </w:p>
    <w:p>
      <w:pPr>
        <w:spacing w:line="360" w:lineRule="auto"/>
        <w:ind w:firstLine="480" w:firstLineChars="200"/>
        <w:jc w:val="left"/>
        <w:rPr>
          <w:color w:val="auto"/>
          <w:sz w:val="24"/>
          <w:szCs w:val="24"/>
        </w:rPr>
      </w:pPr>
      <w:r>
        <w:rPr>
          <w:rFonts w:hint="eastAsia"/>
          <w:color w:val="auto"/>
          <w:sz w:val="24"/>
          <w:szCs w:val="24"/>
        </w:rPr>
        <w:t>u—断面平均流速，m/s。</w:t>
      </w:r>
    </w:p>
    <w:p>
      <w:pPr>
        <w:spacing w:line="360" w:lineRule="auto"/>
        <w:ind w:firstLine="480" w:firstLineChars="200"/>
        <w:jc w:val="left"/>
        <w:rPr>
          <w:color w:val="auto"/>
          <w:sz w:val="24"/>
          <w:szCs w:val="24"/>
        </w:rPr>
      </w:pPr>
      <w:r>
        <w:rPr>
          <w:rFonts w:hint="eastAsia"/>
          <w:color w:val="auto"/>
          <w:sz w:val="24"/>
          <w:szCs w:val="24"/>
        </w:rPr>
        <w:t>经计算，本项目预测河段横向扩散系数和纵向扩散系数如下表所示。</w:t>
      </w:r>
    </w:p>
    <w:p>
      <w:pPr>
        <w:spacing w:line="360" w:lineRule="auto"/>
        <w:jc w:val="center"/>
        <w:rPr>
          <w:b/>
          <w:color w:val="auto"/>
          <w:sz w:val="24"/>
          <w:szCs w:val="24"/>
        </w:rPr>
      </w:pPr>
      <w:r>
        <w:rPr>
          <w:rFonts w:hint="eastAsia"/>
          <w:b/>
          <w:color w:val="auto"/>
          <w:sz w:val="24"/>
          <w:szCs w:val="24"/>
        </w:rPr>
        <w:t>表5-2-14   预测河段扩散系数一览表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b/>
                <w:color w:val="auto"/>
                <w:sz w:val="21"/>
                <w:szCs w:val="21"/>
              </w:rPr>
            </w:pPr>
            <w:r>
              <w:rPr>
                <w:rFonts w:hint="eastAsia"/>
                <w:b/>
                <w:color w:val="auto"/>
                <w:sz w:val="21"/>
                <w:szCs w:val="21"/>
              </w:rPr>
              <w:t>预测河段</w:t>
            </w:r>
          </w:p>
        </w:tc>
        <w:tc>
          <w:tcPr>
            <w:tcW w:w="2841" w:type="dxa"/>
            <w:vAlign w:val="center"/>
          </w:tcPr>
          <w:p>
            <w:pPr>
              <w:jc w:val="center"/>
              <w:rPr>
                <w:b/>
                <w:color w:val="auto"/>
                <w:sz w:val="21"/>
                <w:szCs w:val="21"/>
              </w:rPr>
            </w:pPr>
            <w:r>
              <w:rPr>
                <w:rFonts w:hint="eastAsia"/>
                <w:b/>
                <w:color w:val="auto"/>
                <w:sz w:val="21"/>
                <w:szCs w:val="21"/>
              </w:rPr>
              <w:t>E</w:t>
            </w:r>
            <w:r>
              <w:rPr>
                <w:rFonts w:hint="eastAsia"/>
                <w:b/>
                <w:color w:val="auto"/>
                <w:sz w:val="21"/>
                <w:szCs w:val="21"/>
                <w:vertAlign w:val="subscript"/>
              </w:rPr>
              <w:t>x</w:t>
            </w:r>
          </w:p>
        </w:tc>
        <w:tc>
          <w:tcPr>
            <w:tcW w:w="2841" w:type="dxa"/>
            <w:vAlign w:val="center"/>
          </w:tcPr>
          <w:p>
            <w:pPr>
              <w:jc w:val="center"/>
              <w:rPr>
                <w:b/>
                <w:color w:val="auto"/>
                <w:sz w:val="21"/>
                <w:szCs w:val="21"/>
              </w:rPr>
            </w:pPr>
            <w:r>
              <w:rPr>
                <w:rFonts w:hint="eastAsia"/>
                <w:b/>
                <w:color w:val="auto"/>
                <w:sz w:val="21"/>
                <w:szCs w:val="21"/>
              </w:rPr>
              <w:t>E</w:t>
            </w:r>
            <w:r>
              <w:rPr>
                <w:rFonts w:hint="eastAsia"/>
                <w:b/>
                <w:color w:val="auto"/>
                <w:sz w:val="21"/>
                <w:szCs w:val="21"/>
                <w:vertAlign w:val="subscript"/>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color w:val="auto"/>
                <w:sz w:val="21"/>
                <w:szCs w:val="21"/>
              </w:rPr>
            </w:pPr>
            <w:r>
              <w:rPr>
                <w:rFonts w:hint="eastAsia"/>
                <w:color w:val="auto"/>
                <w:sz w:val="21"/>
                <w:szCs w:val="21"/>
              </w:rPr>
              <w:t>大嵩河</w:t>
            </w:r>
          </w:p>
        </w:tc>
        <w:tc>
          <w:tcPr>
            <w:tcW w:w="2841" w:type="dxa"/>
            <w:vAlign w:val="center"/>
          </w:tcPr>
          <w:p>
            <w:pPr>
              <w:jc w:val="center"/>
              <w:rPr>
                <w:color w:val="auto"/>
                <w:sz w:val="21"/>
                <w:szCs w:val="21"/>
              </w:rPr>
            </w:pPr>
            <w:r>
              <w:rPr>
                <w:rFonts w:hint="eastAsia"/>
                <w:color w:val="auto"/>
                <w:sz w:val="21"/>
                <w:szCs w:val="21"/>
              </w:rPr>
              <w:t>0.1691</w:t>
            </w:r>
          </w:p>
        </w:tc>
        <w:tc>
          <w:tcPr>
            <w:tcW w:w="2841" w:type="dxa"/>
            <w:vAlign w:val="center"/>
          </w:tcPr>
          <w:p>
            <w:pPr>
              <w:jc w:val="center"/>
              <w:rPr>
                <w:color w:val="auto"/>
                <w:sz w:val="21"/>
                <w:szCs w:val="21"/>
              </w:rPr>
            </w:pPr>
            <w:r>
              <w:rPr>
                <w:rFonts w:hint="eastAsia"/>
                <w:color w:val="auto"/>
                <w:sz w:val="21"/>
                <w:szCs w:val="21"/>
              </w:rPr>
              <w:t>0.0112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color w:val="auto"/>
                <w:sz w:val="21"/>
                <w:szCs w:val="21"/>
              </w:rPr>
            </w:pPr>
            <w:r>
              <w:rPr>
                <w:rFonts w:hint="eastAsia"/>
                <w:color w:val="auto"/>
                <w:sz w:val="21"/>
                <w:szCs w:val="21"/>
              </w:rPr>
              <w:t>梅江</w:t>
            </w:r>
          </w:p>
        </w:tc>
        <w:tc>
          <w:tcPr>
            <w:tcW w:w="2841" w:type="dxa"/>
            <w:vAlign w:val="center"/>
          </w:tcPr>
          <w:p>
            <w:pPr>
              <w:jc w:val="center"/>
              <w:rPr>
                <w:color w:val="auto"/>
                <w:sz w:val="21"/>
                <w:szCs w:val="21"/>
              </w:rPr>
            </w:pPr>
            <w:r>
              <w:rPr>
                <w:rFonts w:hint="eastAsia"/>
                <w:color w:val="auto"/>
                <w:sz w:val="21"/>
                <w:szCs w:val="21"/>
              </w:rPr>
              <w:t>0.3723</w:t>
            </w:r>
          </w:p>
        </w:tc>
        <w:tc>
          <w:tcPr>
            <w:tcW w:w="2841" w:type="dxa"/>
            <w:vAlign w:val="center"/>
          </w:tcPr>
          <w:p>
            <w:pPr>
              <w:jc w:val="center"/>
              <w:rPr>
                <w:color w:val="auto"/>
                <w:sz w:val="21"/>
                <w:szCs w:val="21"/>
              </w:rPr>
            </w:pPr>
            <w:r>
              <w:rPr>
                <w:rFonts w:hint="eastAsia"/>
                <w:color w:val="auto"/>
                <w:sz w:val="21"/>
                <w:szCs w:val="21"/>
              </w:rPr>
              <w:t>0.8134</w:t>
            </w:r>
          </w:p>
        </w:tc>
      </w:tr>
    </w:tbl>
    <w:p>
      <w:pPr>
        <w:spacing w:line="360" w:lineRule="auto"/>
        <w:ind w:firstLine="482" w:firstLineChars="200"/>
        <w:jc w:val="left"/>
        <w:rPr>
          <w:b/>
          <w:color w:val="auto"/>
          <w:sz w:val="24"/>
          <w:szCs w:val="24"/>
        </w:rPr>
      </w:pPr>
      <w:r>
        <w:rPr>
          <w:rFonts w:hint="eastAsia"/>
          <w:b/>
          <w:color w:val="auto"/>
          <w:sz w:val="24"/>
          <w:szCs w:val="24"/>
        </w:rPr>
        <w:t>5、混合过程段长度L</w:t>
      </w:r>
    </w:p>
    <w:p>
      <w:pPr>
        <w:spacing w:line="360" w:lineRule="auto"/>
        <w:ind w:firstLine="480" w:firstLineChars="200"/>
        <w:jc w:val="left"/>
        <w:rPr>
          <w:color w:val="auto"/>
          <w:sz w:val="24"/>
          <w:szCs w:val="24"/>
        </w:rPr>
      </w:pPr>
      <w:r>
        <w:rPr>
          <w:rFonts w:hint="eastAsia"/>
          <w:color w:val="auto"/>
          <w:sz w:val="24"/>
          <w:szCs w:val="24"/>
        </w:rPr>
        <w:t>根据</w:t>
      </w:r>
      <w:r>
        <w:rPr>
          <w:rFonts w:ascii="宋体" w:hAnsi="宋体"/>
          <w:color w:val="auto"/>
          <w:sz w:val="24"/>
          <w:szCs w:val="24"/>
        </w:rPr>
        <w:t>《环境影响评价技术导则</w:t>
      </w:r>
      <w:r>
        <w:rPr>
          <w:rFonts w:hint="eastAsia"/>
          <w:color w:val="auto"/>
          <w:sz w:val="24"/>
          <w:szCs w:val="24"/>
        </w:rPr>
        <w:t xml:space="preserve"> </w:t>
      </w:r>
      <w:r>
        <w:rPr>
          <w:rFonts w:ascii="宋体" w:hAnsi="宋体"/>
          <w:color w:val="auto"/>
          <w:sz w:val="24"/>
          <w:szCs w:val="24"/>
        </w:rPr>
        <w:t>地表水环境》（</w:t>
      </w:r>
      <w:r>
        <w:rPr>
          <w:color w:val="auto"/>
          <w:sz w:val="24"/>
          <w:szCs w:val="24"/>
        </w:rPr>
        <w:t>HJ2.3-2018</w:t>
      </w:r>
      <w:r>
        <w:rPr>
          <w:rFonts w:ascii="宋体" w:hAnsi="宋体"/>
          <w:color w:val="auto"/>
          <w:sz w:val="24"/>
          <w:szCs w:val="24"/>
        </w:rPr>
        <w:t>）</w:t>
      </w:r>
      <w:r>
        <w:rPr>
          <w:rFonts w:hint="eastAsia" w:ascii="宋体" w:hAnsi="宋体"/>
          <w:color w:val="auto"/>
          <w:sz w:val="24"/>
          <w:szCs w:val="24"/>
        </w:rPr>
        <w:t>，</w:t>
      </w:r>
      <w:r>
        <w:rPr>
          <w:rFonts w:hint="eastAsia"/>
          <w:color w:val="auto"/>
          <w:sz w:val="24"/>
          <w:szCs w:val="24"/>
        </w:rPr>
        <w:t>混合过程段的的长度计算公式如下所示：</w:t>
      </w:r>
    </w:p>
    <w:p>
      <w:pPr>
        <w:spacing w:line="360" w:lineRule="auto"/>
        <w:ind w:firstLine="400"/>
        <w:jc w:val="center"/>
        <w:rPr>
          <w:color w:val="auto"/>
          <w:sz w:val="24"/>
          <w:szCs w:val="24"/>
        </w:rPr>
      </w:pPr>
      <w:r>
        <w:rPr>
          <w:color w:val="auto"/>
        </w:rPr>
        <w:drawing>
          <wp:inline distT="0" distB="0" distL="0" distR="0">
            <wp:extent cx="3276600" cy="436245"/>
            <wp:effectExtent l="19050" t="0" r="0" b="0"/>
            <wp:docPr id="69" name="图片 37"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37" descr="wps1"/>
                    <pic:cNvPicPr>
                      <a:picLocks noChangeAspect="1" noChangeArrowheads="1"/>
                    </pic:cNvPicPr>
                  </pic:nvPicPr>
                  <pic:blipFill>
                    <a:blip r:embed="rId67" cstate="print"/>
                    <a:srcRect/>
                    <a:stretch>
                      <a:fillRect/>
                    </a:stretch>
                  </pic:blipFill>
                  <pic:spPr>
                    <a:xfrm>
                      <a:off x="0" y="0"/>
                      <a:ext cx="3276600" cy="436245"/>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式中：L</w:t>
      </w:r>
      <w:r>
        <w:rPr>
          <w:rFonts w:hint="eastAsia"/>
          <w:color w:val="auto"/>
          <w:sz w:val="24"/>
          <w:szCs w:val="24"/>
          <w:vertAlign w:val="subscript"/>
        </w:rPr>
        <w:t>m</w:t>
      </w:r>
      <w:r>
        <w:rPr>
          <w:rFonts w:hint="eastAsia"/>
          <w:color w:val="auto"/>
          <w:sz w:val="24"/>
          <w:szCs w:val="24"/>
        </w:rPr>
        <w:t>—混合段长度，m；</w:t>
      </w:r>
    </w:p>
    <w:p>
      <w:pPr>
        <w:spacing w:line="360" w:lineRule="auto"/>
        <w:ind w:firstLine="480" w:firstLineChars="200"/>
        <w:jc w:val="left"/>
        <w:rPr>
          <w:color w:val="auto"/>
          <w:sz w:val="24"/>
          <w:szCs w:val="24"/>
        </w:rPr>
      </w:pPr>
      <w:r>
        <w:rPr>
          <w:rFonts w:hint="eastAsia"/>
          <w:color w:val="auto"/>
          <w:sz w:val="24"/>
          <w:szCs w:val="24"/>
        </w:rPr>
        <w:t>B—水面宽度，m；</w:t>
      </w:r>
    </w:p>
    <w:p>
      <w:pPr>
        <w:spacing w:line="360" w:lineRule="auto"/>
        <w:ind w:firstLine="480" w:firstLineChars="200"/>
        <w:jc w:val="left"/>
        <w:rPr>
          <w:color w:val="auto"/>
          <w:sz w:val="24"/>
          <w:szCs w:val="24"/>
        </w:rPr>
      </w:pPr>
      <w:r>
        <w:rPr>
          <w:rFonts w:hint="eastAsia"/>
          <w:color w:val="auto"/>
          <w:sz w:val="24"/>
          <w:szCs w:val="24"/>
        </w:rPr>
        <w:t>a—排放口到岸边的距离，m；</w:t>
      </w:r>
    </w:p>
    <w:p>
      <w:pPr>
        <w:spacing w:line="360" w:lineRule="auto"/>
        <w:ind w:firstLine="480" w:firstLineChars="200"/>
        <w:jc w:val="left"/>
        <w:rPr>
          <w:color w:val="auto"/>
          <w:sz w:val="24"/>
          <w:szCs w:val="24"/>
        </w:rPr>
      </w:pPr>
      <w:r>
        <w:rPr>
          <w:rFonts w:hint="eastAsia"/>
          <w:color w:val="auto"/>
          <w:sz w:val="24"/>
          <w:szCs w:val="24"/>
        </w:rPr>
        <w:t>u—断面流速，m/s；</w:t>
      </w:r>
    </w:p>
    <w:p>
      <w:pPr>
        <w:spacing w:line="360" w:lineRule="auto"/>
        <w:ind w:firstLine="480" w:firstLineChars="200"/>
        <w:jc w:val="left"/>
        <w:rPr>
          <w:color w:val="auto"/>
          <w:sz w:val="24"/>
          <w:szCs w:val="24"/>
        </w:rPr>
      </w:pPr>
      <w:r>
        <w:rPr>
          <w:rFonts w:hint="eastAsia"/>
          <w:color w:val="auto"/>
          <w:sz w:val="24"/>
          <w:szCs w:val="24"/>
        </w:rPr>
        <w:t>E</w:t>
      </w:r>
      <w:r>
        <w:rPr>
          <w:rFonts w:hint="eastAsia"/>
          <w:color w:val="auto"/>
          <w:sz w:val="24"/>
          <w:szCs w:val="24"/>
          <w:vertAlign w:val="subscript"/>
        </w:rPr>
        <w:t>y</w:t>
      </w:r>
      <w:r>
        <w:rPr>
          <w:rFonts w:hint="eastAsia"/>
          <w:color w:val="auto"/>
          <w:sz w:val="24"/>
          <w:szCs w:val="24"/>
        </w:rPr>
        <w:t>—污染物横向扩散系数，m</w:t>
      </w:r>
      <w:r>
        <w:rPr>
          <w:rFonts w:hint="eastAsia"/>
          <w:color w:val="auto"/>
          <w:sz w:val="24"/>
          <w:szCs w:val="24"/>
          <w:vertAlign w:val="superscript"/>
        </w:rPr>
        <w:t>2</w:t>
      </w:r>
      <w:r>
        <w:rPr>
          <w:rFonts w:hint="eastAsia"/>
          <w:color w:val="auto"/>
          <w:sz w:val="24"/>
          <w:szCs w:val="24"/>
        </w:rPr>
        <w:t>/s。</w:t>
      </w:r>
    </w:p>
    <w:p>
      <w:pPr>
        <w:spacing w:line="360" w:lineRule="auto"/>
        <w:ind w:firstLine="480" w:firstLineChars="200"/>
        <w:jc w:val="left"/>
        <w:rPr>
          <w:rFonts w:ascii="宋体" w:hAnsi="宋体"/>
          <w:color w:val="auto"/>
          <w:sz w:val="24"/>
          <w:szCs w:val="24"/>
        </w:rPr>
      </w:pPr>
      <w:r>
        <w:rPr>
          <w:rFonts w:hint="eastAsia" w:ascii="宋体" w:hAnsi="宋体"/>
          <w:color w:val="auto"/>
          <w:sz w:val="24"/>
          <w:szCs w:val="24"/>
        </w:rPr>
        <w:t>项目</w:t>
      </w:r>
      <w:r>
        <w:rPr>
          <w:rFonts w:ascii="宋体" w:hAnsi="宋体"/>
          <w:color w:val="auto"/>
          <w:sz w:val="24"/>
          <w:szCs w:val="24"/>
        </w:rPr>
        <w:t>污水按岸边排放预测，取值</w:t>
      </w:r>
      <w:r>
        <w:rPr>
          <w:color w:val="auto"/>
          <w:sz w:val="24"/>
          <w:szCs w:val="24"/>
        </w:rPr>
        <w:t>0</w:t>
      </w:r>
      <w:r>
        <w:rPr>
          <w:rFonts w:hint="eastAsia" w:ascii="宋体" w:hAnsi="宋体"/>
          <w:color w:val="auto"/>
          <w:sz w:val="24"/>
          <w:szCs w:val="24"/>
        </w:rPr>
        <w:t>。据上式核算，大嵩河混合过程段长度</w:t>
      </w:r>
      <w:r>
        <w:rPr>
          <w:rFonts w:hAnsi="宋体"/>
          <w:color w:val="auto"/>
          <w:sz w:val="24"/>
          <w:szCs w:val="24"/>
        </w:rPr>
        <w:t>为</w:t>
      </w:r>
      <w:r>
        <w:rPr>
          <w:rFonts w:hint="eastAsia"/>
          <w:color w:val="auto"/>
          <w:sz w:val="24"/>
          <w:szCs w:val="24"/>
        </w:rPr>
        <w:t>323.73</w:t>
      </w:r>
      <w:r>
        <w:rPr>
          <w:color w:val="auto"/>
          <w:sz w:val="24"/>
          <w:szCs w:val="24"/>
        </w:rPr>
        <w:t>m</w:t>
      </w:r>
      <w:r>
        <w:rPr>
          <w:rFonts w:hint="eastAsia"/>
          <w:color w:val="auto"/>
          <w:sz w:val="24"/>
          <w:szCs w:val="24"/>
        </w:rPr>
        <w:t>，梅江</w:t>
      </w:r>
      <w:r>
        <w:rPr>
          <w:rFonts w:hint="eastAsia" w:ascii="宋体" w:hAnsi="宋体"/>
          <w:color w:val="auto"/>
          <w:sz w:val="24"/>
          <w:szCs w:val="24"/>
        </w:rPr>
        <w:t>混合过程段长度</w:t>
      </w:r>
      <w:r>
        <w:rPr>
          <w:rFonts w:hAnsi="宋体"/>
          <w:color w:val="auto"/>
          <w:sz w:val="24"/>
          <w:szCs w:val="24"/>
        </w:rPr>
        <w:t>为</w:t>
      </w:r>
      <w:r>
        <w:rPr>
          <w:rFonts w:hint="eastAsia"/>
          <w:color w:val="auto"/>
          <w:sz w:val="24"/>
          <w:szCs w:val="24"/>
        </w:rPr>
        <w:t>1120.87</w:t>
      </w:r>
      <w:r>
        <w:rPr>
          <w:color w:val="auto"/>
          <w:sz w:val="24"/>
          <w:szCs w:val="24"/>
        </w:rPr>
        <w:t>m</w:t>
      </w:r>
      <w:r>
        <w:rPr>
          <w:rFonts w:hAnsi="宋体"/>
          <w:color w:val="auto"/>
          <w:sz w:val="24"/>
          <w:szCs w:val="24"/>
        </w:rPr>
        <w:t>。</w:t>
      </w:r>
    </w:p>
    <w:p>
      <w:pPr>
        <w:spacing w:line="360" w:lineRule="auto"/>
        <w:ind w:firstLine="482" w:firstLineChars="200"/>
        <w:jc w:val="left"/>
        <w:rPr>
          <w:rFonts w:ascii="宋体" w:hAnsi="宋体"/>
          <w:b/>
          <w:color w:val="auto"/>
          <w:sz w:val="24"/>
          <w:szCs w:val="24"/>
        </w:rPr>
      </w:pPr>
      <w:r>
        <w:rPr>
          <w:b/>
          <w:color w:val="auto"/>
          <w:sz w:val="24"/>
          <w:szCs w:val="24"/>
        </w:rPr>
        <w:t>6</w:t>
      </w:r>
      <w:r>
        <w:rPr>
          <w:rFonts w:hAnsi="宋体"/>
          <w:b/>
          <w:color w:val="auto"/>
          <w:sz w:val="24"/>
          <w:szCs w:val="24"/>
        </w:rPr>
        <w:t>、预测评价河段主要污</w:t>
      </w:r>
      <w:r>
        <w:rPr>
          <w:rFonts w:hint="eastAsia" w:ascii="宋体" w:hAnsi="宋体"/>
          <w:b/>
          <w:color w:val="auto"/>
          <w:sz w:val="24"/>
          <w:szCs w:val="24"/>
        </w:rPr>
        <w:t>染物背景浓度</w:t>
      </w:r>
    </w:p>
    <w:p>
      <w:pPr>
        <w:spacing w:line="360" w:lineRule="auto"/>
        <w:ind w:firstLine="480" w:firstLineChars="200"/>
        <w:jc w:val="left"/>
        <w:rPr>
          <w:color w:val="auto"/>
          <w:sz w:val="24"/>
          <w:szCs w:val="24"/>
        </w:rPr>
      </w:pPr>
      <w:r>
        <w:rPr>
          <w:rFonts w:hint="eastAsia"/>
          <w:color w:val="auto"/>
          <w:sz w:val="24"/>
          <w:szCs w:val="24"/>
        </w:rPr>
        <w:t>本次评价引用现状监测报告中的相关数据，确定大嵩河及梅江主要污染物背景浓度如下：</w:t>
      </w:r>
    </w:p>
    <w:p>
      <w:pPr>
        <w:spacing w:line="360" w:lineRule="auto"/>
        <w:ind w:firstLine="480" w:firstLineChars="200"/>
        <w:jc w:val="left"/>
        <w:rPr>
          <w:color w:val="auto"/>
          <w:sz w:val="24"/>
          <w:szCs w:val="24"/>
        </w:rPr>
      </w:pPr>
    </w:p>
    <w:p>
      <w:pPr>
        <w:spacing w:line="360" w:lineRule="auto"/>
        <w:jc w:val="center"/>
        <w:rPr>
          <w:b/>
          <w:color w:val="auto"/>
          <w:sz w:val="24"/>
          <w:szCs w:val="24"/>
        </w:rPr>
      </w:pPr>
      <w:r>
        <w:rPr>
          <w:rFonts w:hint="eastAsia"/>
          <w:b/>
          <w:color w:val="auto"/>
          <w:sz w:val="24"/>
          <w:szCs w:val="24"/>
        </w:rPr>
        <w:t>表5-2-15   预测河段主要污染物背景浓度一览表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b/>
                <w:color w:val="auto"/>
                <w:sz w:val="21"/>
                <w:szCs w:val="21"/>
              </w:rPr>
            </w:pPr>
            <w:r>
              <w:rPr>
                <w:rFonts w:hint="eastAsia"/>
                <w:b/>
                <w:color w:val="auto"/>
                <w:sz w:val="21"/>
                <w:szCs w:val="21"/>
              </w:rPr>
              <w:t>预测河段</w:t>
            </w:r>
          </w:p>
        </w:tc>
        <w:tc>
          <w:tcPr>
            <w:tcW w:w="2841" w:type="dxa"/>
          </w:tcPr>
          <w:p>
            <w:pPr>
              <w:jc w:val="center"/>
              <w:rPr>
                <w:b/>
                <w:color w:val="auto"/>
                <w:sz w:val="21"/>
                <w:szCs w:val="21"/>
              </w:rPr>
            </w:pPr>
            <w:r>
              <w:rPr>
                <w:rFonts w:hint="eastAsia"/>
                <w:b/>
                <w:color w:val="auto"/>
                <w:sz w:val="21"/>
                <w:szCs w:val="21"/>
              </w:rPr>
              <w:t>COD背景浓度（mg/L）</w:t>
            </w:r>
          </w:p>
        </w:tc>
        <w:tc>
          <w:tcPr>
            <w:tcW w:w="2841" w:type="dxa"/>
          </w:tcPr>
          <w:p>
            <w:pPr>
              <w:jc w:val="center"/>
              <w:rPr>
                <w:b/>
                <w:color w:val="auto"/>
                <w:sz w:val="21"/>
                <w:szCs w:val="21"/>
              </w:rPr>
            </w:pPr>
            <w:r>
              <w:rPr>
                <w:rFonts w:hint="eastAsia"/>
                <w:b/>
                <w:color w:val="auto"/>
                <w:sz w:val="21"/>
                <w:szCs w:val="21"/>
              </w:rPr>
              <w:t>NH</w:t>
            </w:r>
            <w:r>
              <w:rPr>
                <w:rFonts w:hint="eastAsia"/>
                <w:b/>
                <w:color w:val="auto"/>
                <w:sz w:val="21"/>
                <w:szCs w:val="21"/>
                <w:vertAlign w:val="subscript"/>
              </w:rPr>
              <w:t>3</w:t>
            </w:r>
            <w:r>
              <w:rPr>
                <w:rFonts w:hint="eastAsia"/>
                <w:b/>
                <w:color w:val="auto"/>
                <w:sz w:val="21"/>
                <w:szCs w:val="21"/>
              </w:rPr>
              <w:t>-N背景浓度（mg/L）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color w:val="auto"/>
                <w:sz w:val="21"/>
                <w:szCs w:val="21"/>
              </w:rPr>
            </w:pPr>
            <w:r>
              <w:rPr>
                <w:rFonts w:hint="eastAsia"/>
                <w:color w:val="auto"/>
                <w:sz w:val="21"/>
                <w:szCs w:val="21"/>
              </w:rPr>
              <w:t>大嵩河</w:t>
            </w:r>
          </w:p>
        </w:tc>
        <w:tc>
          <w:tcPr>
            <w:tcW w:w="2841" w:type="dxa"/>
            <w:vAlign w:val="center"/>
          </w:tcPr>
          <w:p>
            <w:pPr>
              <w:jc w:val="center"/>
              <w:rPr>
                <w:color w:val="auto"/>
                <w:sz w:val="21"/>
                <w:szCs w:val="21"/>
              </w:rPr>
            </w:pPr>
            <w:r>
              <w:rPr>
                <w:rFonts w:hint="eastAsia"/>
                <w:color w:val="auto"/>
                <w:sz w:val="21"/>
                <w:szCs w:val="21"/>
              </w:rPr>
              <w:t>13.667</w:t>
            </w:r>
          </w:p>
        </w:tc>
        <w:tc>
          <w:tcPr>
            <w:tcW w:w="2841" w:type="dxa"/>
            <w:vAlign w:val="center"/>
          </w:tcPr>
          <w:p>
            <w:pPr>
              <w:jc w:val="center"/>
              <w:rPr>
                <w:color w:val="auto"/>
                <w:sz w:val="21"/>
                <w:szCs w:val="21"/>
              </w:rPr>
            </w:pPr>
            <w:r>
              <w:rPr>
                <w:rFonts w:hint="eastAsia"/>
                <w:color w:val="auto"/>
                <w:sz w:val="21"/>
                <w:szCs w:val="21"/>
              </w:rPr>
              <w:t>0.803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color w:val="auto"/>
                <w:sz w:val="21"/>
                <w:szCs w:val="21"/>
              </w:rPr>
            </w:pPr>
            <w:r>
              <w:rPr>
                <w:rFonts w:hint="eastAsia"/>
                <w:color w:val="auto"/>
                <w:sz w:val="21"/>
                <w:szCs w:val="21"/>
              </w:rPr>
              <w:t>梅江</w:t>
            </w:r>
          </w:p>
        </w:tc>
        <w:tc>
          <w:tcPr>
            <w:tcW w:w="2841" w:type="dxa"/>
            <w:vAlign w:val="center"/>
          </w:tcPr>
          <w:p>
            <w:pPr>
              <w:jc w:val="center"/>
              <w:rPr>
                <w:color w:val="auto"/>
                <w:sz w:val="21"/>
                <w:szCs w:val="21"/>
              </w:rPr>
            </w:pPr>
            <w:r>
              <w:rPr>
                <w:rFonts w:hint="eastAsia"/>
                <w:color w:val="auto"/>
                <w:sz w:val="21"/>
                <w:szCs w:val="21"/>
              </w:rPr>
              <w:t>11.83</w:t>
            </w:r>
          </w:p>
        </w:tc>
        <w:tc>
          <w:tcPr>
            <w:tcW w:w="2841" w:type="dxa"/>
            <w:vAlign w:val="center"/>
          </w:tcPr>
          <w:p>
            <w:pPr>
              <w:jc w:val="center"/>
              <w:rPr>
                <w:color w:val="auto"/>
                <w:sz w:val="21"/>
                <w:szCs w:val="21"/>
              </w:rPr>
            </w:pPr>
            <w:r>
              <w:rPr>
                <w:rFonts w:hint="eastAsia"/>
                <w:color w:val="auto"/>
                <w:sz w:val="21"/>
                <w:szCs w:val="21"/>
              </w:rPr>
              <w:t>0.32</w:t>
            </w:r>
          </w:p>
        </w:tc>
      </w:tr>
    </w:tbl>
    <w:p>
      <w:pPr>
        <w:pStyle w:val="5"/>
        <w:rPr>
          <w:color w:val="auto"/>
        </w:rPr>
      </w:pPr>
      <w:r>
        <w:rPr>
          <w:rFonts w:hint="eastAsia"/>
          <w:color w:val="auto"/>
        </w:rPr>
        <w:t>5.2.2.5预测模型</w:t>
      </w:r>
    </w:p>
    <w:p>
      <w:pPr>
        <w:spacing w:line="360" w:lineRule="auto"/>
        <w:ind w:firstLine="480" w:firstLineChars="200"/>
        <w:jc w:val="left"/>
        <w:rPr>
          <w:color w:val="auto"/>
          <w:sz w:val="24"/>
          <w:szCs w:val="24"/>
        </w:rPr>
      </w:pPr>
      <w:r>
        <w:rPr>
          <w:rFonts w:hint="eastAsia"/>
          <w:color w:val="auto"/>
          <w:sz w:val="24"/>
          <w:szCs w:val="24"/>
        </w:rPr>
        <w:t>由上述参数可得，本项目混合过程段较短，且污染物综合衰减系数较小，因此忽略混合过程段污染物的衰减，根据《环境影响评价技术导则 地表水环境》（HJ2.3-2018）的要求，对大嵩河及梅江混合过程段结束断面COD</w:t>
      </w:r>
      <w:r>
        <w:rPr>
          <w:rFonts w:hint="eastAsia"/>
          <w:color w:val="auto"/>
          <w:sz w:val="24"/>
          <w:szCs w:val="24"/>
          <w:vertAlign w:val="subscript"/>
        </w:rPr>
        <w:t>Cr</w:t>
      </w:r>
      <w:r>
        <w:rPr>
          <w:rFonts w:hint="eastAsia"/>
          <w:color w:val="auto"/>
          <w:sz w:val="24"/>
          <w:szCs w:val="24"/>
        </w:rPr>
        <w:t>、NH</w:t>
      </w:r>
      <w:r>
        <w:rPr>
          <w:rFonts w:hint="eastAsia"/>
          <w:color w:val="auto"/>
          <w:sz w:val="24"/>
          <w:szCs w:val="24"/>
          <w:vertAlign w:val="subscript"/>
        </w:rPr>
        <w:t>3</w:t>
      </w:r>
      <w:r>
        <w:rPr>
          <w:rFonts w:hint="eastAsia"/>
          <w:color w:val="auto"/>
          <w:sz w:val="24"/>
          <w:szCs w:val="24"/>
        </w:rPr>
        <w:t>-N因子采用零维数学模型确定，混合过程段之后断面的COD</w:t>
      </w:r>
      <w:r>
        <w:rPr>
          <w:rFonts w:hint="eastAsia"/>
          <w:color w:val="auto"/>
          <w:sz w:val="24"/>
          <w:szCs w:val="24"/>
          <w:vertAlign w:val="subscript"/>
        </w:rPr>
        <w:t>Cr</w:t>
      </w:r>
      <w:r>
        <w:rPr>
          <w:rFonts w:hint="eastAsia"/>
          <w:color w:val="auto"/>
          <w:sz w:val="24"/>
          <w:szCs w:val="24"/>
        </w:rPr>
        <w:t>、NH</w:t>
      </w:r>
      <w:r>
        <w:rPr>
          <w:rFonts w:hint="eastAsia"/>
          <w:color w:val="auto"/>
          <w:sz w:val="24"/>
          <w:szCs w:val="24"/>
          <w:vertAlign w:val="subscript"/>
        </w:rPr>
        <w:t>3</w:t>
      </w:r>
      <w:r>
        <w:rPr>
          <w:rFonts w:hint="eastAsia"/>
          <w:color w:val="auto"/>
          <w:sz w:val="24"/>
          <w:szCs w:val="24"/>
        </w:rPr>
        <w:t>-N因子采用“纵向一维模型”进行预测。</w:t>
      </w:r>
    </w:p>
    <w:p>
      <w:pPr>
        <w:spacing w:line="360"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1、零维数学模型（河流均匀混合模型）</w:t>
      </w:r>
    </w:p>
    <w:p>
      <w:pPr>
        <w:spacing w:line="360" w:lineRule="auto"/>
        <w:ind w:firstLine="480" w:firstLineChars="200"/>
        <w:jc w:val="center"/>
        <w:rPr>
          <w:bCs/>
          <w:color w:val="auto"/>
          <w:sz w:val="24"/>
          <w:szCs w:val="24"/>
        </w:rPr>
      </w:pPr>
      <w:r>
        <w:rPr>
          <w:bCs/>
          <w:color w:val="auto"/>
          <w:sz w:val="24"/>
          <w:szCs w:val="24"/>
        </w:rPr>
        <w:t>C=(C</w:t>
      </w:r>
      <w:r>
        <w:rPr>
          <w:bCs/>
          <w:color w:val="auto"/>
          <w:sz w:val="24"/>
          <w:szCs w:val="24"/>
          <w:vertAlign w:val="subscript"/>
        </w:rPr>
        <w:t>p</w:t>
      </w:r>
      <w:r>
        <w:rPr>
          <w:bCs/>
          <w:color w:val="auto"/>
          <w:sz w:val="24"/>
          <w:szCs w:val="24"/>
        </w:rPr>
        <w:t>Q</w:t>
      </w:r>
      <w:r>
        <w:rPr>
          <w:bCs/>
          <w:color w:val="auto"/>
          <w:sz w:val="24"/>
          <w:szCs w:val="24"/>
          <w:vertAlign w:val="subscript"/>
        </w:rPr>
        <w:t>p</w:t>
      </w:r>
      <w:r>
        <w:rPr>
          <w:bCs/>
          <w:color w:val="auto"/>
          <w:sz w:val="24"/>
          <w:szCs w:val="24"/>
        </w:rPr>
        <w:t>+C</w:t>
      </w:r>
      <w:r>
        <w:rPr>
          <w:bCs/>
          <w:color w:val="auto"/>
          <w:sz w:val="24"/>
          <w:szCs w:val="24"/>
          <w:vertAlign w:val="subscript"/>
        </w:rPr>
        <w:t>h</w:t>
      </w:r>
      <w:r>
        <w:rPr>
          <w:bCs/>
          <w:color w:val="auto"/>
          <w:sz w:val="24"/>
          <w:szCs w:val="24"/>
        </w:rPr>
        <w:t xml:space="preserve"> Q</w:t>
      </w:r>
      <w:r>
        <w:rPr>
          <w:bCs/>
          <w:color w:val="auto"/>
          <w:sz w:val="24"/>
          <w:szCs w:val="24"/>
          <w:vertAlign w:val="subscript"/>
        </w:rPr>
        <w:t>h</w:t>
      </w:r>
      <w:r>
        <w:rPr>
          <w:bCs/>
          <w:color w:val="auto"/>
          <w:sz w:val="24"/>
          <w:szCs w:val="24"/>
        </w:rPr>
        <w:t>)/(Q</w:t>
      </w:r>
      <w:r>
        <w:rPr>
          <w:bCs/>
          <w:color w:val="auto"/>
          <w:sz w:val="24"/>
          <w:szCs w:val="24"/>
          <w:vertAlign w:val="subscript"/>
        </w:rPr>
        <w:t>p</w:t>
      </w:r>
      <w:r>
        <w:rPr>
          <w:bCs/>
          <w:color w:val="auto"/>
          <w:sz w:val="24"/>
          <w:szCs w:val="24"/>
        </w:rPr>
        <w:t>+Q</w:t>
      </w:r>
      <w:r>
        <w:rPr>
          <w:bCs/>
          <w:color w:val="auto"/>
          <w:sz w:val="24"/>
          <w:szCs w:val="24"/>
          <w:vertAlign w:val="subscript"/>
        </w:rPr>
        <w:t>h</w:t>
      </w:r>
      <w:r>
        <w:rPr>
          <w:bCs/>
          <w:color w:val="auto"/>
          <w:sz w:val="24"/>
          <w:szCs w:val="24"/>
        </w:rPr>
        <w:t>)</w:t>
      </w:r>
    </w:p>
    <w:p>
      <w:pPr>
        <w:spacing w:line="360" w:lineRule="auto"/>
        <w:ind w:firstLine="480" w:firstLineChars="200"/>
        <w:rPr>
          <w:color w:val="auto"/>
          <w:sz w:val="24"/>
          <w:szCs w:val="24"/>
        </w:rPr>
      </w:pPr>
      <w:r>
        <w:rPr>
          <w:rFonts w:ascii="宋体" w:hAnsi="宋体"/>
          <w:color w:val="auto"/>
          <w:sz w:val="24"/>
          <w:szCs w:val="24"/>
        </w:rPr>
        <w:t>式中：</w:t>
      </w:r>
      <w:r>
        <w:rPr>
          <w:rFonts w:hint="eastAsia"/>
          <w:color w:val="auto"/>
          <w:sz w:val="24"/>
          <w:szCs w:val="24"/>
        </w:rPr>
        <w:t>C</w:t>
      </w:r>
      <w:r>
        <w:rPr>
          <w:color w:val="auto"/>
          <w:sz w:val="24"/>
          <w:szCs w:val="24"/>
        </w:rPr>
        <w:t>—</w:t>
      </w:r>
      <w:r>
        <w:rPr>
          <w:rFonts w:hint="eastAsia" w:ascii="宋体" w:hAnsi="宋体"/>
          <w:color w:val="auto"/>
          <w:sz w:val="24"/>
          <w:szCs w:val="24"/>
        </w:rPr>
        <w:t>污染物浓度</w:t>
      </w:r>
      <w:r>
        <w:rPr>
          <w:rFonts w:ascii="宋体" w:hAnsi="宋体"/>
          <w:color w:val="auto"/>
          <w:sz w:val="24"/>
          <w:szCs w:val="24"/>
        </w:rPr>
        <w:t>，</w:t>
      </w:r>
      <w:r>
        <w:rPr>
          <w:rFonts w:hint="eastAsia"/>
          <w:color w:val="auto"/>
          <w:sz w:val="24"/>
          <w:szCs w:val="24"/>
        </w:rPr>
        <w:t>mg/L</w:t>
      </w:r>
      <w:r>
        <w:rPr>
          <w:rFonts w:ascii="宋体" w:hAnsi="宋体"/>
          <w:color w:val="auto"/>
          <w:sz w:val="24"/>
          <w:szCs w:val="24"/>
        </w:rPr>
        <w:t>；</w:t>
      </w:r>
    </w:p>
    <w:p>
      <w:pPr>
        <w:spacing w:line="360" w:lineRule="auto"/>
        <w:ind w:firstLine="480" w:firstLineChars="200"/>
        <w:rPr>
          <w:rFonts w:ascii="宋体" w:hAnsi="宋体"/>
          <w:color w:val="auto"/>
          <w:sz w:val="24"/>
          <w:szCs w:val="24"/>
        </w:rPr>
      </w:pPr>
      <w:r>
        <w:rPr>
          <w:rFonts w:hint="eastAsia" w:ascii="宋体" w:hAnsi="宋体" w:cs="宋体"/>
          <w:bCs/>
          <w:color w:val="auto"/>
          <w:sz w:val="24"/>
          <w:szCs w:val="24"/>
        </w:rPr>
        <w:t>C</w:t>
      </w:r>
      <w:r>
        <w:rPr>
          <w:rFonts w:hint="eastAsia" w:ascii="宋体" w:hAnsi="宋体" w:cs="宋体"/>
          <w:bCs/>
          <w:color w:val="auto"/>
          <w:sz w:val="24"/>
          <w:szCs w:val="24"/>
          <w:vertAlign w:val="subscript"/>
        </w:rPr>
        <w:t>p</w:t>
      </w:r>
      <w:r>
        <w:rPr>
          <w:color w:val="auto"/>
          <w:sz w:val="24"/>
          <w:szCs w:val="24"/>
        </w:rPr>
        <w:t>—</w:t>
      </w:r>
      <w:r>
        <w:rPr>
          <w:rFonts w:hint="eastAsia" w:ascii="宋体" w:hAnsi="宋体"/>
          <w:color w:val="auto"/>
          <w:sz w:val="24"/>
          <w:szCs w:val="24"/>
        </w:rPr>
        <w:t>污染物排放浓度</w:t>
      </w:r>
      <w:r>
        <w:rPr>
          <w:rFonts w:ascii="宋体" w:hAnsi="宋体"/>
          <w:color w:val="auto"/>
          <w:sz w:val="24"/>
          <w:szCs w:val="24"/>
        </w:rPr>
        <w:t>，</w:t>
      </w:r>
      <w:r>
        <w:rPr>
          <w:rFonts w:hint="eastAsia"/>
          <w:color w:val="auto"/>
          <w:sz w:val="24"/>
          <w:szCs w:val="24"/>
        </w:rPr>
        <w:t>mg/L</w:t>
      </w:r>
      <w:r>
        <w:rPr>
          <w:rFonts w:ascii="宋体" w:hAnsi="宋体"/>
          <w:color w:val="auto"/>
          <w:sz w:val="24"/>
          <w:szCs w:val="24"/>
        </w:rPr>
        <w:t>；</w:t>
      </w:r>
    </w:p>
    <w:p>
      <w:pPr>
        <w:spacing w:line="360" w:lineRule="auto"/>
        <w:ind w:firstLine="480" w:firstLineChars="200"/>
        <w:rPr>
          <w:rFonts w:ascii="宋体" w:hAnsi="宋体"/>
          <w:color w:val="auto"/>
          <w:sz w:val="24"/>
          <w:szCs w:val="24"/>
        </w:rPr>
      </w:pPr>
      <w:r>
        <w:rPr>
          <w:rFonts w:hint="eastAsia" w:ascii="宋体" w:hAnsi="宋体" w:cs="宋体"/>
          <w:bCs/>
          <w:color w:val="auto"/>
          <w:sz w:val="24"/>
          <w:szCs w:val="24"/>
        </w:rPr>
        <w:t>Q</w:t>
      </w:r>
      <w:r>
        <w:rPr>
          <w:rFonts w:hint="eastAsia" w:ascii="宋体" w:hAnsi="宋体" w:cs="宋体"/>
          <w:bCs/>
          <w:color w:val="auto"/>
          <w:sz w:val="24"/>
          <w:szCs w:val="24"/>
          <w:vertAlign w:val="subscript"/>
        </w:rPr>
        <w:t>p</w:t>
      </w:r>
      <w:r>
        <w:rPr>
          <w:color w:val="auto"/>
          <w:sz w:val="24"/>
          <w:szCs w:val="24"/>
        </w:rPr>
        <w:t>—</w:t>
      </w:r>
      <w:r>
        <w:rPr>
          <w:rFonts w:hint="eastAsia" w:ascii="宋体" w:hAnsi="宋体"/>
          <w:color w:val="auto"/>
          <w:sz w:val="24"/>
          <w:szCs w:val="24"/>
        </w:rPr>
        <w:t>污水排放量</w:t>
      </w:r>
      <w:r>
        <w:rPr>
          <w:rFonts w:ascii="宋体" w:hAnsi="宋体"/>
          <w:color w:val="auto"/>
          <w:sz w:val="24"/>
          <w:szCs w:val="24"/>
        </w:rPr>
        <w:t>，</w:t>
      </w:r>
      <w:r>
        <w:rPr>
          <w:color w:val="auto"/>
          <w:sz w:val="24"/>
          <w:szCs w:val="24"/>
        </w:rPr>
        <w:t>m</w:t>
      </w:r>
      <w:r>
        <w:rPr>
          <w:rFonts w:hint="eastAsia"/>
          <w:color w:val="auto"/>
          <w:sz w:val="24"/>
          <w:szCs w:val="24"/>
          <w:vertAlign w:val="superscript"/>
        </w:rPr>
        <w:t>3</w:t>
      </w:r>
      <w:r>
        <w:rPr>
          <w:rFonts w:hint="eastAsia"/>
          <w:color w:val="auto"/>
          <w:sz w:val="24"/>
          <w:szCs w:val="24"/>
        </w:rPr>
        <w:t>/s</w:t>
      </w:r>
      <w:r>
        <w:rPr>
          <w:rFonts w:ascii="宋体" w:hAnsi="宋体"/>
          <w:color w:val="auto"/>
          <w:sz w:val="24"/>
          <w:szCs w:val="24"/>
        </w:rPr>
        <w:t>；</w:t>
      </w:r>
    </w:p>
    <w:p>
      <w:pPr>
        <w:spacing w:line="360" w:lineRule="auto"/>
        <w:ind w:firstLine="480" w:firstLineChars="200"/>
        <w:rPr>
          <w:rFonts w:ascii="宋体" w:hAnsi="宋体" w:cs="宋体"/>
          <w:bCs/>
          <w:color w:val="auto"/>
          <w:sz w:val="24"/>
          <w:szCs w:val="24"/>
          <w:vertAlign w:val="subscript"/>
        </w:rPr>
      </w:pPr>
      <w:r>
        <w:rPr>
          <w:rFonts w:hint="eastAsia" w:ascii="宋体" w:hAnsi="宋体" w:cs="宋体"/>
          <w:bCs/>
          <w:color w:val="auto"/>
          <w:sz w:val="24"/>
          <w:szCs w:val="24"/>
        </w:rPr>
        <w:t>C</w:t>
      </w:r>
      <w:r>
        <w:rPr>
          <w:rFonts w:hint="eastAsia" w:ascii="宋体" w:hAnsi="宋体" w:cs="宋体"/>
          <w:bCs/>
          <w:color w:val="auto"/>
          <w:sz w:val="24"/>
          <w:szCs w:val="24"/>
          <w:vertAlign w:val="subscript"/>
        </w:rPr>
        <w:t>h</w:t>
      </w:r>
      <w:r>
        <w:rPr>
          <w:color w:val="auto"/>
          <w:sz w:val="24"/>
          <w:szCs w:val="24"/>
        </w:rPr>
        <w:t>—</w:t>
      </w:r>
      <w:r>
        <w:rPr>
          <w:rFonts w:hint="eastAsia"/>
          <w:color w:val="auto"/>
          <w:sz w:val="24"/>
          <w:szCs w:val="24"/>
        </w:rPr>
        <w:t>河流上游</w:t>
      </w:r>
      <w:r>
        <w:rPr>
          <w:rFonts w:hint="eastAsia" w:ascii="宋体" w:hAnsi="宋体"/>
          <w:color w:val="auto"/>
          <w:sz w:val="24"/>
          <w:szCs w:val="24"/>
        </w:rPr>
        <w:t>污染物浓度</w:t>
      </w:r>
      <w:r>
        <w:rPr>
          <w:rFonts w:ascii="宋体" w:hAnsi="宋体"/>
          <w:color w:val="auto"/>
          <w:sz w:val="24"/>
          <w:szCs w:val="24"/>
        </w:rPr>
        <w:t>，</w:t>
      </w:r>
      <w:r>
        <w:rPr>
          <w:rFonts w:hint="eastAsia"/>
          <w:color w:val="auto"/>
          <w:sz w:val="24"/>
          <w:szCs w:val="24"/>
        </w:rPr>
        <w:t>mg/L</w:t>
      </w:r>
      <w:r>
        <w:rPr>
          <w:rFonts w:ascii="宋体" w:hAnsi="宋体"/>
          <w:color w:val="auto"/>
          <w:sz w:val="24"/>
          <w:szCs w:val="24"/>
        </w:rPr>
        <w:t>；</w:t>
      </w:r>
    </w:p>
    <w:p>
      <w:pPr>
        <w:spacing w:line="360" w:lineRule="auto"/>
        <w:ind w:firstLine="480" w:firstLineChars="200"/>
        <w:jc w:val="left"/>
        <w:rPr>
          <w:rFonts w:ascii="宋体" w:hAnsi="宋体"/>
          <w:color w:val="auto"/>
          <w:sz w:val="24"/>
          <w:szCs w:val="24"/>
        </w:rPr>
      </w:pPr>
      <w:r>
        <w:rPr>
          <w:rFonts w:hint="eastAsia" w:ascii="宋体" w:hAnsi="宋体" w:cs="宋体"/>
          <w:bCs/>
          <w:color w:val="auto"/>
          <w:sz w:val="24"/>
          <w:szCs w:val="24"/>
        </w:rPr>
        <w:t>Q</w:t>
      </w:r>
      <w:r>
        <w:rPr>
          <w:rFonts w:hint="eastAsia" w:ascii="宋体" w:hAnsi="宋体" w:cs="宋体"/>
          <w:bCs/>
          <w:color w:val="auto"/>
          <w:sz w:val="24"/>
          <w:szCs w:val="24"/>
          <w:vertAlign w:val="subscript"/>
        </w:rPr>
        <w:t>h</w:t>
      </w:r>
      <w:r>
        <w:rPr>
          <w:color w:val="auto"/>
          <w:sz w:val="24"/>
          <w:szCs w:val="24"/>
        </w:rPr>
        <w:t>—</w:t>
      </w:r>
      <w:r>
        <w:rPr>
          <w:rFonts w:hint="eastAsia" w:ascii="宋体" w:hAnsi="宋体"/>
          <w:color w:val="auto"/>
          <w:sz w:val="24"/>
          <w:szCs w:val="24"/>
        </w:rPr>
        <w:t>河流流量</w:t>
      </w:r>
      <w:r>
        <w:rPr>
          <w:rFonts w:ascii="宋体" w:hAnsi="宋体"/>
          <w:color w:val="auto"/>
          <w:sz w:val="24"/>
          <w:szCs w:val="24"/>
        </w:rPr>
        <w:t>，</w:t>
      </w:r>
      <w:r>
        <w:rPr>
          <w:color w:val="auto"/>
          <w:sz w:val="24"/>
          <w:szCs w:val="24"/>
        </w:rPr>
        <w:t>m</w:t>
      </w:r>
      <w:r>
        <w:rPr>
          <w:rFonts w:hint="eastAsia"/>
          <w:color w:val="auto"/>
          <w:sz w:val="24"/>
          <w:szCs w:val="24"/>
          <w:vertAlign w:val="superscript"/>
        </w:rPr>
        <w:t>3</w:t>
      </w:r>
      <w:r>
        <w:rPr>
          <w:rFonts w:hint="eastAsia"/>
          <w:color w:val="auto"/>
          <w:sz w:val="24"/>
          <w:szCs w:val="24"/>
        </w:rPr>
        <w:t>/s</w:t>
      </w:r>
      <w:r>
        <w:rPr>
          <w:rFonts w:hint="eastAsia" w:ascii="宋体" w:hAnsi="宋体"/>
          <w:color w:val="auto"/>
          <w:sz w:val="24"/>
          <w:szCs w:val="24"/>
        </w:rPr>
        <w:t>。</w:t>
      </w:r>
    </w:p>
    <w:p>
      <w:pPr>
        <w:spacing w:line="360" w:lineRule="auto"/>
        <w:ind w:firstLine="482" w:firstLineChars="200"/>
        <w:rPr>
          <w:rFonts w:ascii="宋体" w:hAnsi="宋体" w:cs="宋体"/>
          <w:b/>
          <w:bCs/>
          <w:color w:val="auto"/>
          <w:sz w:val="24"/>
          <w:szCs w:val="24"/>
        </w:rPr>
      </w:pPr>
      <w:r>
        <w:rPr>
          <w:rFonts w:hint="eastAsia" w:ascii="宋体" w:hAnsi="宋体"/>
          <w:b/>
          <w:color w:val="auto"/>
          <w:sz w:val="24"/>
          <w:szCs w:val="24"/>
        </w:rPr>
        <w:t>2、</w:t>
      </w:r>
      <w:r>
        <w:rPr>
          <w:rFonts w:hint="eastAsia" w:ascii="宋体" w:hAnsi="宋体" w:cs="宋体"/>
          <w:b/>
          <w:bCs/>
          <w:color w:val="auto"/>
          <w:sz w:val="24"/>
          <w:szCs w:val="24"/>
        </w:rPr>
        <w:t>纵向一维数学模型</w:t>
      </w:r>
    </w:p>
    <w:p>
      <w:pPr>
        <w:spacing w:line="360" w:lineRule="auto"/>
        <w:ind w:firstLine="480" w:firstLineChars="200"/>
        <w:rPr>
          <w:rFonts w:ascii="宋体" w:hAnsi="宋体"/>
          <w:color w:val="auto"/>
          <w:sz w:val="24"/>
          <w:szCs w:val="24"/>
        </w:rPr>
      </w:pPr>
      <w:r>
        <w:rPr>
          <w:rFonts w:ascii="宋体" w:hAnsi="宋体"/>
          <w:color w:val="auto"/>
          <w:sz w:val="24"/>
          <w:szCs w:val="24"/>
        </w:rPr>
        <w:t>项目预测因子为非持久性污染物，</w:t>
      </w:r>
      <w:r>
        <w:rPr>
          <w:rFonts w:hint="eastAsia"/>
          <w:color w:val="auto"/>
          <w:sz w:val="24"/>
          <w:szCs w:val="24"/>
        </w:rPr>
        <w:t>预测河段附近没有大的支流，河流水情基本稳定，污水排放属于连续稳定排放。充分混合段采用</w:t>
      </w:r>
      <w:r>
        <w:rPr>
          <w:rFonts w:ascii="宋体" w:hAnsi="宋体"/>
          <w:color w:val="auto"/>
          <w:sz w:val="24"/>
          <w:szCs w:val="24"/>
        </w:rPr>
        <w:t>《环境影响评价技术导则</w:t>
      </w:r>
      <w:r>
        <w:rPr>
          <w:rFonts w:hint="eastAsia"/>
          <w:color w:val="auto"/>
          <w:sz w:val="24"/>
          <w:szCs w:val="24"/>
        </w:rPr>
        <w:t xml:space="preserve"> </w:t>
      </w:r>
      <w:r>
        <w:rPr>
          <w:rFonts w:ascii="宋体" w:hAnsi="宋体"/>
          <w:color w:val="auto"/>
          <w:sz w:val="24"/>
          <w:szCs w:val="24"/>
        </w:rPr>
        <w:t>地表水环境》（</w:t>
      </w:r>
      <w:r>
        <w:rPr>
          <w:color w:val="auto"/>
          <w:sz w:val="24"/>
          <w:szCs w:val="24"/>
        </w:rPr>
        <w:t>HJ2.3-2018</w:t>
      </w:r>
      <w:r>
        <w:rPr>
          <w:rFonts w:ascii="宋体" w:hAnsi="宋体"/>
          <w:color w:val="auto"/>
          <w:sz w:val="24"/>
          <w:szCs w:val="24"/>
        </w:rPr>
        <w:t>）</w:t>
      </w:r>
      <w:r>
        <w:rPr>
          <w:rFonts w:hint="eastAsia"/>
          <w:color w:val="auto"/>
          <w:sz w:val="24"/>
          <w:szCs w:val="24"/>
        </w:rPr>
        <w:t>纵向一维数学模型—解析方法—连续稳定排放</w:t>
      </w:r>
      <w:r>
        <w:rPr>
          <w:rFonts w:ascii="宋体" w:hAnsi="宋体"/>
          <w:color w:val="auto"/>
          <w:sz w:val="24"/>
          <w:szCs w:val="24"/>
        </w:rPr>
        <w:t>的公式进行估算。</w:t>
      </w:r>
    </w:p>
    <w:p>
      <w:pPr>
        <w:spacing w:line="360" w:lineRule="auto"/>
        <w:ind w:firstLine="480" w:firstLineChars="200"/>
        <w:rPr>
          <w:rFonts w:ascii="宋体" w:hAnsi="宋体"/>
          <w:color w:val="auto"/>
          <w:sz w:val="24"/>
          <w:szCs w:val="24"/>
        </w:rPr>
      </w:pPr>
      <w:r>
        <w:rPr>
          <w:rFonts w:hint="eastAsia" w:ascii="宋体" w:hAnsi="宋体"/>
          <w:color w:val="auto"/>
          <w:sz w:val="24"/>
          <w:szCs w:val="24"/>
        </w:rPr>
        <w:t>根据河流纵向一维水质模型方程的简化、分类判别条件选择相应的解析解公式。</w:t>
      </w:r>
    </w:p>
    <w:p>
      <w:pPr>
        <w:spacing w:line="360" w:lineRule="auto"/>
        <w:ind w:firstLine="480" w:firstLineChars="200"/>
        <w:jc w:val="center"/>
        <w:rPr>
          <w:color w:val="auto"/>
          <w:sz w:val="24"/>
          <w:szCs w:val="24"/>
          <w:vertAlign w:val="superscript"/>
        </w:rPr>
      </w:pPr>
      <w:r>
        <w:rPr>
          <w:color w:val="auto"/>
          <w:sz w:val="24"/>
          <w:szCs w:val="24"/>
        </w:rPr>
        <w:t>a=kE</w:t>
      </w:r>
      <w:r>
        <w:rPr>
          <w:color w:val="auto"/>
          <w:sz w:val="24"/>
          <w:szCs w:val="24"/>
          <w:vertAlign w:val="subscript"/>
        </w:rPr>
        <w:t>x</w:t>
      </w:r>
      <w:r>
        <w:rPr>
          <w:color w:val="auto"/>
          <w:sz w:val="24"/>
          <w:szCs w:val="24"/>
        </w:rPr>
        <w:t>/u</w:t>
      </w:r>
      <w:r>
        <w:rPr>
          <w:color w:val="auto"/>
          <w:sz w:val="24"/>
          <w:szCs w:val="24"/>
          <w:vertAlign w:val="superscript"/>
        </w:rPr>
        <w:t>2</w:t>
      </w:r>
    </w:p>
    <w:p>
      <w:pPr>
        <w:spacing w:line="360" w:lineRule="auto"/>
        <w:ind w:firstLine="480" w:firstLineChars="200"/>
        <w:jc w:val="center"/>
        <w:rPr>
          <w:color w:val="auto"/>
          <w:sz w:val="24"/>
          <w:szCs w:val="24"/>
        </w:rPr>
      </w:pPr>
      <w:r>
        <w:rPr>
          <w:color w:val="auto"/>
          <w:sz w:val="24"/>
          <w:szCs w:val="24"/>
        </w:rPr>
        <w:t>Pe=uB/E</w:t>
      </w:r>
      <w:r>
        <w:rPr>
          <w:color w:val="auto"/>
          <w:sz w:val="24"/>
          <w:szCs w:val="24"/>
          <w:vertAlign w:val="subscript"/>
        </w:rPr>
        <w:t>x</w:t>
      </w:r>
    </w:p>
    <w:p>
      <w:pPr>
        <w:spacing w:line="360" w:lineRule="auto"/>
        <w:ind w:firstLine="480" w:firstLineChars="200"/>
        <w:rPr>
          <w:color w:val="auto"/>
          <w:sz w:val="24"/>
          <w:szCs w:val="24"/>
        </w:rPr>
      </w:pPr>
      <w:r>
        <w:rPr>
          <w:rFonts w:hAnsi="宋体"/>
          <w:color w:val="auto"/>
          <w:sz w:val="24"/>
          <w:szCs w:val="24"/>
        </w:rPr>
        <w:t>式中：</w:t>
      </w:r>
      <w:r>
        <w:rPr>
          <w:color w:val="auto"/>
          <w:sz w:val="24"/>
          <w:szCs w:val="24"/>
        </w:rPr>
        <w:t>a—O'Connor</w:t>
      </w:r>
      <w:r>
        <w:rPr>
          <w:rFonts w:hAnsi="宋体"/>
          <w:color w:val="auto"/>
          <w:sz w:val="24"/>
          <w:szCs w:val="24"/>
        </w:rPr>
        <w:t>数，量刚为</w:t>
      </w:r>
      <w:r>
        <w:rPr>
          <w:color w:val="auto"/>
          <w:sz w:val="24"/>
          <w:szCs w:val="24"/>
        </w:rPr>
        <w:t>1</w:t>
      </w:r>
      <w:r>
        <w:rPr>
          <w:rFonts w:hAnsi="宋体"/>
          <w:color w:val="auto"/>
          <w:sz w:val="24"/>
          <w:szCs w:val="24"/>
        </w:rPr>
        <w:t>，表征物质离散降解通量于移流通量比值；</w:t>
      </w:r>
      <w:r>
        <w:rPr>
          <w:color w:val="auto"/>
          <w:sz w:val="24"/>
          <w:szCs w:val="24"/>
        </w:rPr>
        <w:t xml:space="preserve"> </w:t>
      </w:r>
    </w:p>
    <w:p>
      <w:pPr>
        <w:spacing w:line="360" w:lineRule="auto"/>
        <w:ind w:firstLine="480" w:firstLineChars="200"/>
        <w:rPr>
          <w:color w:val="auto"/>
          <w:sz w:val="24"/>
          <w:szCs w:val="24"/>
        </w:rPr>
      </w:pPr>
      <w:r>
        <w:rPr>
          <w:color w:val="auto"/>
          <w:sz w:val="24"/>
          <w:szCs w:val="24"/>
        </w:rPr>
        <w:t>Pe—</w:t>
      </w:r>
      <w:r>
        <w:rPr>
          <w:rFonts w:hAnsi="宋体"/>
          <w:color w:val="auto"/>
          <w:sz w:val="24"/>
          <w:szCs w:val="24"/>
        </w:rPr>
        <w:t>贝克来数，量刚为</w:t>
      </w:r>
      <w:r>
        <w:rPr>
          <w:color w:val="auto"/>
          <w:sz w:val="24"/>
          <w:szCs w:val="24"/>
        </w:rPr>
        <w:t>1</w:t>
      </w:r>
      <w:r>
        <w:rPr>
          <w:rFonts w:hAnsi="宋体"/>
          <w:color w:val="auto"/>
          <w:sz w:val="24"/>
          <w:szCs w:val="24"/>
        </w:rPr>
        <w:t>，表征移流通量与离散通量比值；</w:t>
      </w:r>
    </w:p>
    <w:p>
      <w:pPr>
        <w:spacing w:line="360" w:lineRule="auto"/>
        <w:ind w:firstLine="480" w:firstLineChars="200"/>
        <w:rPr>
          <w:color w:val="auto"/>
          <w:sz w:val="24"/>
          <w:szCs w:val="24"/>
        </w:rPr>
      </w:pPr>
      <w:r>
        <w:rPr>
          <w:color w:val="auto"/>
          <w:sz w:val="24"/>
          <w:szCs w:val="24"/>
        </w:rPr>
        <w:t>k—</w:t>
      </w:r>
      <w:r>
        <w:rPr>
          <w:rFonts w:hAnsi="宋体"/>
          <w:color w:val="auto"/>
          <w:sz w:val="24"/>
          <w:szCs w:val="24"/>
        </w:rPr>
        <w:t>污染物综合衰减系数，</w:t>
      </w:r>
      <w:r>
        <w:rPr>
          <w:color w:val="auto"/>
          <w:sz w:val="24"/>
          <w:szCs w:val="24"/>
        </w:rPr>
        <w:t>l/s</w:t>
      </w:r>
      <w:r>
        <w:rPr>
          <w:rFonts w:hAnsi="宋体"/>
          <w:color w:val="auto"/>
          <w:sz w:val="24"/>
          <w:szCs w:val="24"/>
        </w:rPr>
        <w:t>；</w:t>
      </w:r>
    </w:p>
    <w:p>
      <w:pPr>
        <w:tabs>
          <w:tab w:val="left" w:pos="7390"/>
        </w:tabs>
        <w:spacing w:line="360" w:lineRule="auto"/>
        <w:ind w:firstLine="480" w:firstLineChars="200"/>
        <w:rPr>
          <w:color w:val="auto"/>
          <w:sz w:val="24"/>
          <w:szCs w:val="24"/>
        </w:rPr>
      </w:pPr>
      <w:r>
        <w:rPr>
          <w:color w:val="auto"/>
          <w:sz w:val="24"/>
          <w:szCs w:val="24"/>
        </w:rPr>
        <w:t>E</w:t>
      </w:r>
      <w:r>
        <w:rPr>
          <w:color w:val="auto"/>
          <w:sz w:val="24"/>
          <w:szCs w:val="24"/>
          <w:vertAlign w:val="subscript"/>
        </w:rPr>
        <w:t>x</w:t>
      </w:r>
      <w:r>
        <w:rPr>
          <w:color w:val="auto"/>
          <w:sz w:val="24"/>
          <w:szCs w:val="24"/>
        </w:rPr>
        <w:t>—</w:t>
      </w:r>
      <w:r>
        <w:rPr>
          <w:rFonts w:hAnsi="宋体"/>
          <w:color w:val="auto"/>
          <w:sz w:val="24"/>
          <w:szCs w:val="24"/>
        </w:rPr>
        <w:t>污染物纵向扩散系数，</w:t>
      </w:r>
      <w:r>
        <w:rPr>
          <w:color w:val="auto"/>
          <w:sz w:val="24"/>
          <w:szCs w:val="24"/>
        </w:rPr>
        <w:t>m</w:t>
      </w:r>
      <w:r>
        <w:rPr>
          <w:color w:val="auto"/>
          <w:sz w:val="24"/>
          <w:szCs w:val="24"/>
          <w:vertAlign w:val="superscript"/>
        </w:rPr>
        <w:t>2</w:t>
      </w:r>
      <w:r>
        <w:rPr>
          <w:color w:val="auto"/>
          <w:sz w:val="24"/>
          <w:szCs w:val="24"/>
        </w:rPr>
        <w:t>/s</w:t>
      </w:r>
      <w:r>
        <w:rPr>
          <w:rFonts w:hAnsi="宋体"/>
          <w:color w:val="auto"/>
          <w:sz w:val="24"/>
          <w:szCs w:val="24"/>
        </w:rPr>
        <w:t>；</w:t>
      </w:r>
    </w:p>
    <w:p>
      <w:pPr>
        <w:tabs>
          <w:tab w:val="left" w:pos="5624"/>
        </w:tabs>
        <w:spacing w:line="360" w:lineRule="auto"/>
        <w:ind w:firstLine="480" w:firstLineChars="200"/>
        <w:rPr>
          <w:color w:val="auto"/>
          <w:sz w:val="24"/>
          <w:szCs w:val="24"/>
        </w:rPr>
      </w:pPr>
      <w:r>
        <w:rPr>
          <w:color w:val="auto"/>
          <w:sz w:val="24"/>
          <w:szCs w:val="24"/>
        </w:rPr>
        <w:t>u——河流流速，m/s；</w:t>
      </w:r>
    </w:p>
    <w:p>
      <w:pPr>
        <w:tabs>
          <w:tab w:val="left" w:pos="5624"/>
        </w:tabs>
        <w:spacing w:line="360" w:lineRule="auto"/>
        <w:ind w:firstLine="480" w:firstLineChars="200"/>
        <w:rPr>
          <w:color w:val="auto"/>
          <w:sz w:val="24"/>
          <w:szCs w:val="24"/>
        </w:rPr>
      </w:pPr>
      <w:r>
        <w:rPr>
          <w:color w:val="auto"/>
          <w:sz w:val="24"/>
          <w:szCs w:val="24"/>
        </w:rPr>
        <w:t>B——河流宽度，m。</w:t>
      </w:r>
    </w:p>
    <w:p>
      <w:pPr>
        <w:tabs>
          <w:tab w:val="left" w:pos="5624"/>
        </w:tabs>
        <w:spacing w:line="360" w:lineRule="auto"/>
        <w:ind w:firstLine="480" w:firstLineChars="200"/>
        <w:rPr>
          <w:rFonts w:hAnsi="宋体"/>
          <w:bCs/>
          <w:color w:val="auto"/>
          <w:sz w:val="24"/>
          <w:szCs w:val="24"/>
        </w:rPr>
      </w:pPr>
      <w:r>
        <w:rPr>
          <w:rFonts w:hAnsi="宋体"/>
          <w:color w:val="auto"/>
          <w:sz w:val="24"/>
          <w:szCs w:val="24"/>
        </w:rPr>
        <w:t>经计算，本项目</w:t>
      </w:r>
      <w:r>
        <w:rPr>
          <w:bCs/>
          <w:color w:val="auto"/>
          <w:sz w:val="24"/>
          <w:szCs w:val="24"/>
        </w:rPr>
        <w:t>O'Connor数及贝克来数计算结果见下。</w:t>
      </w:r>
    </w:p>
    <w:p>
      <w:pPr>
        <w:spacing w:beforeLines="50" w:line="360" w:lineRule="auto"/>
        <w:jc w:val="center"/>
        <w:rPr>
          <w:rFonts w:ascii="宋体" w:hAnsi="宋体"/>
          <w:b/>
          <w:bCs/>
          <w:color w:val="auto"/>
          <w:sz w:val="24"/>
          <w:szCs w:val="24"/>
        </w:rPr>
      </w:pPr>
      <w:r>
        <w:rPr>
          <w:rFonts w:hAnsi="宋体"/>
          <w:b/>
          <w:bCs/>
          <w:color w:val="auto"/>
          <w:sz w:val="24"/>
          <w:szCs w:val="24"/>
        </w:rPr>
        <w:t>表</w:t>
      </w:r>
      <w:r>
        <w:rPr>
          <w:b/>
          <w:bCs/>
          <w:color w:val="auto"/>
          <w:sz w:val="24"/>
          <w:szCs w:val="24"/>
        </w:rPr>
        <w:t>5-2</w:t>
      </w:r>
      <w:r>
        <w:rPr>
          <w:rFonts w:hint="eastAsia"/>
          <w:b/>
          <w:bCs/>
          <w:color w:val="auto"/>
          <w:sz w:val="24"/>
          <w:szCs w:val="24"/>
        </w:rPr>
        <w:t>-16</w:t>
      </w:r>
      <w:r>
        <w:rPr>
          <w:b/>
          <w:bCs/>
          <w:color w:val="auto"/>
          <w:sz w:val="24"/>
          <w:szCs w:val="24"/>
        </w:rPr>
        <w:t xml:space="preserve">   O'Connor</w:t>
      </w:r>
      <w:r>
        <w:rPr>
          <w:rFonts w:hAnsi="宋体"/>
          <w:b/>
          <w:bCs/>
          <w:color w:val="auto"/>
          <w:sz w:val="24"/>
          <w:szCs w:val="24"/>
        </w:rPr>
        <w:t>数及贝克</w:t>
      </w:r>
      <w:r>
        <w:rPr>
          <w:rFonts w:hint="eastAsia" w:ascii="宋体" w:hAnsi="宋体"/>
          <w:b/>
          <w:bCs/>
          <w:color w:val="auto"/>
          <w:sz w:val="24"/>
          <w:szCs w:val="24"/>
        </w:rPr>
        <w:t>来数计算结果表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3"/>
        <w:gridCol w:w="5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2903" w:type="dxa"/>
            <w:tcBorders>
              <w:tl2br w:val="single" w:color="auto" w:sz="4" w:space="0"/>
            </w:tcBorders>
            <w:shd w:val="clear" w:color="auto" w:fill="auto"/>
            <w:noWrap/>
            <w:vAlign w:val="center"/>
          </w:tcPr>
          <w:p>
            <w:pPr>
              <w:widowControl/>
              <w:jc w:val="center"/>
              <w:rPr>
                <w:b/>
                <w:color w:val="auto"/>
                <w:kern w:val="0"/>
                <w:sz w:val="21"/>
                <w:szCs w:val="21"/>
              </w:rPr>
            </w:pPr>
            <w:r>
              <w:rPr>
                <w:rFonts w:hAnsi="宋体"/>
                <w:b/>
                <w:color w:val="auto"/>
                <w:kern w:val="0"/>
                <w:sz w:val="21"/>
                <w:szCs w:val="21"/>
              </w:rPr>
              <w:t>参数</w:t>
            </w:r>
            <w:r>
              <w:rPr>
                <w:b/>
                <w:color w:val="auto"/>
                <w:kern w:val="0"/>
                <w:sz w:val="21"/>
                <w:szCs w:val="21"/>
              </w:rPr>
              <w:t xml:space="preserve">        </w:t>
            </w:r>
            <w:r>
              <w:rPr>
                <w:rFonts w:hAnsi="宋体"/>
                <w:b/>
                <w:color w:val="auto"/>
                <w:kern w:val="0"/>
                <w:sz w:val="21"/>
                <w:szCs w:val="21"/>
              </w:rPr>
              <w:t>河流</w:t>
            </w:r>
          </w:p>
        </w:tc>
        <w:tc>
          <w:tcPr>
            <w:tcW w:w="5619" w:type="dxa"/>
            <w:shd w:val="clear" w:color="auto" w:fill="auto"/>
            <w:vAlign w:val="center"/>
          </w:tcPr>
          <w:p>
            <w:pPr>
              <w:widowControl/>
              <w:jc w:val="center"/>
              <w:rPr>
                <w:b/>
                <w:color w:val="auto"/>
                <w:kern w:val="0"/>
                <w:sz w:val="21"/>
                <w:szCs w:val="21"/>
              </w:rPr>
            </w:pPr>
            <w:r>
              <w:rPr>
                <w:rFonts w:hAnsi="宋体"/>
                <w:b/>
                <w:color w:val="auto"/>
                <w:kern w:val="0"/>
                <w:sz w:val="21"/>
                <w:szCs w:val="21"/>
              </w:rPr>
              <w:t>大嵩河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903" w:type="dxa"/>
            <w:shd w:val="clear" w:color="auto" w:fill="auto"/>
            <w:noWrap/>
            <w:vAlign w:val="center"/>
          </w:tcPr>
          <w:p>
            <w:pPr>
              <w:widowControl/>
              <w:jc w:val="center"/>
              <w:rPr>
                <w:bCs/>
                <w:color w:val="auto"/>
                <w:kern w:val="0"/>
                <w:sz w:val="21"/>
                <w:szCs w:val="21"/>
              </w:rPr>
            </w:pPr>
            <w:r>
              <w:rPr>
                <w:bCs/>
                <w:color w:val="auto"/>
                <w:kern w:val="0"/>
                <w:sz w:val="21"/>
                <w:szCs w:val="21"/>
              </w:rPr>
              <w:t>a(COD)</w:t>
            </w:r>
          </w:p>
        </w:tc>
        <w:tc>
          <w:tcPr>
            <w:tcW w:w="5619" w:type="dxa"/>
            <w:shd w:val="clear" w:color="auto" w:fill="auto"/>
            <w:noWrap/>
            <w:vAlign w:val="center"/>
          </w:tcPr>
          <w:p>
            <w:pPr>
              <w:adjustRightInd w:val="0"/>
              <w:snapToGrid w:val="0"/>
              <w:jc w:val="center"/>
              <w:rPr>
                <w:color w:val="auto"/>
                <w:sz w:val="21"/>
                <w:szCs w:val="21"/>
              </w:rPr>
            </w:pPr>
            <w:r>
              <w:rPr>
                <w:color w:val="auto"/>
                <w:sz w:val="21"/>
                <w:szCs w:val="21"/>
              </w:rPr>
              <w:t>5.5361E-06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903" w:type="dxa"/>
            <w:shd w:val="clear" w:color="auto" w:fill="auto"/>
            <w:noWrap/>
            <w:vAlign w:val="center"/>
          </w:tcPr>
          <w:p>
            <w:pPr>
              <w:widowControl/>
              <w:jc w:val="center"/>
              <w:rPr>
                <w:bCs/>
                <w:color w:val="auto"/>
                <w:kern w:val="0"/>
                <w:sz w:val="21"/>
                <w:szCs w:val="21"/>
              </w:rPr>
            </w:pPr>
            <w:r>
              <w:rPr>
                <w:bCs/>
                <w:color w:val="auto"/>
                <w:kern w:val="0"/>
                <w:sz w:val="21"/>
                <w:szCs w:val="21"/>
              </w:rPr>
              <w:t>a(</w:t>
            </w:r>
            <w:r>
              <w:rPr>
                <w:rFonts w:hAnsi="宋体"/>
                <w:bCs/>
                <w:color w:val="auto"/>
                <w:kern w:val="0"/>
                <w:sz w:val="21"/>
                <w:szCs w:val="21"/>
              </w:rPr>
              <w:t>氨氮</w:t>
            </w:r>
            <w:r>
              <w:rPr>
                <w:bCs/>
                <w:color w:val="auto"/>
                <w:kern w:val="0"/>
                <w:sz w:val="21"/>
                <w:szCs w:val="21"/>
              </w:rPr>
              <w:t>)</w:t>
            </w:r>
          </w:p>
        </w:tc>
        <w:tc>
          <w:tcPr>
            <w:tcW w:w="5619" w:type="dxa"/>
            <w:shd w:val="clear" w:color="auto" w:fill="auto"/>
            <w:noWrap/>
            <w:vAlign w:val="center"/>
          </w:tcPr>
          <w:p>
            <w:pPr>
              <w:adjustRightInd w:val="0"/>
              <w:snapToGrid w:val="0"/>
              <w:jc w:val="center"/>
              <w:rPr>
                <w:color w:val="auto"/>
                <w:sz w:val="21"/>
                <w:szCs w:val="21"/>
              </w:rPr>
            </w:pPr>
            <w:r>
              <w:rPr>
                <w:color w:val="auto"/>
                <w:sz w:val="21"/>
                <w:szCs w:val="21"/>
              </w:rPr>
              <w:t>2.76805E-06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903" w:type="dxa"/>
            <w:shd w:val="clear" w:color="auto" w:fill="auto"/>
            <w:noWrap/>
            <w:vAlign w:val="center"/>
          </w:tcPr>
          <w:p>
            <w:pPr>
              <w:widowControl/>
              <w:jc w:val="center"/>
              <w:rPr>
                <w:bCs/>
                <w:color w:val="auto"/>
                <w:kern w:val="0"/>
                <w:sz w:val="21"/>
                <w:szCs w:val="21"/>
              </w:rPr>
            </w:pPr>
            <w:r>
              <w:rPr>
                <w:bCs/>
                <w:color w:val="auto"/>
                <w:kern w:val="0"/>
                <w:sz w:val="21"/>
                <w:szCs w:val="21"/>
              </w:rPr>
              <w:t>Pe</w:t>
            </w:r>
          </w:p>
        </w:tc>
        <w:tc>
          <w:tcPr>
            <w:tcW w:w="5619" w:type="dxa"/>
            <w:shd w:val="clear" w:color="auto" w:fill="auto"/>
            <w:noWrap/>
            <w:vAlign w:val="center"/>
          </w:tcPr>
          <w:p>
            <w:pPr>
              <w:adjustRightInd w:val="0"/>
              <w:snapToGrid w:val="0"/>
              <w:jc w:val="center"/>
              <w:rPr>
                <w:color w:val="auto"/>
                <w:sz w:val="21"/>
                <w:szCs w:val="21"/>
              </w:rPr>
            </w:pPr>
            <w:r>
              <w:rPr>
                <w:color w:val="auto"/>
                <w:sz w:val="21"/>
                <w:szCs w:val="21"/>
              </w:rPr>
              <w:t>7.339535006</w:t>
            </w:r>
          </w:p>
        </w:tc>
      </w:tr>
    </w:tbl>
    <w:p>
      <w:pPr>
        <w:tabs>
          <w:tab w:val="left" w:pos="5624"/>
        </w:tabs>
        <w:spacing w:line="360" w:lineRule="auto"/>
        <w:ind w:firstLine="480" w:firstLineChars="200"/>
        <w:rPr>
          <w:color w:val="auto"/>
          <w:sz w:val="24"/>
          <w:szCs w:val="24"/>
        </w:rPr>
      </w:pPr>
      <w:r>
        <w:rPr>
          <w:rFonts w:hAnsi="宋体"/>
          <w:color w:val="auto"/>
          <w:sz w:val="24"/>
          <w:szCs w:val="24"/>
        </w:rPr>
        <w:t>根据《环境影响评价技术导则</w:t>
      </w:r>
      <w:r>
        <w:rPr>
          <w:color w:val="auto"/>
          <w:sz w:val="24"/>
          <w:szCs w:val="24"/>
        </w:rPr>
        <w:t xml:space="preserve"> </w:t>
      </w:r>
      <w:r>
        <w:rPr>
          <w:rFonts w:hAnsi="宋体"/>
          <w:color w:val="auto"/>
          <w:sz w:val="24"/>
          <w:szCs w:val="24"/>
        </w:rPr>
        <w:t>地表水环境》（</w:t>
      </w:r>
      <w:r>
        <w:rPr>
          <w:color w:val="auto"/>
          <w:sz w:val="24"/>
          <w:szCs w:val="24"/>
        </w:rPr>
        <w:t>HJ2.3-2018</w:t>
      </w:r>
      <w:r>
        <w:rPr>
          <w:rFonts w:hAnsi="宋体"/>
          <w:color w:val="auto"/>
          <w:sz w:val="24"/>
          <w:szCs w:val="24"/>
        </w:rPr>
        <w:t>），当</w:t>
      </w:r>
      <w:r>
        <w:rPr>
          <w:color w:val="auto"/>
          <w:sz w:val="24"/>
          <w:szCs w:val="24"/>
        </w:rPr>
        <w:t>a≤0.027</w:t>
      </w:r>
      <w:r>
        <w:rPr>
          <w:rFonts w:hAnsi="宋体"/>
          <w:color w:val="auto"/>
          <w:sz w:val="24"/>
          <w:szCs w:val="24"/>
        </w:rPr>
        <w:t>、</w:t>
      </w:r>
      <w:r>
        <w:rPr>
          <w:color w:val="auto"/>
          <w:sz w:val="24"/>
          <w:szCs w:val="24"/>
        </w:rPr>
        <w:t>Pe≥1</w:t>
      </w:r>
      <w:r>
        <w:rPr>
          <w:rFonts w:hAnsi="宋体"/>
          <w:color w:val="auto"/>
          <w:sz w:val="24"/>
          <w:szCs w:val="24"/>
        </w:rPr>
        <w:t>时，适用对流降解模型</w:t>
      </w:r>
      <w:r>
        <w:rPr>
          <w:color w:val="auto"/>
          <w:sz w:val="24"/>
          <w:szCs w:val="24"/>
        </w:rPr>
        <w:t>:</w:t>
      </w:r>
      <w:r>
        <w:rPr>
          <w:color w:val="auto"/>
          <w:sz w:val="24"/>
          <w:szCs w:val="24"/>
        </w:rPr>
        <w:tab/>
      </w:r>
    </w:p>
    <w:p>
      <w:pPr>
        <w:tabs>
          <w:tab w:val="left" w:pos="5624"/>
        </w:tabs>
        <w:spacing w:line="360" w:lineRule="auto"/>
        <w:ind w:firstLine="480" w:firstLineChars="200"/>
        <w:jc w:val="center"/>
        <w:rPr>
          <w:color w:val="auto"/>
          <w:sz w:val="24"/>
          <w:szCs w:val="24"/>
        </w:rPr>
      </w:pPr>
      <w:r>
        <w:rPr>
          <w:color w:val="auto"/>
          <w:sz w:val="24"/>
          <w:szCs w:val="24"/>
        </w:rPr>
        <w:t>C=C</w:t>
      </w:r>
      <w:r>
        <w:rPr>
          <w:color w:val="auto"/>
          <w:sz w:val="24"/>
          <w:szCs w:val="24"/>
          <w:vertAlign w:val="subscript"/>
        </w:rPr>
        <w:t>0</w:t>
      </w:r>
      <w:r>
        <w:rPr>
          <w:color w:val="auto"/>
          <w:sz w:val="24"/>
          <w:szCs w:val="24"/>
        </w:rPr>
        <w:t>exp(-kx/u)</w:t>
      </w:r>
    </w:p>
    <w:p>
      <w:pPr>
        <w:spacing w:line="360" w:lineRule="auto"/>
        <w:ind w:firstLine="480" w:firstLineChars="200"/>
        <w:rPr>
          <w:color w:val="auto"/>
          <w:sz w:val="24"/>
          <w:szCs w:val="24"/>
        </w:rPr>
      </w:pPr>
      <w:r>
        <w:rPr>
          <w:rFonts w:hAnsi="宋体"/>
          <w:color w:val="auto"/>
          <w:sz w:val="24"/>
          <w:szCs w:val="24"/>
        </w:rPr>
        <w:t>式中：</w:t>
      </w:r>
      <w:r>
        <w:rPr>
          <w:color w:val="auto"/>
          <w:sz w:val="24"/>
          <w:szCs w:val="24"/>
        </w:rPr>
        <w:t xml:space="preserve"> C—</w:t>
      </w:r>
      <w:r>
        <w:rPr>
          <w:rFonts w:hAnsi="宋体"/>
          <w:color w:val="auto"/>
          <w:sz w:val="24"/>
          <w:szCs w:val="24"/>
        </w:rPr>
        <w:t>污染物浓度，</w:t>
      </w:r>
      <w:r>
        <w:rPr>
          <w:color w:val="auto"/>
          <w:sz w:val="24"/>
          <w:szCs w:val="24"/>
        </w:rPr>
        <w:t>mg/L</w:t>
      </w:r>
      <w:r>
        <w:rPr>
          <w:rFonts w:hAnsi="宋体"/>
          <w:color w:val="auto"/>
          <w:sz w:val="24"/>
          <w:szCs w:val="24"/>
        </w:rPr>
        <w:t>；</w:t>
      </w:r>
    </w:p>
    <w:p>
      <w:pPr>
        <w:spacing w:line="360" w:lineRule="auto"/>
        <w:ind w:firstLine="480" w:firstLineChars="200"/>
        <w:rPr>
          <w:color w:val="auto"/>
          <w:sz w:val="24"/>
          <w:szCs w:val="24"/>
        </w:rPr>
      </w:pPr>
      <w:r>
        <w:rPr>
          <w:color w:val="auto"/>
          <w:sz w:val="24"/>
          <w:szCs w:val="24"/>
        </w:rPr>
        <w:t>C</w:t>
      </w:r>
      <w:r>
        <w:rPr>
          <w:color w:val="auto"/>
          <w:sz w:val="24"/>
          <w:szCs w:val="24"/>
          <w:vertAlign w:val="subscript"/>
        </w:rPr>
        <w:t>0</w:t>
      </w:r>
      <w:r>
        <w:rPr>
          <w:color w:val="auto"/>
          <w:sz w:val="24"/>
          <w:szCs w:val="24"/>
        </w:rPr>
        <w:t>—</w:t>
      </w:r>
      <w:r>
        <w:rPr>
          <w:rFonts w:hAnsi="宋体"/>
          <w:color w:val="auto"/>
          <w:sz w:val="24"/>
          <w:szCs w:val="24"/>
        </w:rPr>
        <w:t>河流排放口初始断面混合浓度，</w:t>
      </w:r>
      <w:r>
        <w:rPr>
          <w:color w:val="auto"/>
          <w:sz w:val="24"/>
          <w:szCs w:val="24"/>
        </w:rPr>
        <w:t>mg/L</w:t>
      </w:r>
      <w:r>
        <w:rPr>
          <w:rFonts w:hAnsi="宋体"/>
          <w:color w:val="auto"/>
          <w:sz w:val="24"/>
          <w:szCs w:val="24"/>
        </w:rPr>
        <w:t>；</w:t>
      </w:r>
    </w:p>
    <w:p>
      <w:pPr>
        <w:spacing w:line="360" w:lineRule="auto"/>
        <w:ind w:firstLine="480" w:firstLineChars="200"/>
        <w:rPr>
          <w:color w:val="auto"/>
          <w:sz w:val="24"/>
          <w:szCs w:val="24"/>
        </w:rPr>
      </w:pPr>
      <w:r>
        <w:rPr>
          <w:color w:val="auto"/>
          <w:sz w:val="24"/>
          <w:szCs w:val="24"/>
        </w:rPr>
        <w:t>x—</w:t>
      </w:r>
      <w:r>
        <w:rPr>
          <w:rFonts w:hAnsi="宋体"/>
          <w:color w:val="auto"/>
          <w:sz w:val="24"/>
          <w:szCs w:val="24"/>
        </w:rPr>
        <w:t>河流沿程坐标，</w:t>
      </w:r>
      <w:r>
        <w:rPr>
          <w:color w:val="auto"/>
          <w:sz w:val="24"/>
          <w:szCs w:val="24"/>
        </w:rPr>
        <w:t>m</w:t>
      </w:r>
      <w:r>
        <w:rPr>
          <w:rFonts w:hAnsi="宋体"/>
          <w:color w:val="auto"/>
          <w:sz w:val="24"/>
          <w:szCs w:val="24"/>
        </w:rPr>
        <w:t>；</w:t>
      </w:r>
    </w:p>
    <w:p>
      <w:pPr>
        <w:spacing w:line="360" w:lineRule="auto"/>
        <w:ind w:firstLine="480" w:firstLineChars="200"/>
        <w:rPr>
          <w:rFonts w:ascii="宋体" w:hAnsi="宋体"/>
          <w:color w:val="auto"/>
          <w:sz w:val="24"/>
          <w:szCs w:val="24"/>
        </w:rPr>
      </w:pPr>
      <w:r>
        <w:rPr>
          <w:color w:val="auto"/>
          <w:sz w:val="24"/>
          <w:szCs w:val="24"/>
        </w:rPr>
        <w:t>k—</w:t>
      </w:r>
      <w:r>
        <w:rPr>
          <w:rFonts w:ascii="宋体" w:hAnsi="宋体"/>
          <w:color w:val="auto"/>
          <w:sz w:val="24"/>
          <w:szCs w:val="24"/>
        </w:rPr>
        <w:t>污染物综合衰减系数，</w:t>
      </w:r>
      <w:r>
        <w:rPr>
          <w:color w:val="auto"/>
          <w:sz w:val="24"/>
          <w:szCs w:val="24"/>
        </w:rPr>
        <w:t>l/s</w:t>
      </w:r>
      <w:r>
        <w:rPr>
          <w:rFonts w:hint="eastAsia" w:ascii="宋体" w:hAnsi="宋体"/>
          <w:color w:val="auto"/>
          <w:sz w:val="24"/>
          <w:szCs w:val="24"/>
        </w:rPr>
        <w:t>；</w:t>
      </w:r>
    </w:p>
    <w:p>
      <w:pPr>
        <w:spacing w:line="360" w:lineRule="auto"/>
        <w:ind w:firstLine="480" w:firstLineChars="200"/>
        <w:rPr>
          <w:color w:val="auto"/>
          <w:sz w:val="24"/>
          <w:szCs w:val="24"/>
        </w:rPr>
      </w:pPr>
      <w:r>
        <w:rPr>
          <w:color w:val="auto"/>
          <w:sz w:val="24"/>
          <w:szCs w:val="24"/>
        </w:rPr>
        <w:t>u——</w:t>
      </w:r>
      <w:r>
        <w:rPr>
          <w:rFonts w:hint="eastAsia"/>
          <w:color w:val="auto"/>
          <w:sz w:val="24"/>
          <w:szCs w:val="24"/>
        </w:rPr>
        <w:t>河流流速，</w:t>
      </w:r>
      <w:r>
        <w:rPr>
          <w:color w:val="auto"/>
          <w:sz w:val="24"/>
          <w:szCs w:val="24"/>
        </w:rPr>
        <w:t>m/s</w:t>
      </w:r>
      <w:r>
        <w:rPr>
          <w:rFonts w:hint="eastAsia"/>
          <w:color w:val="auto"/>
          <w:sz w:val="24"/>
          <w:szCs w:val="24"/>
        </w:rPr>
        <w:t>。</w:t>
      </w:r>
    </w:p>
    <w:p>
      <w:pPr>
        <w:pStyle w:val="5"/>
        <w:rPr>
          <w:color w:val="auto"/>
        </w:rPr>
      </w:pPr>
      <w:r>
        <w:rPr>
          <w:rFonts w:hint="eastAsia"/>
          <w:color w:val="auto"/>
        </w:rPr>
        <w:t>5.2.2.6预测结果分析</w:t>
      </w:r>
    </w:p>
    <w:p>
      <w:pPr>
        <w:spacing w:line="360" w:lineRule="auto"/>
        <w:ind w:firstLine="482" w:firstLineChars="200"/>
        <w:jc w:val="left"/>
        <w:rPr>
          <w:b/>
          <w:color w:val="auto"/>
          <w:sz w:val="24"/>
          <w:szCs w:val="24"/>
        </w:rPr>
      </w:pPr>
      <w:r>
        <w:rPr>
          <w:rFonts w:hint="eastAsia"/>
          <w:b/>
          <w:color w:val="auto"/>
          <w:sz w:val="24"/>
          <w:szCs w:val="24"/>
        </w:rPr>
        <w:t>1、正常排放工况</w:t>
      </w:r>
    </w:p>
    <w:p>
      <w:pPr>
        <w:spacing w:line="360" w:lineRule="auto"/>
        <w:ind w:firstLine="480" w:firstLineChars="200"/>
        <w:jc w:val="left"/>
        <w:rPr>
          <w:color w:val="auto"/>
          <w:sz w:val="24"/>
          <w:szCs w:val="24"/>
        </w:rPr>
      </w:pPr>
      <w:r>
        <w:rPr>
          <w:rFonts w:hint="eastAsia"/>
          <w:color w:val="auto"/>
          <w:sz w:val="24"/>
          <w:szCs w:val="24"/>
        </w:rPr>
        <w:t>项目正常排放时，尾水</w:t>
      </w:r>
      <w:r>
        <w:rPr>
          <w:color w:val="auto"/>
          <w:sz w:val="24"/>
          <w:szCs w:val="24"/>
        </w:rPr>
        <w:t>COD、NH</w:t>
      </w:r>
      <w:r>
        <w:rPr>
          <w:color w:val="auto"/>
          <w:sz w:val="24"/>
          <w:szCs w:val="24"/>
          <w:vertAlign w:val="subscript"/>
        </w:rPr>
        <w:t>3</w:t>
      </w:r>
      <w:r>
        <w:rPr>
          <w:color w:val="auto"/>
          <w:sz w:val="24"/>
          <w:szCs w:val="24"/>
        </w:rPr>
        <w:t>-N</w:t>
      </w:r>
      <w:r>
        <w:rPr>
          <w:rFonts w:hint="eastAsia"/>
          <w:color w:val="auto"/>
          <w:sz w:val="24"/>
          <w:szCs w:val="24"/>
        </w:rPr>
        <w:t>对大嵩河及梅江</w:t>
      </w:r>
      <w:r>
        <w:rPr>
          <w:color w:val="auto"/>
          <w:sz w:val="24"/>
          <w:szCs w:val="24"/>
        </w:rPr>
        <w:t>浓度预测结果见</w:t>
      </w:r>
      <w:r>
        <w:rPr>
          <w:rFonts w:hint="eastAsia"/>
          <w:color w:val="auto"/>
          <w:sz w:val="24"/>
          <w:szCs w:val="24"/>
        </w:rPr>
        <w:t>下</w:t>
      </w:r>
      <w:r>
        <w:rPr>
          <w:color w:val="auto"/>
          <w:sz w:val="24"/>
          <w:szCs w:val="24"/>
        </w:rPr>
        <w:t>表</w:t>
      </w:r>
      <w:r>
        <w:rPr>
          <w:rFonts w:hint="eastAsia"/>
          <w:color w:val="auto"/>
          <w:sz w:val="24"/>
          <w:szCs w:val="24"/>
        </w:rPr>
        <w:t>。</w:t>
      </w:r>
    </w:p>
    <w:p>
      <w:pPr>
        <w:spacing w:line="360" w:lineRule="auto"/>
        <w:jc w:val="center"/>
        <w:rPr>
          <w:b/>
          <w:color w:val="auto"/>
          <w:sz w:val="24"/>
          <w:szCs w:val="24"/>
        </w:rPr>
      </w:pPr>
      <w:r>
        <w:rPr>
          <w:rFonts w:hint="eastAsia" w:hAnsi="宋体"/>
          <w:b/>
          <w:color w:val="auto"/>
          <w:sz w:val="24"/>
          <w:szCs w:val="24"/>
        </w:rPr>
        <w:t>表5-2-17</w:t>
      </w:r>
      <w:r>
        <w:rPr>
          <w:b/>
          <w:color w:val="auto"/>
          <w:sz w:val="24"/>
          <w:szCs w:val="24"/>
        </w:rPr>
        <w:t xml:space="preserve">   </w:t>
      </w:r>
      <w:r>
        <w:rPr>
          <w:rFonts w:hAnsi="宋体"/>
          <w:b/>
          <w:color w:val="auto"/>
          <w:sz w:val="24"/>
          <w:szCs w:val="24"/>
        </w:rPr>
        <w:t>项目尾水正常排放预测结果表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116"/>
        <w:gridCol w:w="2267"/>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djustRightInd w:val="0"/>
              <w:snapToGrid w:val="0"/>
              <w:jc w:val="center"/>
              <w:rPr>
                <w:b/>
                <w:color w:val="auto"/>
                <w:sz w:val="21"/>
                <w:szCs w:val="21"/>
              </w:rPr>
            </w:pPr>
            <w:r>
              <w:rPr>
                <w:b/>
                <w:color w:val="auto"/>
                <w:sz w:val="21"/>
                <w:szCs w:val="21"/>
              </w:rPr>
              <w:t>河段</w:t>
            </w:r>
          </w:p>
        </w:tc>
        <w:tc>
          <w:tcPr>
            <w:tcW w:w="3116" w:type="dxa"/>
            <w:vAlign w:val="center"/>
          </w:tcPr>
          <w:p>
            <w:pPr>
              <w:adjustRightInd w:val="0"/>
              <w:snapToGrid w:val="0"/>
              <w:jc w:val="center"/>
              <w:rPr>
                <w:b/>
                <w:color w:val="auto"/>
                <w:sz w:val="21"/>
                <w:szCs w:val="21"/>
              </w:rPr>
            </w:pPr>
            <w:r>
              <w:rPr>
                <w:b/>
                <w:color w:val="auto"/>
                <w:sz w:val="21"/>
                <w:szCs w:val="21"/>
              </w:rPr>
              <w:t>x（m）</w:t>
            </w:r>
          </w:p>
        </w:tc>
        <w:tc>
          <w:tcPr>
            <w:tcW w:w="2267" w:type="dxa"/>
            <w:vAlign w:val="center"/>
          </w:tcPr>
          <w:p>
            <w:pPr>
              <w:adjustRightInd w:val="0"/>
              <w:snapToGrid w:val="0"/>
              <w:jc w:val="center"/>
              <w:rPr>
                <w:b/>
                <w:color w:val="auto"/>
                <w:sz w:val="21"/>
                <w:szCs w:val="21"/>
              </w:rPr>
            </w:pPr>
            <w:r>
              <w:rPr>
                <w:b/>
                <w:color w:val="auto"/>
                <w:sz w:val="21"/>
                <w:szCs w:val="21"/>
              </w:rPr>
              <w:t>COD预测浓度（mg/L）</w:t>
            </w:r>
          </w:p>
        </w:tc>
        <w:tc>
          <w:tcPr>
            <w:tcW w:w="2464" w:type="dxa"/>
            <w:vAlign w:val="center"/>
          </w:tcPr>
          <w:p>
            <w:pPr>
              <w:adjustRightInd w:val="0"/>
              <w:snapToGrid w:val="0"/>
              <w:jc w:val="center"/>
              <w:rPr>
                <w:b/>
                <w:color w:val="auto"/>
                <w:sz w:val="21"/>
                <w:szCs w:val="21"/>
              </w:rPr>
            </w:pPr>
            <w:r>
              <w:rPr>
                <w:b/>
                <w:color w:val="auto"/>
                <w:sz w:val="21"/>
                <w:szCs w:val="21"/>
              </w:rPr>
              <w:t>NH</w:t>
            </w:r>
            <w:r>
              <w:rPr>
                <w:b/>
                <w:color w:val="auto"/>
                <w:sz w:val="21"/>
                <w:szCs w:val="21"/>
                <w:vertAlign w:val="subscript"/>
              </w:rPr>
              <w:t>3</w:t>
            </w:r>
            <w:r>
              <w:rPr>
                <w:b/>
                <w:color w:val="auto"/>
                <w:sz w:val="21"/>
                <w:szCs w:val="21"/>
              </w:rPr>
              <w:t>-N预测浓度（mg/L）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adjustRightInd w:val="0"/>
              <w:snapToGrid w:val="0"/>
              <w:jc w:val="center"/>
              <w:rPr>
                <w:color w:val="auto"/>
                <w:sz w:val="21"/>
                <w:szCs w:val="21"/>
              </w:rPr>
            </w:pPr>
            <w:r>
              <w:rPr>
                <w:color w:val="auto"/>
                <w:sz w:val="21"/>
                <w:szCs w:val="21"/>
              </w:rPr>
              <w:t>大嵩河</w:t>
            </w:r>
          </w:p>
        </w:tc>
        <w:tc>
          <w:tcPr>
            <w:tcW w:w="3116" w:type="dxa"/>
            <w:vAlign w:val="center"/>
          </w:tcPr>
          <w:p>
            <w:pPr>
              <w:adjustRightInd w:val="0"/>
              <w:snapToGrid w:val="0"/>
              <w:jc w:val="center"/>
              <w:rPr>
                <w:color w:val="auto"/>
                <w:sz w:val="21"/>
                <w:szCs w:val="21"/>
              </w:rPr>
            </w:pPr>
            <w:r>
              <w:rPr>
                <w:color w:val="auto"/>
                <w:sz w:val="21"/>
                <w:szCs w:val="21"/>
              </w:rPr>
              <w:t>0（背景浓度）</w:t>
            </w:r>
          </w:p>
        </w:tc>
        <w:tc>
          <w:tcPr>
            <w:tcW w:w="2267" w:type="dxa"/>
            <w:vAlign w:val="center"/>
          </w:tcPr>
          <w:p>
            <w:pPr>
              <w:adjustRightInd w:val="0"/>
              <w:snapToGrid w:val="0"/>
              <w:jc w:val="center"/>
              <w:rPr>
                <w:color w:val="auto"/>
                <w:sz w:val="21"/>
                <w:szCs w:val="21"/>
              </w:rPr>
            </w:pPr>
            <w:r>
              <w:rPr>
                <w:color w:val="auto"/>
                <w:sz w:val="21"/>
                <w:szCs w:val="21"/>
              </w:rPr>
              <w:t>13.667</w:t>
            </w:r>
          </w:p>
        </w:tc>
        <w:tc>
          <w:tcPr>
            <w:tcW w:w="2464" w:type="dxa"/>
            <w:vAlign w:val="center"/>
          </w:tcPr>
          <w:p>
            <w:pPr>
              <w:adjustRightInd w:val="0"/>
              <w:snapToGrid w:val="0"/>
              <w:jc w:val="center"/>
              <w:rPr>
                <w:color w:val="auto"/>
                <w:sz w:val="21"/>
                <w:szCs w:val="21"/>
              </w:rPr>
            </w:pPr>
            <w:r>
              <w:rPr>
                <w:color w:val="auto"/>
                <w:sz w:val="21"/>
                <w:szCs w:val="21"/>
              </w:rPr>
              <w:t>0.803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323.73（混合过程段结束断面）</w:t>
            </w:r>
          </w:p>
        </w:tc>
        <w:tc>
          <w:tcPr>
            <w:tcW w:w="2267" w:type="dxa"/>
            <w:vAlign w:val="center"/>
          </w:tcPr>
          <w:p>
            <w:pPr>
              <w:adjustRightInd w:val="0"/>
              <w:snapToGrid w:val="0"/>
              <w:jc w:val="center"/>
              <w:rPr>
                <w:color w:val="auto"/>
                <w:sz w:val="21"/>
                <w:szCs w:val="21"/>
              </w:rPr>
            </w:pPr>
            <w:r>
              <w:rPr>
                <w:color w:val="auto"/>
                <w:sz w:val="21"/>
                <w:szCs w:val="21"/>
              </w:rPr>
              <w:t xml:space="preserve">14.6822 </w:t>
            </w:r>
          </w:p>
        </w:tc>
        <w:tc>
          <w:tcPr>
            <w:tcW w:w="2464" w:type="dxa"/>
            <w:vAlign w:val="center"/>
          </w:tcPr>
          <w:p>
            <w:pPr>
              <w:adjustRightInd w:val="0"/>
              <w:snapToGrid w:val="0"/>
              <w:jc w:val="center"/>
              <w:rPr>
                <w:color w:val="auto"/>
                <w:sz w:val="21"/>
                <w:szCs w:val="21"/>
              </w:rPr>
            </w:pPr>
            <w:r>
              <w:rPr>
                <w:color w:val="auto"/>
                <w:sz w:val="21"/>
                <w:szCs w:val="21"/>
              </w:rPr>
              <w:t xml:space="preserve">0.8463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1500</w:t>
            </w:r>
          </w:p>
        </w:tc>
        <w:tc>
          <w:tcPr>
            <w:tcW w:w="2267" w:type="dxa"/>
            <w:vAlign w:val="center"/>
          </w:tcPr>
          <w:p>
            <w:pPr>
              <w:adjustRightInd w:val="0"/>
              <w:snapToGrid w:val="0"/>
              <w:jc w:val="center"/>
              <w:rPr>
                <w:color w:val="auto"/>
                <w:sz w:val="21"/>
                <w:szCs w:val="21"/>
              </w:rPr>
            </w:pPr>
            <w:r>
              <w:rPr>
                <w:color w:val="auto"/>
                <w:sz w:val="21"/>
                <w:szCs w:val="21"/>
              </w:rPr>
              <w:t xml:space="preserve">14.5762 </w:t>
            </w:r>
          </w:p>
        </w:tc>
        <w:tc>
          <w:tcPr>
            <w:tcW w:w="2464" w:type="dxa"/>
            <w:vAlign w:val="center"/>
          </w:tcPr>
          <w:p>
            <w:pPr>
              <w:adjustRightInd w:val="0"/>
              <w:snapToGrid w:val="0"/>
              <w:jc w:val="center"/>
              <w:rPr>
                <w:color w:val="auto"/>
                <w:sz w:val="21"/>
                <w:szCs w:val="21"/>
              </w:rPr>
            </w:pPr>
            <w:r>
              <w:rPr>
                <w:color w:val="auto"/>
                <w:sz w:val="21"/>
                <w:szCs w:val="21"/>
              </w:rPr>
              <w:t xml:space="preserve">0.8433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2000（污染物排放量核算断面）</w:t>
            </w:r>
          </w:p>
        </w:tc>
        <w:tc>
          <w:tcPr>
            <w:tcW w:w="2267" w:type="dxa"/>
            <w:vAlign w:val="center"/>
          </w:tcPr>
          <w:p>
            <w:pPr>
              <w:adjustRightInd w:val="0"/>
              <w:snapToGrid w:val="0"/>
              <w:jc w:val="center"/>
              <w:rPr>
                <w:color w:val="auto"/>
                <w:sz w:val="21"/>
                <w:szCs w:val="21"/>
              </w:rPr>
            </w:pPr>
            <w:r>
              <w:rPr>
                <w:color w:val="auto"/>
                <w:sz w:val="21"/>
                <w:szCs w:val="21"/>
              </w:rPr>
              <w:t xml:space="preserve">14.5314 </w:t>
            </w:r>
          </w:p>
        </w:tc>
        <w:tc>
          <w:tcPr>
            <w:tcW w:w="2464" w:type="dxa"/>
            <w:vAlign w:val="center"/>
          </w:tcPr>
          <w:p>
            <w:pPr>
              <w:adjustRightInd w:val="0"/>
              <w:snapToGrid w:val="0"/>
              <w:jc w:val="center"/>
              <w:rPr>
                <w:color w:val="auto"/>
                <w:sz w:val="21"/>
                <w:szCs w:val="21"/>
              </w:rPr>
            </w:pPr>
            <w:r>
              <w:rPr>
                <w:color w:val="auto"/>
                <w:sz w:val="21"/>
                <w:szCs w:val="21"/>
              </w:rPr>
              <w:t xml:space="preserve">0.8420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2500</w:t>
            </w:r>
          </w:p>
        </w:tc>
        <w:tc>
          <w:tcPr>
            <w:tcW w:w="2267" w:type="dxa"/>
            <w:vAlign w:val="center"/>
          </w:tcPr>
          <w:p>
            <w:pPr>
              <w:adjustRightInd w:val="0"/>
              <w:snapToGrid w:val="0"/>
              <w:jc w:val="center"/>
              <w:rPr>
                <w:color w:val="auto"/>
                <w:sz w:val="21"/>
                <w:szCs w:val="21"/>
              </w:rPr>
            </w:pPr>
            <w:r>
              <w:rPr>
                <w:color w:val="auto"/>
                <w:sz w:val="21"/>
                <w:szCs w:val="21"/>
              </w:rPr>
              <w:t xml:space="preserve">14.4868 </w:t>
            </w:r>
          </w:p>
        </w:tc>
        <w:tc>
          <w:tcPr>
            <w:tcW w:w="2464" w:type="dxa"/>
            <w:vAlign w:val="center"/>
          </w:tcPr>
          <w:p>
            <w:pPr>
              <w:adjustRightInd w:val="0"/>
              <w:snapToGrid w:val="0"/>
              <w:jc w:val="center"/>
              <w:rPr>
                <w:color w:val="auto"/>
                <w:sz w:val="21"/>
                <w:szCs w:val="21"/>
              </w:rPr>
            </w:pPr>
            <w:r>
              <w:rPr>
                <w:color w:val="auto"/>
                <w:sz w:val="21"/>
                <w:szCs w:val="21"/>
              </w:rPr>
              <w:t xml:space="preserve">0.8407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3000</w:t>
            </w:r>
          </w:p>
        </w:tc>
        <w:tc>
          <w:tcPr>
            <w:tcW w:w="2267" w:type="dxa"/>
            <w:vAlign w:val="center"/>
          </w:tcPr>
          <w:p>
            <w:pPr>
              <w:adjustRightInd w:val="0"/>
              <w:snapToGrid w:val="0"/>
              <w:jc w:val="center"/>
              <w:rPr>
                <w:color w:val="auto"/>
                <w:sz w:val="21"/>
                <w:szCs w:val="21"/>
              </w:rPr>
            </w:pPr>
            <w:r>
              <w:rPr>
                <w:color w:val="auto"/>
                <w:sz w:val="21"/>
                <w:szCs w:val="21"/>
              </w:rPr>
              <w:t xml:space="preserve">14.4422 </w:t>
            </w:r>
          </w:p>
        </w:tc>
        <w:tc>
          <w:tcPr>
            <w:tcW w:w="2464" w:type="dxa"/>
            <w:vAlign w:val="center"/>
          </w:tcPr>
          <w:p>
            <w:pPr>
              <w:adjustRightInd w:val="0"/>
              <w:snapToGrid w:val="0"/>
              <w:jc w:val="center"/>
              <w:rPr>
                <w:color w:val="auto"/>
                <w:sz w:val="21"/>
                <w:szCs w:val="21"/>
              </w:rPr>
            </w:pPr>
            <w:r>
              <w:rPr>
                <w:color w:val="auto"/>
                <w:sz w:val="21"/>
                <w:szCs w:val="21"/>
              </w:rPr>
              <w:t xml:space="preserve">0.8394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3500</w:t>
            </w:r>
          </w:p>
        </w:tc>
        <w:tc>
          <w:tcPr>
            <w:tcW w:w="2267" w:type="dxa"/>
            <w:vAlign w:val="center"/>
          </w:tcPr>
          <w:p>
            <w:pPr>
              <w:adjustRightInd w:val="0"/>
              <w:snapToGrid w:val="0"/>
              <w:jc w:val="center"/>
              <w:rPr>
                <w:color w:val="auto"/>
                <w:sz w:val="21"/>
                <w:szCs w:val="21"/>
              </w:rPr>
            </w:pPr>
            <w:r>
              <w:rPr>
                <w:color w:val="auto"/>
                <w:sz w:val="21"/>
                <w:szCs w:val="21"/>
              </w:rPr>
              <w:t xml:space="preserve">14.3978 </w:t>
            </w:r>
          </w:p>
        </w:tc>
        <w:tc>
          <w:tcPr>
            <w:tcW w:w="2464" w:type="dxa"/>
            <w:vAlign w:val="center"/>
          </w:tcPr>
          <w:p>
            <w:pPr>
              <w:adjustRightInd w:val="0"/>
              <w:snapToGrid w:val="0"/>
              <w:jc w:val="center"/>
              <w:rPr>
                <w:color w:val="auto"/>
                <w:sz w:val="21"/>
                <w:szCs w:val="21"/>
              </w:rPr>
            </w:pPr>
            <w:r>
              <w:rPr>
                <w:color w:val="auto"/>
                <w:sz w:val="21"/>
                <w:szCs w:val="21"/>
              </w:rPr>
              <w:t xml:space="preserve">0.8381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4000</w:t>
            </w:r>
          </w:p>
        </w:tc>
        <w:tc>
          <w:tcPr>
            <w:tcW w:w="2267" w:type="dxa"/>
            <w:vAlign w:val="center"/>
          </w:tcPr>
          <w:p>
            <w:pPr>
              <w:adjustRightInd w:val="0"/>
              <w:snapToGrid w:val="0"/>
              <w:jc w:val="center"/>
              <w:rPr>
                <w:color w:val="auto"/>
                <w:sz w:val="21"/>
                <w:szCs w:val="21"/>
              </w:rPr>
            </w:pPr>
            <w:r>
              <w:rPr>
                <w:color w:val="auto"/>
                <w:sz w:val="21"/>
                <w:szCs w:val="21"/>
              </w:rPr>
              <w:t xml:space="preserve">14.3536 </w:t>
            </w:r>
          </w:p>
        </w:tc>
        <w:tc>
          <w:tcPr>
            <w:tcW w:w="2464" w:type="dxa"/>
            <w:vAlign w:val="center"/>
          </w:tcPr>
          <w:p>
            <w:pPr>
              <w:adjustRightInd w:val="0"/>
              <w:snapToGrid w:val="0"/>
              <w:jc w:val="center"/>
              <w:rPr>
                <w:color w:val="auto"/>
                <w:sz w:val="21"/>
                <w:szCs w:val="21"/>
              </w:rPr>
            </w:pPr>
            <w:r>
              <w:rPr>
                <w:color w:val="auto"/>
                <w:sz w:val="21"/>
                <w:szCs w:val="21"/>
              </w:rPr>
              <w:t xml:space="preserve">0.8368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4500</w:t>
            </w:r>
          </w:p>
        </w:tc>
        <w:tc>
          <w:tcPr>
            <w:tcW w:w="2267" w:type="dxa"/>
            <w:vAlign w:val="center"/>
          </w:tcPr>
          <w:p>
            <w:pPr>
              <w:adjustRightInd w:val="0"/>
              <w:snapToGrid w:val="0"/>
              <w:jc w:val="center"/>
              <w:rPr>
                <w:color w:val="auto"/>
                <w:sz w:val="21"/>
                <w:szCs w:val="21"/>
              </w:rPr>
            </w:pPr>
            <w:r>
              <w:rPr>
                <w:color w:val="auto"/>
                <w:sz w:val="21"/>
                <w:szCs w:val="21"/>
              </w:rPr>
              <w:t xml:space="preserve">14.3095 </w:t>
            </w:r>
          </w:p>
        </w:tc>
        <w:tc>
          <w:tcPr>
            <w:tcW w:w="2464" w:type="dxa"/>
            <w:vAlign w:val="center"/>
          </w:tcPr>
          <w:p>
            <w:pPr>
              <w:adjustRightInd w:val="0"/>
              <w:snapToGrid w:val="0"/>
              <w:jc w:val="center"/>
              <w:rPr>
                <w:color w:val="auto"/>
                <w:sz w:val="21"/>
                <w:szCs w:val="21"/>
              </w:rPr>
            </w:pPr>
            <w:r>
              <w:rPr>
                <w:color w:val="auto"/>
                <w:sz w:val="21"/>
                <w:szCs w:val="21"/>
              </w:rPr>
              <w:t xml:space="preserve">0.8355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4800（汇入梅江前断面）</w:t>
            </w:r>
          </w:p>
        </w:tc>
        <w:tc>
          <w:tcPr>
            <w:tcW w:w="2267" w:type="dxa"/>
            <w:vAlign w:val="center"/>
          </w:tcPr>
          <w:p>
            <w:pPr>
              <w:adjustRightInd w:val="0"/>
              <w:snapToGrid w:val="0"/>
              <w:jc w:val="center"/>
              <w:rPr>
                <w:color w:val="auto"/>
                <w:sz w:val="21"/>
                <w:szCs w:val="21"/>
              </w:rPr>
            </w:pPr>
            <w:r>
              <w:rPr>
                <w:color w:val="auto"/>
                <w:sz w:val="21"/>
                <w:szCs w:val="21"/>
              </w:rPr>
              <w:t xml:space="preserve">14.2831 </w:t>
            </w:r>
          </w:p>
        </w:tc>
        <w:tc>
          <w:tcPr>
            <w:tcW w:w="2464" w:type="dxa"/>
            <w:vAlign w:val="center"/>
          </w:tcPr>
          <w:p>
            <w:pPr>
              <w:adjustRightInd w:val="0"/>
              <w:snapToGrid w:val="0"/>
              <w:jc w:val="center"/>
              <w:rPr>
                <w:color w:val="auto"/>
                <w:sz w:val="21"/>
                <w:szCs w:val="21"/>
              </w:rPr>
            </w:pPr>
            <w:r>
              <w:rPr>
                <w:color w:val="auto"/>
                <w:sz w:val="21"/>
                <w:szCs w:val="21"/>
              </w:rPr>
              <w:t xml:space="preserve">0.8347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1" w:type="dxa"/>
            <w:gridSpan w:val="2"/>
            <w:vAlign w:val="center"/>
          </w:tcPr>
          <w:p>
            <w:pPr>
              <w:adjustRightInd w:val="0"/>
              <w:snapToGrid w:val="0"/>
              <w:jc w:val="center"/>
              <w:rPr>
                <w:color w:val="auto"/>
                <w:sz w:val="21"/>
                <w:szCs w:val="21"/>
              </w:rPr>
            </w:pPr>
            <w:r>
              <w:rPr>
                <w:rFonts w:hint="eastAsia"/>
                <w:color w:val="auto"/>
                <w:sz w:val="21"/>
                <w:szCs w:val="21"/>
              </w:rPr>
              <w:t>标准</w:t>
            </w:r>
          </w:p>
        </w:tc>
        <w:tc>
          <w:tcPr>
            <w:tcW w:w="2267" w:type="dxa"/>
            <w:vAlign w:val="center"/>
          </w:tcPr>
          <w:p>
            <w:pPr>
              <w:adjustRightInd w:val="0"/>
              <w:snapToGrid w:val="0"/>
              <w:jc w:val="center"/>
              <w:rPr>
                <w:color w:val="auto"/>
                <w:sz w:val="21"/>
                <w:szCs w:val="21"/>
              </w:rPr>
            </w:pPr>
            <w:r>
              <w:rPr>
                <w:rFonts w:hint="eastAsia"/>
                <w:color w:val="auto"/>
                <w:sz w:val="21"/>
                <w:szCs w:val="21"/>
              </w:rPr>
              <w:t>20</w:t>
            </w:r>
          </w:p>
        </w:tc>
        <w:tc>
          <w:tcPr>
            <w:tcW w:w="2464" w:type="dxa"/>
            <w:vAlign w:val="center"/>
          </w:tcPr>
          <w:p>
            <w:pPr>
              <w:adjustRightInd w:val="0"/>
              <w:snapToGrid w:val="0"/>
              <w:jc w:val="center"/>
              <w:rPr>
                <w:color w:val="auto"/>
                <w:sz w:val="21"/>
                <w:szCs w:val="21"/>
              </w:rPr>
            </w:pPr>
            <w:r>
              <w:rPr>
                <w:rFonts w:hint="eastAsia"/>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adjustRightInd w:val="0"/>
              <w:snapToGrid w:val="0"/>
              <w:jc w:val="center"/>
              <w:rPr>
                <w:color w:val="auto"/>
                <w:sz w:val="21"/>
                <w:szCs w:val="21"/>
              </w:rPr>
            </w:pPr>
            <w:r>
              <w:rPr>
                <w:rFonts w:hint="eastAsia"/>
                <w:color w:val="auto"/>
                <w:sz w:val="21"/>
                <w:szCs w:val="21"/>
              </w:rPr>
              <w:t>梅江</w:t>
            </w:r>
          </w:p>
        </w:tc>
        <w:tc>
          <w:tcPr>
            <w:tcW w:w="3116" w:type="dxa"/>
            <w:vAlign w:val="center"/>
          </w:tcPr>
          <w:p>
            <w:pPr>
              <w:adjustRightInd w:val="0"/>
              <w:snapToGrid w:val="0"/>
              <w:jc w:val="center"/>
              <w:rPr>
                <w:color w:val="auto"/>
                <w:sz w:val="21"/>
                <w:szCs w:val="21"/>
              </w:rPr>
            </w:pPr>
            <w:r>
              <w:rPr>
                <w:rFonts w:hint="eastAsia"/>
                <w:color w:val="auto"/>
                <w:sz w:val="21"/>
                <w:szCs w:val="21"/>
              </w:rPr>
              <w:t>0（背景浓度）</w:t>
            </w:r>
          </w:p>
        </w:tc>
        <w:tc>
          <w:tcPr>
            <w:tcW w:w="2267" w:type="dxa"/>
            <w:vAlign w:val="center"/>
          </w:tcPr>
          <w:p>
            <w:pPr>
              <w:adjustRightInd w:val="0"/>
              <w:snapToGrid w:val="0"/>
              <w:jc w:val="center"/>
              <w:rPr>
                <w:color w:val="auto"/>
                <w:sz w:val="21"/>
                <w:szCs w:val="21"/>
              </w:rPr>
            </w:pPr>
            <w:r>
              <w:rPr>
                <w:rFonts w:hint="eastAsia"/>
                <w:color w:val="auto"/>
                <w:sz w:val="21"/>
                <w:szCs w:val="21"/>
              </w:rPr>
              <w:t>11.83</w:t>
            </w:r>
          </w:p>
        </w:tc>
        <w:tc>
          <w:tcPr>
            <w:tcW w:w="2464" w:type="dxa"/>
            <w:vAlign w:val="center"/>
          </w:tcPr>
          <w:p>
            <w:pPr>
              <w:adjustRightInd w:val="0"/>
              <w:snapToGrid w:val="0"/>
              <w:jc w:val="center"/>
              <w:rPr>
                <w:color w:val="auto"/>
                <w:sz w:val="21"/>
                <w:szCs w:val="21"/>
              </w:rPr>
            </w:pPr>
            <w:r>
              <w:rPr>
                <w:rFonts w:hint="eastAsia"/>
                <w:color w:val="auto"/>
                <w:sz w:val="21"/>
                <w:szCs w:val="21"/>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djustRightInd w:val="0"/>
              <w:snapToGrid w:val="0"/>
              <w:jc w:val="center"/>
              <w:rPr>
                <w:color w:val="auto"/>
                <w:sz w:val="21"/>
                <w:szCs w:val="21"/>
              </w:rPr>
            </w:pPr>
          </w:p>
        </w:tc>
        <w:tc>
          <w:tcPr>
            <w:tcW w:w="3116" w:type="dxa"/>
            <w:vAlign w:val="center"/>
          </w:tcPr>
          <w:p>
            <w:pPr>
              <w:adjustRightInd w:val="0"/>
              <w:snapToGrid w:val="0"/>
              <w:jc w:val="center"/>
              <w:rPr>
                <w:color w:val="auto"/>
                <w:sz w:val="21"/>
                <w:szCs w:val="21"/>
              </w:rPr>
            </w:pPr>
            <w:r>
              <w:rPr>
                <w:rFonts w:hint="eastAsia"/>
                <w:color w:val="auto"/>
                <w:sz w:val="21"/>
                <w:szCs w:val="21"/>
              </w:rPr>
              <w:t>1120.87（</w:t>
            </w:r>
            <w:r>
              <w:rPr>
                <w:color w:val="auto"/>
                <w:sz w:val="21"/>
                <w:szCs w:val="21"/>
              </w:rPr>
              <w:t>混合过程段结束断面</w:t>
            </w:r>
            <w:r>
              <w:rPr>
                <w:rFonts w:hint="eastAsia"/>
                <w:color w:val="auto"/>
                <w:sz w:val="21"/>
                <w:szCs w:val="21"/>
              </w:rPr>
              <w:t>）</w:t>
            </w:r>
          </w:p>
        </w:tc>
        <w:tc>
          <w:tcPr>
            <w:tcW w:w="2267" w:type="dxa"/>
            <w:vAlign w:val="center"/>
          </w:tcPr>
          <w:p>
            <w:pPr>
              <w:adjustRightInd w:val="0"/>
              <w:snapToGrid w:val="0"/>
              <w:jc w:val="center"/>
              <w:rPr>
                <w:color w:val="auto"/>
                <w:sz w:val="21"/>
                <w:szCs w:val="21"/>
              </w:rPr>
            </w:pPr>
            <w:r>
              <w:rPr>
                <w:rFonts w:hint="eastAsia"/>
                <w:color w:val="auto"/>
                <w:sz w:val="21"/>
                <w:szCs w:val="21"/>
              </w:rPr>
              <w:t>11.9691</w:t>
            </w:r>
          </w:p>
        </w:tc>
        <w:tc>
          <w:tcPr>
            <w:tcW w:w="2464" w:type="dxa"/>
            <w:vAlign w:val="center"/>
          </w:tcPr>
          <w:p>
            <w:pPr>
              <w:adjustRightInd w:val="0"/>
              <w:snapToGrid w:val="0"/>
              <w:jc w:val="center"/>
              <w:rPr>
                <w:color w:val="auto"/>
                <w:sz w:val="21"/>
                <w:szCs w:val="21"/>
              </w:rPr>
            </w:pPr>
            <w:r>
              <w:rPr>
                <w:rFonts w:hint="eastAsia"/>
                <w:color w:val="auto"/>
                <w:sz w:val="21"/>
                <w:szCs w:val="21"/>
              </w:rPr>
              <w:t>0.3869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1" w:type="dxa"/>
            <w:gridSpan w:val="2"/>
            <w:vAlign w:val="center"/>
          </w:tcPr>
          <w:p>
            <w:pPr>
              <w:adjustRightInd w:val="0"/>
              <w:snapToGrid w:val="0"/>
              <w:jc w:val="center"/>
              <w:rPr>
                <w:color w:val="auto"/>
                <w:sz w:val="21"/>
                <w:szCs w:val="21"/>
              </w:rPr>
            </w:pPr>
            <w:r>
              <w:rPr>
                <w:color w:val="auto"/>
                <w:sz w:val="21"/>
                <w:szCs w:val="21"/>
              </w:rPr>
              <w:t>标准</w:t>
            </w:r>
          </w:p>
        </w:tc>
        <w:tc>
          <w:tcPr>
            <w:tcW w:w="2267" w:type="dxa"/>
            <w:vAlign w:val="center"/>
          </w:tcPr>
          <w:p>
            <w:pPr>
              <w:adjustRightInd w:val="0"/>
              <w:snapToGrid w:val="0"/>
              <w:jc w:val="center"/>
              <w:rPr>
                <w:color w:val="auto"/>
                <w:sz w:val="21"/>
                <w:szCs w:val="21"/>
              </w:rPr>
            </w:pPr>
            <w:r>
              <w:rPr>
                <w:rFonts w:hint="eastAsia"/>
                <w:color w:val="auto"/>
                <w:sz w:val="21"/>
                <w:szCs w:val="21"/>
              </w:rPr>
              <w:t>15</w:t>
            </w:r>
          </w:p>
        </w:tc>
        <w:tc>
          <w:tcPr>
            <w:tcW w:w="2464" w:type="dxa"/>
            <w:vAlign w:val="center"/>
          </w:tcPr>
          <w:p>
            <w:pPr>
              <w:adjustRightInd w:val="0"/>
              <w:snapToGrid w:val="0"/>
              <w:jc w:val="center"/>
              <w:rPr>
                <w:color w:val="auto"/>
                <w:sz w:val="21"/>
                <w:szCs w:val="21"/>
              </w:rPr>
            </w:pPr>
            <w:r>
              <w:rPr>
                <w:rFonts w:hint="eastAsia"/>
                <w:color w:val="auto"/>
                <w:sz w:val="21"/>
                <w:szCs w:val="21"/>
              </w:rPr>
              <w:t>0.5</w:t>
            </w:r>
          </w:p>
        </w:tc>
      </w:tr>
    </w:tbl>
    <w:p>
      <w:pPr>
        <w:spacing w:line="360" w:lineRule="auto"/>
        <w:ind w:firstLine="480" w:firstLineChars="200"/>
        <w:jc w:val="left"/>
        <w:rPr>
          <w:color w:val="auto"/>
          <w:sz w:val="24"/>
          <w:szCs w:val="24"/>
        </w:rPr>
      </w:pPr>
      <w:r>
        <w:rPr>
          <w:rFonts w:hint="eastAsia"/>
          <w:color w:val="auto"/>
          <w:sz w:val="24"/>
          <w:szCs w:val="24"/>
        </w:rPr>
        <w:t>由预测结果可知，在正常工况下，项目尾水排放会造成大嵩河、梅江COD和氨氮有一定增值，但增值较小。到排污口下游323.73m时，大嵩河COD预测浓度为14.6822mg/L，氨氮预测浓度为0.8463mg/L，混合过程段结束断面水质即可满足《地表水环境质量标准》(GB3838-2002)Ⅲ类标准要求；梅江在大嵩河汇入处下游1120.87m时， COD预测浓度为11.9691mg/L，氨氮预测浓度为0.3869mg/L，混合过程段结束断面水质即可满足《地表水环境质量标准》(GB3838-2002)</w:t>
      </w:r>
      <w:r>
        <w:rPr>
          <w:rFonts w:hint="eastAsia"/>
          <w:color w:val="auto"/>
        </w:rPr>
        <w:t xml:space="preserve"> </w:t>
      </w:r>
      <w:r>
        <w:rPr>
          <w:rFonts w:hint="eastAsia"/>
          <w:color w:val="auto"/>
          <w:sz w:val="24"/>
          <w:szCs w:val="24"/>
        </w:rPr>
        <w:t>Ⅱ类标准要求。因此，项目尾水正常排放时，不会对大嵩河和梅江水体产生明显影响。</w:t>
      </w:r>
    </w:p>
    <w:p>
      <w:pPr>
        <w:spacing w:line="360" w:lineRule="auto"/>
        <w:ind w:firstLine="482" w:firstLineChars="200"/>
        <w:jc w:val="left"/>
        <w:rPr>
          <w:b/>
          <w:color w:val="auto"/>
          <w:sz w:val="24"/>
          <w:szCs w:val="24"/>
        </w:rPr>
      </w:pPr>
      <w:r>
        <w:rPr>
          <w:rFonts w:hint="eastAsia"/>
          <w:b/>
          <w:color w:val="auto"/>
          <w:sz w:val="24"/>
          <w:szCs w:val="24"/>
        </w:rPr>
        <w:t>2、事故排放工况</w:t>
      </w:r>
    </w:p>
    <w:p>
      <w:pPr>
        <w:spacing w:line="360" w:lineRule="auto"/>
        <w:ind w:firstLine="480" w:firstLineChars="200"/>
        <w:jc w:val="left"/>
        <w:rPr>
          <w:color w:val="auto"/>
          <w:sz w:val="24"/>
          <w:szCs w:val="24"/>
        </w:rPr>
      </w:pPr>
      <w:r>
        <w:rPr>
          <w:rFonts w:hint="eastAsia"/>
          <w:color w:val="auto"/>
          <w:sz w:val="24"/>
          <w:szCs w:val="24"/>
        </w:rPr>
        <w:t>项目事故排放时，尾水</w:t>
      </w:r>
      <w:r>
        <w:rPr>
          <w:color w:val="auto"/>
          <w:sz w:val="24"/>
          <w:szCs w:val="24"/>
        </w:rPr>
        <w:t>COD、NH</w:t>
      </w:r>
      <w:r>
        <w:rPr>
          <w:color w:val="auto"/>
          <w:sz w:val="24"/>
          <w:szCs w:val="24"/>
          <w:vertAlign w:val="subscript"/>
        </w:rPr>
        <w:t>3</w:t>
      </w:r>
      <w:r>
        <w:rPr>
          <w:color w:val="auto"/>
          <w:sz w:val="24"/>
          <w:szCs w:val="24"/>
        </w:rPr>
        <w:t>-N</w:t>
      </w:r>
      <w:r>
        <w:rPr>
          <w:rFonts w:hint="eastAsia"/>
          <w:color w:val="auto"/>
          <w:sz w:val="24"/>
          <w:szCs w:val="24"/>
        </w:rPr>
        <w:t>对大嵩河及梅江</w:t>
      </w:r>
      <w:r>
        <w:rPr>
          <w:color w:val="auto"/>
          <w:sz w:val="24"/>
          <w:szCs w:val="24"/>
        </w:rPr>
        <w:t>浓度预测结果见</w:t>
      </w:r>
      <w:r>
        <w:rPr>
          <w:rFonts w:hint="eastAsia"/>
          <w:color w:val="auto"/>
          <w:sz w:val="24"/>
          <w:szCs w:val="24"/>
        </w:rPr>
        <w:t>下</w:t>
      </w:r>
      <w:r>
        <w:rPr>
          <w:color w:val="auto"/>
          <w:sz w:val="24"/>
          <w:szCs w:val="24"/>
        </w:rPr>
        <w:t>表</w:t>
      </w:r>
      <w:r>
        <w:rPr>
          <w:rFonts w:hint="eastAsia"/>
          <w:color w:val="auto"/>
          <w:sz w:val="24"/>
          <w:szCs w:val="24"/>
        </w:rPr>
        <w:t>。</w:t>
      </w:r>
    </w:p>
    <w:p>
      <w:pPr>
        <w:spacing w:line="360" w:lineRule="auto"/>
        <w:jc w:val="center"/>
        <w:rPr>
          <w:color w:val="auto"/>
          <w:sz w:val="24"/>
          <w:szCs w:val="24"/>
        </w:rPr>
      </w:pPr>
      <w:r>
        <w:rPr>
          <w:rFonts w:hint="eastAsia" w:hAnsi="宋体"/>
          <w:b/>
          <w:color w:val="auto"/>
          <w:sz w:val="24"/>
          <w:szCs w:val="24"/>
        </w:rPr>
        <w:t>表5-2-18</w:t>
      </w:r>
      <w:r>
        <w:rPr>
          <w:b/>
          <w:color w:val="auto"/>
          <w:sz w:val="24"/>
          <w:szCs w:val="24"/>
        </w:rPr>
        <w:t xml:space="preserve">   </w:t>
      </w:r>
      <w:r>
        <w:rPr>
          <w:rFonts w:hAnsi="宋体"/>
          <w:b/>
          <w:color w:val="auto"/>
          <w:sz w:val="24"/>
          <w:szCs w:val="24"/>
        </w:rPr>
        <w:t>项目尾水</w:t>
      </w:r>
      <w:r>
        <w:rPr>
          <w:rFonts w:hint="eastAsia" w:hAnsi="宋体"/>
          <w:b/>
          <w:color w:val="auto"/>
          <w:sz w:val="24"/>
          <w:szCs w:val="24"/>
        </w:rPr>
        <w:t>事故</w:t>
      </w:r>
      <w:r>
        <w:rPr>
          <w:rFonts w:hAnsi="宋体"/>
          <w:b/>
          <w:color w:val="auto"/>
          <w:sz w:val="24"/>
          <w:szCs w:val="24"/>
        </w:rPr>
        <w:t>排放预测结果表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116"/>
        <w:gridCol w:w="2267"/>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b/>
                <w:color w:val="auto"/>
                <w:sz w:val="21"/>
                <w:szCs w:val="21"/>
              </w:rPr>
            </w:pPr>
            <w:r>
              <w:rPr>
                <w:rFonts w:hAnsi="宋体"/>
                <w:b/>
                <w:color w:val="auto"/>
                <w:sz w:val="21"/>
                <w:szCs w:val="21"/>
              </w:rPr>
              <w:t>河段</w:t>
            </w:r>
          </w:p>
        </w:tc>
        <w:tc>
          <w:tcPr>
            <w:tcW w:w="3116" w:type="dxa"/>
            <w:vAlign w:val="center"/>
          </w:tcPr>
          <w:p>
            <w:pPr>
              <w:jc w:val="center"/>
              <w:rPr>
                <w:b/>
                <w:color w:val="auto"/>
                <w:sz w:val="21"/>
                <w:szCs w:val="21"/>
              </w:rPr>
            </w:pPr>
            <w:r>
              <w:rPr>
                <w:b/>
                <w:color w:val="auto"/>
                <w:sz w:val="21"/>
                <w:szCs w:val="21"/>
              </w:rPr>
              <w:t>x</w:t>
            </w:r>
            <w:r>
              <w:rPr>
                <w:rFonts w:hAnsi="宋体"/>
                <w:b/>
                <w:color w:val="auto"/>
                <w:sz w:val="21"/>
                <w:szCs w:val="21"/>
              </w:rPr>
              <w:t>（</w:t>
            </w:r>
            <w:r>
              <w:rPr>
                <w:b/>
                <w:color w:val="auto"/>
                <w:sz w:val="21"/>
                <w:szCs w:val="21"/>
              </w:rPr>
              <w:t>m</w:t>
            </w:r>
            <w:r>
              <w:rPr>
                <w:rFonts w:hAnsi="宋体"/>
                <w:b/>
                <w:color w:val="auto"/>
                <w:sz w:val="21"/>
                <w:szCs w:val="21"/>
              </w:rPr>
              <w:t>）</w:t>
            </w:r>
          </w:p>
        </w:tc>
        <w:tc>
          <w:tcPr>
            <w:tcW w:w="2267" w:type="dxa"/>
            <w:vAlign w:val="center"/>
          </w:tcPr>
          <w:p>
            <w:pPr>
              <w:jc w:val="center"/>
              <w:rPr>
                <w:b/>
                <w:color w:val="auto"/>
                <w:sz w:val="21"/>
                <w:szCs w:val="21"/>
              </w:rPr>
            </w:pPr>
            <w:r>
              <w:rPr>
                <w:b/>
                <w:color w:val="auto"/>
                <w:sz w:val="21"/>
                <w:szCs w:val="21"/>
              </w:rPr>
              <w:t>COD</w:t>
            </w:r>
            <w:r>
              <w:rPr>
                <w:rFonts w:hAnsi="宋体"/>
                <w:b/>
                <w:color w:val="auto"/>
                <w:sz w:val="21"/>
                <w:szCs w:val="21"/>
              </w:rPr>
              <w:t>预测浓度（</w:t>
            </w:r>
            <w:r>
              <w:rPr>
                <w:b/>
                <w:color w:val="auto"/>
                <w:sz w:val="21"/>
                <w:szCs w:val="21"/>
              </w:rPr>
              <w:t>mg/L</w:t>
            </w:r>
            <w:r>
              <w:rPr>
                <w:rFonts w:hAnsi="宋体"/>
                <w:b/>
                <w:color w:val="auto"/>
                <w:sz w:val="21"/>
                <w:szCs w:val="21"/>
              </w:rPr>
              <w:t>）</w:t>
            </w:r>
          </w:p>
        </w:tc>
        <w:tc>
          <w:tcPr>
            <w:tcW w:w="2464" w:type="dxa"/>
            <w:vAlign w:val="center"/>
          </w:tcPr>
          <w:p>
            <w:pPr>
              <w:jc w:val="center"/>
              <w:rPr>
                <w:b/>
                <w:color w:val="auto"/>
                <w:sz w:val="21"/>
                <w:szCs w:val="21"/>
              </w:rPr>
            </w:pPr>
            <w:r>
              <w:rPr>
                <w:b/>
                <w:color w:val="auto"/>
                <w:sz w:val="21"/>
                <w:szCs w:val="21"/>
              </w:rPr>
              <w:t>NH</w:t>
            </w:r>
            <w:r>
              <w:rPr>
                <w:b/>
                <w:color w:val="auto"/>
                <w:sz w:val="21"/>
                <w:szCs w:val="21"/>
                <w:vertAlign w:val="subscript"/>
              </w:rPr>
              <w:t>3</w:t>
            </w:r>
            <w:r>
              <w:rPr>
                <w:b/>
                <w:color w:val="auto"/>
                <w:sz w:val="21"/>
                <w:szCs w:val="21"/>
              </w:rPr>
              <w:t>-N</w:t>
            </w:r>
            <w:r>
              <w:rPr>
                <w:rFonts w:hAnsi="宋体"/>
                <w:b/>
                <w:color w:val="auto"/>
                <w:sz w:val="21"/>
                <w:szCs w:val="21"/>
              </w:rPr>
              <w:t>预测浓度（</w:t>
            </w:r>
            <w:r>
              <w:rPr>
                <w:b/>
                <w:color w:val="auto"/>
                <w:sz w:val="21"/>
                <w:szCs w:val="21"/>
              </w:rPr>
              <w:t>mg/L</w:t>
            </w:r>
            <w:r>
              <w:rPr>
                <w:rFonts w:hAnsi="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jc w:val="center"/>
              <w:rPr>
                <w:color w:val="auto"/>
                <w:sz w:val="21"/>
                <w:szCs w:val="21"/>
              </w:rPr>
            </w:pPr>
            <w:r>
              <w:rPr>
                <w:rFonts w:hAnsi="宋体"/>
                <w:color w:val="auto"/>
                <w:sz w:val="21"/>
                <w:szCs w:val="21"/>
              </w:rPr>
              <w:t>大嵩河</w:t>
            </w:r>
          </w:p>
        </w:tc>
        <w:tc>
          <w:tcPr>
            <w:tcW w:w="3116" w:type="dxa"/>
            <w:vAlign w:val="center"/>
          </w:tcPr>
          <w:p>
            <w:pPr>
              <w:adjustRightInd w:val="0"/>
              <w:snapToGrid w:val="0"/>
              <w:jc w:val="center"/>
              <w:rPr>
                <w:color w:val="auto"/>
                <w:sz w:val="21"/>
                <w:szCs w:val="21"/>
              </w:rPr>
            </w:pPr>
            <w:r>
              <w:rPr>
                <w:color w:val="auto"/>
                <w:sz w:val="21"/>
                <w:szCs w:val="21"/>
              </w:rPr>
              <w:t>0（背景浓度）</w:t>
            </w:r>
          </w:p>
        </w:tc>
        <w:tc>
          <w:tcPr>
            <w:tcW w:w="2267" w:type="dxa"/>
            <w:vAlign w:val="center"/>
          </w:tcPr>
          <w:p>
            <w:pPr>
              <w:adjustRightInd w:val="0"/>
              <w:snapToGrid w:val="0"/>
              <w:jc w:val="center"/>
              <w:rPr>
                <w:color w:val="auto"/>
                <w:sz w:val="21"/>
                <w:szCs w:val="21"/>
              </w:rPr>
            </w:pPr>
            <w:r>
              <w:rPr>
                <w:color w:val="auto"/>
                <w:sz w:val="21"/>
                <w:szCs w:val="21"/>
              </w:rPr>
              <w:t>13.667</w:t>
            </w:r>
          </w:p>
        </w:tc>
        <w:tc>
          <w:tcPr>
            <w:tcW w:w="2464" w:type="dxa"/>
            <w:vAlign w:val="center"/>
          </w:tcPr>
          <w:p>
            <w:pPr>
              <w:adjustRightInd w:val="0"/>
              <w:snapToGrid w:val="0"/>
              <w:jc w:val="center"/>
              <w:rPr>
                <w:color w:val="auto"/>
                <w:sz w:val="21"/>
                <w:szCs w:val="21"/>
              </w:rPr>
            </w:pPr>
            <w:r>
              <w:rPr>
                <w:color w:val="auto"/>
                <w:sz w:val="21"/>
                <w:szCs w:val="21"/>
              </w:rPr>
              <w:t>0.803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323.73（混合过程段结束断面）</w:t>
            </w:r>
          </w:p>
        </w:tc>
        <w:tc>
          <w:tcPr>
            <w:tcW w:w="2267" w:type="dxa"/>
            <w:vAlign w:val="center"/>
          </w:tcPr>
          <w:p>
            <w:pPr>
              <w:adjustRightInd w:val="0"/>
              <w:snapToGrid w:val="0"/>
              <w:jc w:val="center"/>
              <w:rPr>
                <w:color w:val="auto"/>
                <w:sz w:val="21"/>
                <w:szCs w:val="21"/>
              </w:rPr>
            </w:pPr>
            <w:r>
              <w:rPr>
                <w:color w:val="auto"/>
                <w:sz w:val="21"/>
                <w:szCs w:val="21"/>
              </w:rPr>
              <w:t xml:space="preserve">43.8944 </w:t>
            </w:r>
          </w:p>
        </w:tc>
        <w:tc>
          <w:tcPr>
            <w:tcW w:w="2464" w:type="dxa"/>
            <w:vAlign w:val="center"/>
          </w:tcPr>
          <w:p>
            <w:pPr>
              <w:adjustRightInd w:val="0"/>
              <w:snapToGrid w:val="0"/>
              <w:jc w:val="center"/>
              <w:rPr>
                <w:color w:val="auto"/>
                <w:sz w:val="21"/>
                <w:szCs w:val="21"/>
              </w:rPr>
            </w:pPr>
            <w:r>
              <w:rPr>
                <w:color w:val="auto"/>
                <w:sz w:val="21"/>
                <w:szCs w:val="21"/>
              </w:rPr>
              <w:t xml:space="preserve">3.2392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1500</w:t>
            </w:r>
          </w:p>
        </w:tc>
        <w:tc>
          <w:tcPr>
            <w:tcW w:w="2267" w:type="dxa"/>
            <w:vAlign w:val="center"/>
          </w:tcPr>
          <w:p>
            <w:pPr>
              <w:adjustRightInd w:val="0"/>
              <w:snapToGrid w:val="0"/>
              <w:jc w:val="center"/>
              <w:rPr>
                <w:color w:val="auto"/>
                <w:sz w:val="21"/>
                <w:szCs w:val="21"/>
              </w:rPr>
            </w:pPr>
            <w:r>
              <w:rPr>
                <w:color w:val="auto"/>
                <w:sz w:val="21"/>
                <w:szCs w:val="21"/>
              </w:rPr>
              <w:t xml:space="preserve">43.5777 </w:t>
            </w:r>
          </w:p>
        </w:tc>
        <w:tc>
          <w:tcPr>
            <w:tcW w:w="2464" w:type="dxa"/>
            <w:vAlign w:val="center"/>
          </w:tcPr>
          <w:p>
            <w:pPr>
              <w:adjustRightInd w:val="0"/>
              <w:snapToGrid w:val="0"/>
              <w:jc w:val="center"/>
              <w:rPr>
                <w:color w:val="auto"/>
                <w:sz w:val="21"/>
                <w:szCs w:val="21"/>
              </w:rPr>
            </w:pPr>
            <w:r>
              <w:rPr>
                <w:color w:val="auto"/>
                <w:sz w:val="21"/>
                <w:szCs w:val="21"/>
              </w:rPr>
              <w:t xml:space="preserve">3.2275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2000（污染物排放量核算断面）</w:t>
            </w:r>
          </w:p>
        </w:tc>
        <w:tc>
          <w:tcPr>
            <w:tcW w:w="2267" w:type="dxa"/>
            <w:vAlign w:val="center"/>
          </w:tcPr>
          <w:p>
            <w:pPr>
              <w:adjustRightInd w:val="0"/>
              <w:snapToGrid w:val="0"/>
              <w:jc w:val="center"/>
              <w:rPr>
                <w:color w:val="auto"/>
                <w:sz w:val="21"/>
                <w:szCs w:val="21"/>
              </w:rPr>
            </w:pPr>
            <w:r>
              <w:rPr>
                <w:color w:val="auto"/>
                <w:sz w:val="21"/>
                <w:szCs w:val="21"/>
              </w:rPr>
              <w:t xml:space="preserve">43.4437 </w:t>
            </w:r>
          </w:p>
        </w:tc>
        <w:tc>
          <w:tcPr>
            <w:tcW w:w="2464" w:type="dxa"/>
            <w:vAlign w:val="center"/>
          </w:tcPr>
          <w:p>
            <w:pPr>
              <w:adjustRightInd w:val="0"/>
              <w:snapToGrid w:val="0"/>
              <w:jc w:val="center"/>
              <w:rPr>
                <w:color w:val="auto"/>
                <w:sz w:val="21"/>
                <w:szCs w:val="21"/>
              </w:rPr>
            </w:pPr>
            <w:r>
              <w:rPr>
                <w:color w:val="auto"/>
                <w:sz w:val="21"/>
                <w:szCs w:val="21"/>
              </w:rPr>
              <w:t xml:space="preserve">3.2226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2500</w:t>
            </w:r>
          </w:p>
        </w:tc>
        <w:tc>
          <w:tcPr>
            <w:tcW w:w="2267" w:type="dxa"/>
            <w:vAlign w:val="center"/>
          </w:tcPr>
          <w:p>
            <w:pPr>
              <w:adjustRightInd w:val="0"/>
              <w:snapToGrid w:val="0"/>
              <w:jc w:val="center"/>
              <w:rPr>
                <w:color w:val="auto"/>
                <w:sz w:val="21"/>
                <w:szCs w:val="21"/>
              </w:rPr>
            </w:pPr>
            <w:r>
              <w:rPr>
                <w:color w:val="auto"/>
                <w:sz w:val="21"/>
                <w:szCs w:val="21"/>
              </w:rPr>
              <w:t xml:space="preserve">43.3102 </w:t>
            </w:r>
          </w:p>
        </w:tc>
        <w:tc>
          <w:tcPr>
            <w:tcW w:w="2464" w:type="dxa"/>
            <w:vAlign w:val="center"/>
          </w:tcPr>
          <w:p>
            <w:pPr>
              <w:adjustRightInd w:val="0"/>
              <w:snapToGrid w:val="0"/>
              <w:jc w:val="center"/>
              <w:rPr>
                <w:color w:val="auto"/>
                <w:sz w:val="21"/>
                <w:szCs w:val="21"/>
              </w:rPr>
            </w:pPr>
            <w:r>
              <w:rPr>
                <w:color w:val="auto"/>
                <w:sz w:val="21"/>
                <w:szCs w:val="21"/>
              </w:rPr>
              <w:t xml:space="preserve">3.2176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3000</w:t>
            </w:r>
          </w:p>
        </w:tc>
        <w:tc>
          <w:tcPr>
            <w:tcW w:w="2267" w:type="dxa"/>
            <w:vAlign w:val="center"/>
          </w:tcPr>
          <w:p>
            <w:pPr>
              <w:adjustRightInd w:val="0"/>
              <w:snapToGrid w:val="0"/>
              <w:jc w:val="center"/>
              <w:rPr>
                <w:color w:val="auto"/>
                <w:sz w:val="21"/>
                <w:szCs w:val="21"/>
              </w:rPr>
            </w:pPr>
            <w:r>
              <w:rPr>
                <w:color w:val="auto"/>
                <w:sz w:val="21"/>
                <w:szCs w:val="21"/>
              </w:rPr>
              <w:t xml:space="preserve">43.1771 </w:t>
            </w:r>
          </w:p>
        </w:tc>
        <w:tc>
          <w:tcPr>
            <w:tcW w:w="2464" w:type="dxa"/>
            <w:vAlign w:val="center"/>
          </w:tcPr>
          <w:p>
            <w:pPr>
              <w:adjustRightInd w:val="0"/>
              <w:snapToGrid w:val="0"/>
              <w:jc w:val="center"/>
              <w:rPr>
                <w:color w:val="auto"/>
                <w:sz w:val="21"/>
                <w:szCs w:val="21"/>
              </w:rPr>
            </w:pPr>
            <w:r>
              <w:rPr>
                <w:color w:val="auto"/>
                <w:sz w:val="21"/>
                <w:szCs w:val="21"/>
              </w:rPr>
              <w:t xml:space="preserve">3.2127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3500</w:t>
            </w:r>
          </w:p>
        </w:tc>
        <w:tc>
          <w:tcPr>
            <w:tcW w:w="2267" w:type="dxa"/>
            <w:vAlign w:val="center"/>
          </w:tcPr>
          <w:p>
            <w:pPr>
              <w:adjustRightInd w:val="0"/>
              <w:snapToGrid w:val="0"/>
              <w:jc w:val="center"/>
              <w:rPr>
                <w:color w:val="auto"/>
                <w:sz w:val="21"/>
                <w:szCs w:val="21"/>
              </w:rPr>
            </w:pPr>
            <w:r>
              <w:rPr>
                <w:color w:val="auto"/>
                <w:sz w:val="21"/>
                <w:szCs w:val="21"/>
              </w:rPr>
              <w:t xml:space="preserve">43.0444 </w:t>
            </w:r>
          </w:p>
        </w:tc>
        <w:tc>
          <w:tcPr>
            <w:tcW w:w="2464" w:type="dxa"/>
            <w:vAlign w:val="center"/>
          </w:tcPr>
          <w:p>
            <w:pPr>
              <w:adjustRightInd w:val="0"/>
              <w:snapToGrid w:val="0"/>
              <w:jc w:val="center"/>
              <w:rPr>
                <w:color w:val="auto"/>
                <w:sz w:val="21"/>
                <w:szCs w:val="21"/>
              </w:rPr>
            </w:pPr>
            <w:r>
              <w:rPr>
                <w:color w:val="auto"/>
                <w:sz w:val="21"/>
                <w:szCs w:val="21"/>
              </w:rPr>
              <w:t xml:space="preserve">3.2077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4000</w:t>
            </w:r>
          </w:p>
        </w:tc>
        <w:tc>
          <w:tcPr>
            <w:tcW w:w="2267" w:type="dxa"/>
            <w:vAlign w:val="center"/>
          </w:tcPr>
          <w:p>
            <w:pPr>
              <w:adjustRightInd w:val="0"/>
              <w:snapToGrid w:val="0"/>
              <w:jc w:val="center"/>
              <w:rPr>
                <w:color w:val="auto"/>
                <w:sz w:val="21"/>
                <w:szCs w:val="21"/>
              </w:rPr>
            </w:pPr>
            <w:r>
              <w:rPr>
                <w:color w:val="auto"/>
                <w:sz w:val="21"/>
                <w:szCs w:val="21"/>
              </w:rPr>
              <w:t xml:space="preserve">42.9121 </w:t>
            </w:r>
          </w:p>
        </w:tc>
        <w:tc>
          <w:tcPr>
            <w:tcW w:w="2464" w:type="dxa"/>
            <w:vAlign w:val="center"/>
          </w:tcPr>
          <w:p>
            <w:pPr>
              <w:adjustRightInd w:val="0"/>
              <w:snapToGrid w:val="0"/>
              <w:jc w:val="center"/>
              <w:rPr>
                <w:color w:val="auto"/>
                <w:sz w:val="21"/>
                <w:szCs w:val="21"/>
              </w:rPr>
            </w:pPr>
            <w:r>
              <w:rPr>
                <w:color w:val="auto"/>
                <w:sz w:val="21"/>
                <w:szCs w:val="21"/>
              </w:rPr>
              <w:t xml:space="preserve">3.2028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4500</w:t>
            </w:r>
          </w:p>
        </w:tc>
        <w:tc>
          <w:tcPr>
            <w:tcW w:w="2267" w:type="dxa"/>
            <w:vAlign w:val="center"/>
          </w:tcPr>
          <w:p>
            <w:pPr>
              <w:adjustRightInd w:val="0"/>
              <w:snapToGrid w:val="0"/>
              <w:jc w:val="center"/>
              <w:rPr>
                <w:color w:val="auto"/>
                <w:sz w:val="21"/>
                <w:szCs w:val="21"/>
              </w:rPr>
            </w:pPr>
            <w:r>
              <w:rPr>
                <w:color w:val="auto"/>
                <w:sz w:val="21"/>
                <w:szCs w:val="21"/>
              </w:rPr>
              <w:t xml:space="preserve">42.7802 </w:t>
            </w:r>
          </w:p>
        </w:tc>
        <w:tc>
          <w:tcPr>
            <w:tcW w:w="2464" w:type="dxa"/>
            <w:vAlign w:val="center"/>
          </w:tcPr>
          <w:p>
            <w:pPr>
              <w:adjustRightInd w:val="0"/>
              <w:snapToGrid w:val="0"/>
              <w:jc w:val="center"/>
              <w:rPr>
                <w:color w:val="auto"/>
                <w:sz w:val="21"/>
                <w:szCs w:val="21"/>
              </w:rPr>
            </w:pPr>
            <w:r>
              <w:rPr>
                <w:color w:val="auto"/>
                <w:sz w:val="21"/>
                <w:szCs w:val="21"/>
              </w:rPr>
              <w:t xml:space="preserve">3.1979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color w:val="auto"/>
                <w:sz w:val="21"/>
                <w:szCs w:val="21"/>
              </w:rPr>
              <w:t>4800（汇入梅江前断面）</w:t>
            </w:r>
          </w:p>
        </w:tc>
        <w:tc>
          <w:tcPr>
            <w:tcW w:w="2267" w:type="dxa"/>
            <w:vAlign w:val="center"/>
          </w:tcPr>
          <w:p>
            <w:pPr>
              <w:adjustRightInd w:val="0"/>
              <w:snapToGrid w:val="0"/>
              <w:jc w:val="center"/>
              <w:rPr>
                <w:color w:val="auto"/>
                <w:sz w:val="21"/>
                <w:szCs w:val="21"/>
              </w:rPr>
            </w:pPr>
            <w:r>
              <w:rPr>
                <w:color w:val="auto"/>
                <w:sz w:val="21"/>
                <w:szCs w:val="21"/>
              </w:rPr>
              <w:t xml:space="preserve">42.7013 </w:t>
            </w:r>
          </w:p>
        </w:tc>
        <w:tc>
          <w:tcPr>
            <w:tcW w:w="2464" w:type="dxa"/>
            <w:vAlign w:val="center"/>
          </w:tcPr>
          <w:p>
            <w:pPr>
              <w:adjustRightInd w:val="0"/>
              <w:snapToGrid w:val="0"/>
              <w:jc w:val="center"/>
              <w:rPr>
                <w:color w:val="auto"/>
                <w:sz w:val="21"/>
                <w:szCs w:val="21"/>
              </w:rPr>
            </w:pPr>
            <w:r>
              <w:rPr>
                <w:color w:val="auto"/>
                <w:sz w:val="21"/>
                <w:szCs w:val="21"/>
              </w:rPr>
              <w:t xml:space="preserve">3.1949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1" w:type="dxa"/>
            <w:gridSpan w:val="2"/>
            <w:vAlign w:val="center"/>
          </w:tcPr>
          <w:p>
            <w:pPr>
              <w:adjustRightInd w:val="0"/>
              <w:snapToGrid w:val="0"/>
              <w:jc w:val="center"/>
              <w:rPr>
                <w:color w:val="auto"/>
                <w:sz w:val="21"/>
                <w:szCs w:val="21"/>
              </w:rPr>
            </w:pPr>
            <w:r>
              <w:rPr>
                <w:rFonts w:hint="eastAsia"/>
                <w:color w:val="auto"/>
                <w:sz w:val="21"/>
                <w:szCs w:val="21"/>
              </w:rPr>
              <w:t>标准</w:t>
            </w:r>
          </w:p>
        </w:tc>
        <w:tc>
          <w:tcPr>
            <w:tcW w:w="2267" w:type="dxa"/>
            <w:vAlign w:val="center"/>
          </w:tcPr>
          <w:p>
            <w:pPr>
              <w:adjustRightInd w:val="0"/>
              <w:snapToGrid w:val="0"/>
              <w:jc w:val="center"/>
              <w:rPr>
                <w:color w:val="auto"/>
                <w:sz w:val="21"/>
                <w:szCs w:val="21"/>
              </w:rPr>
            </w:pPr>
            <w:r>
              <w:rPr>
                <w:rFonts w:hint="eastAsia"/>
                <w:color w:val="auto"/>
                <w:sz w:val="21"/>
                <w:szCs w:val="21"/>
              </w:rPr>
              <w:t>20</w:t>
            </w:r>
          </w:p>
        </w:tc>
        <w:tc>
          <w:tcPr>
            <w:tcW w:w="2464" w:type="dxa"/>
            <w:vAlign w:val="center"/>
          </w:tcPr>
          <w:p>
            <w:pPr>
              <w:adjustRightInd w:val="0"/>
              <w:snapToGrid w:val="0"/>
              <w:jc w:val="center"/>
              <w:rPr>
                <w:color w:val="auto"/>
                <w:sz w:val="21"/>
                <w:szCs w:val="21"/>
              </w:rPr>
            </w:pPr>
            <w:r>
              <w:rPr>
                <w:rFonts w:hint="eastAsia"/>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jc w:val="center"/>
              <w:rPr>
                <w:color w:val="auto"/>
                <w:sz w:val="21"/>
                <w:szCs w:val="21"/>
              </w:rPr>
            </w:pPr>
            <w:r>
              <w:rPr>
                <w:rFonts w:hint="eastAsia"/>
                <w:color w:val="auto"/>
                <w:sz w:val="21"/>
                <w:szCs w:val="21"/>
              </w:rPr>
              <w:t>梅江</w:t>
            </w:r>
          </w:p>
        </w:tc>
        <w:tc>
          <w:tcPr>
            <w:tcW w:w="3116" w:type="dxa"/>
            <w:vAlign w:val="center"/>
          </w:tcPr>
          <w:p>
            <w:pPr>
              <w:adjustRightInd w:val="0"/>
              <w:snapToGrid w:val="0"/>
              <w:jc w:val="center"/>
              <w:rPr>
                <w:color w:val="auto"/>
                <w:sz w:val="21"/>
                <w:szCs w:val="21"/>
              </w:rPr>
            </w:pPr>
            <w:r>
              <w:rPr>
                <w:rFonts w:hint="eastAsia"/>
                <w:color w:val="auto"/>
                <w:sz w:val="21"/>
                <w:szCs w:val="21"/>
              </w:rPr>
              <w:t>0（背景浓度）</w:t>
            </w:r>
          </w:p>
        </w:tc>
        <w:tc>
          <w:tcPr>
            <w:tcW w:w="2267" w:type="dxa"/>
            <w:vAlign w:val="center"/>
          </w:tcPr>
          <w:p>
            <w:pPr>
              <w:adjustRightInd w:val="0"/>
              <w:snapToGrid w:val="0"/>
              <w:jc w:val="center"/>
              <w:rPr>
                <w:color w:val="auto"/>
                <w:sz w:val="21"/>
                <w:szCs w:val="21"/>
              </w:rPr>
            </w:pPr>
            <w:r>
              <w:rPr>
                <w:rFonts w:hint="eastAsia"/>
                <w:color w:val="auto"/>
                <w:sz w:val="21"/>
                <w:szCs w:val="21"/>
              </w:rPr>
              <w:t>11.83</w:t>
            </w:r>
          </w:p>
        </w:tc>
        <w:tc>
          <w:tcPr>
            <w:tcW w:w="2464" w:type="dxa"/>
            <w:vAlign w:val="center"/>
          </w:tcPr>
          <w:p>
            <w:pPr>
              <w:adjustRightInd w:val="0"/>
              <w:snapToGrid w:val="0"/>
              <w:jc w:val="center"/>
              <w:rPr>
                <w:color w:val="auto"/>
                <w:sz w:val="21"/>
                <w:szCs w:val="21"/>
              </w:rPr>
            </w:pPr>
            <w:r>
              <w:rPr>
                <w:rFonts w:hint="eastAsia"/>
                <w:color w:val="auto"/>
                <w:sz w:val="21"/>
                <w:szCs w:val="21"/>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3116" w:type="dxa"/>
            <w:vAlign w:val="center"/>
          </w:tcPr>
          <w:p>
            <w:pPr>
              <w:adjustRightInd w:val="0"/>
              <w:snapToGrid w:val="0"/>
              <w:jc w:val="center"/>
              <w:rPr>
                <w:color w:val="auto"/>
                <w:sz w:val="21"/>
                <w:szCs w:val="21"/>
              </w:rPr>
            </w:pPr>
            <w:r>
              <w:rPr>
                <w:rFonts w:hint="eastAsia"/>
                <w:color w:val="auto"/>
                <w:sz w:val="21"/>
                <w:szCs w:val="21"/>
              </w:rPr>
              <w:t>1120.87（</w:t>
            </w:r>
            <w:r>
              <w:rPr>
                <w:color w:val="auto"/>
                <w:sz w:val="21"/>
                <w:szCs w:val="21"/>
              </w:rPr>
              <w:t>混合过程段结束断面</w:t>
            </w:r>
            <w:r>
              <w:rPr>
                <w:rFonts w:hint="eastAsia"/>
                <w:color w:val="auto"/>
                <w:sz w:val="21"/>
                <w:szCs w:val="21"/>
              </w:rPr>
              <w:t>）</w:t>
            </w:r>
          </w:p>
        </w:tc>
        <w:tc>
          <w:tcPr>
            <w:tcW w:w="2267" w:type="dxa"/>
            <w:vAlign w:val="center"/>
          </w:tcPr>
          <w:p>
            <w:pPr>
              <w:adjustRightInd w:val="0"/>
              <w:snapToGrid w:val="0"/>
              <w:jc w:val="center"/>
              <w:rPr>
                <w:color w:val="auto"/>
                <w:sz w:val="21"/>
                <w:szCs w:val="21"/>
              </w:rPr>
            </w:pPr>
            <w:r>
              <w:rPr>
                <w:rFonts w:hint="eastAsia"/>
                <w:color w:val="auto"/>
                <w:sz w:val="21"/>
                <w:szCs w:val="21"/>
              </w:rPr>
              <w:t>39.5077</w:t>
            </w:r>
          </w:p>
        </w:tc>
        <w:tc>
          <w:tcPr>
            <w:tcW w:w="2464" w:type="dxa"/>
            <w:vAlign w:val="center"/>
          </w:tcPr>
          <w:p>
            <w:pPr>
              <w:adjustRightInd w:val="0"/>
              <w:snapToGrid w:val="0"/>
              <w:jc w:val="center"/>
              <w:rPr>
                <w:color w:val="auto"/>
                <w:sz w:val="21"/>
                <w:szCs w:val="21"/>
              </w:rPr>
            </w:pPr>
            <w:r>
              <w:rPr>
                <w:rFonts w:hint="eastAsia"/>
                <w:color w:val="auto"/>
                <w:sz w:val="21"/>
                <w:szCs w:val="21"/>
              </w:rPr>
              <w:t>2.5697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1" w:type="dxa"/>
            <w:gridSpan w:val="2"/>
            <w:vAlign w:val="center"/>
          </w:tcPr>
          <w:p>
            <w:pPr>
              <w:jc w:val="center"/>
              <w:rPr>
                <w:color w:val="auto"/>
                <w:sz w:val="21"/>
                <w:szCs w:val="21"/>
              </w:rPr>
            </w:pPr>
            <w:r>
              <w:rPr>
                <w:rFonts w:hAnsi="宋体"/>
                <w:color w:val="auto"/>
                <w:sz w:val="21"/>
                <w:szCs w:val="21"/>
              </w:rPr>
              <w:t>标准</w:t>
            </w:r>
          </w:p>
        </w:tc>
        <w:tc>
          <w:tcPr>
            <w:tcW w:w="2267" w:type="dxa"/>
            <w:vAlign w:val="center"/>
          </w:tcPr>
          <w:p>
            <w:pPr>
              <w:jc w:val="center"/>
              <w:rPr>
                <w:color w:val="auto"/>
                <w:sz w:val="21"/>
                <w:szCs w:val="21"/>
              </w:rPr>
            </w:pPr>
            <w:r>
              <w:rPr>
                <w:rFonts w:hint="eastAsia"/>
                <w:color w:val="auto"/>
                <w:sz w:val="21"/>
                <w:szCs w:val="21"/>
              </w:rPr>
              <w:t>10</w:t>
            </w:r>
          </w:p>
        </w:tc>
        <w:tc>
          <w:tcPr>
            <w:tcW w:w="2464" w:type="dxa"/>
            <w:vAlign w:val="center"/>
          </w:tcPr>
          <w:p>
            <w:pPr>
              <w:jc w:val="center"/>
              <w:rPr>
                <w:color w:val="auto"/>
                <w:sz w:val="21"/>
                <w:szCs w:val="21"/>
              </w:rPr>
            </w:pPr>
            <w:r>
              <w:rPr>
                <w:rFonts w:hint="eastAsia"/>
                <w:color w:val="auto"/>
                <w:sz w:val="21"/>
                <w:szCs w:val="21"/>
              </w:rPr>
              <w:t>0.5</w:t>
            </w:r>
          </w:p>
        </w:tc>
      </w:tr>
    </w:tbl>
    <w:p>
      <w:pPr>
        <w:spacing w:line="360" w:lineRule="auto"/>
        <w:ind w:firstLine="480" w:firstLineChars="200"/>
        <w:jc w:val="left"/>
        <w:rPr>
          <w:color w:val="auto"/>
          <w:sz w:val="24"/>
          <w:szCs w:val="24"/>
        </w:rPr>
      </w:pPr>
      <w:r>
        <w:rPr>
          <w:rFonts w:hint="eastAsia"/>
          <w:color w:val="auto"/>
          <w:sz w:val="24"/>
          <w:szCs w:val="24"/>
        </w:rPr>
        <w:t>由预测</w:t>
      </w:r>
      <w:r>
        <w:rPr>
          <w:color w:val="auto"/>
          <w:sz w:val="24"/>
          <w:szCs w:val="24"/>
        </w:rPr>
        <w:t>结果可知，在非正常工况下，项目污水排放会造成</w:t>
      </w:r>
      <w:r>
        <w:rPr>
          <w:rFonts w:hint="eastAsia"/>
          <w:color w:val="auto"/>
          <w:sz w:val="24"/>
          <w:szCs w:val="24"/>
        </w:rPr>
        <w:t>大嵩河、梅江</w:t>
      </w:r>
      <w:r>
        <w:rPr>
          <w:color w:val="auto"/>
          <w:sz w:val="24"/>
          <w:szCs w:val="24"/>
        </w:rPr>
        <w:t>COD和氨氮污染物浓度增值较大。到排污口下游</w:t>
      </w:r>
      <w:r>
        <w:rPr>
          <w:rFonts w:hint="eastAsia"/>
          <w:color w:val="auto"/>
          <w:sz w:val="24"/>
          <w:szCs w:val="24"/>
        </w:rPr>
        <w:t>4800</w:t>
      </w:r>
      <w:r>
        <w:rPr>
          <w:color w:val="auto"/>
          <w:sz w:val="24"/>
          <w:szCs w:val="24"/>
        </w:rPr>
        <w:t>m时，COD</w:t>
      </w:r>
      <w:r>
        <w:rPr>
          <w:rFonts w:hint="eastAsia"/>
          <w:color w:val="auto"/>
          <w:sz w:val="24"/>
          <w:szCs w:val="24"/>
        </w:rPr>
        <w:t>预测浓度</w:t>
      </w:r>
      <w:r>
        <w:rPr>
          <w:color w:val="auto"/>
          <w:sz w:val="24"/>
          <w:szCs w:val="24"/>
        </w:rPr>
        <w:t>为</w:t>
      </w:r>
      <w:r>
        <w:rPr>
          <w:rFonts w:hint="eastAsia"/>
          <w:color w:val="auto"/>
          <w:sz w:val="24"/>
          <w:szCs w:val="24"/>
        </w:rPr>
        <w:t>42.7013</w:t>
      </w:r>
      <w:r>
        <w:rPr>
          <w:color w:val="auto"/>
          <w:sz w:val="24"/>
          <w:szCs w:val="24"/>
        </w:rPr>
        <w:t>mg/L，氨氮</w:t>
      </w:r>
      <w:r>
        <w:rPr>
          <w:rFonts w:hint="eastAsia"/>
          <w:color w:val="auto"/>
          <w:sz w:val="24"/>
          <w:szCs w:val="24"/>
        </w:rPr>
        <w:t>预测浓度</w:t>
      </w:r>
      <w:r>
        <w:rPr>
          <w:color w:val="auto"/>
          <w:sz w:val="24"/>
          <w:szCs w:val="24"/>
        </w:rPr>
        <w:t>为</w:t>
      </w:r>
      <w:r>
        <w:rPr>
          <w:rFonts w:hint="eastAsia"/>
          <w:color w:val="auto"/>
          <w:sz w:val="24"/>
          <w:szCs w:val="24"/>
        </w:rPr>
        <w:t>3.1949</w:t>
      </w:r>
      <w:r>
        <w:rPr>
          <w:color w:val="auto"/>
          <w:sz w:val="24"/>
          <w:szCs w:val="24"/>
        </w:rPr>
        <w:t>mg/L，</w:t>
      </w:r>
      <w:r>
        <w:rPr>
          <w:rFonts w:hint="eastAsia"/>
          <w:color w:val="auto"/>
          <w:sz w:val="24"/>
          <w:szCs w:val="24"/>
        </w:rPr>
        <w:t>汇入梅江前断面水质</w:t>
      </w:r>
      <w:r>
        <w:rPr>
          <w:color w:val="auto"/>
          <w:sz w:val="24"/>
          <w:szCs w:val="24"/>
        </w:rPr>
        <w:t>超出</w:t>
      </w:r>
      <w:r>
        <w:rPr>
          <w:rFonts w:hint="eastAsia"/>
          <w:color w:val="auto"/>
          <w:sz w:val="24"/>
          <w:szCs w:val="24"/>
        </w:rPr>
        <w:t>《地表水环境质量标准》(GB3838-2002)</w:t>
      </w:r>
      <w:r>
        <w:rPr>
          <w:rFonts w:hint="eastAsia"/>
          <w:color w:val="auto"/>
        </w:rPr>
        <w:t xml:space="preserve"> </w:t>
      </w:r>
      <w:r>
        <w:rPr>
          <w:rFonts w:hint="eastAsia"/>
          <w:color w:val="auto"/>
          <w:sz w:val="24"/>
          <w:szCs w:val="24"/>
        </w:rPr>
        <w:t>Ⅲ类标准要求；梅江在大嵩河汇入处下游1120.87m时，COD预测浓度为39.5077mg/L，氨氮预测浓度为2.5697mg/L，混合过程段结束断面水质超出《地表水环境质量标准》(GB3838-2002)</w:t>
      </w:r>
      <w:r>
        <w:rPr>
          <w:rFonts w:hint="eastAsia"/>
          <w:color w:val="auto"/>
        </w:rPr>
        <w:t xml:space="preserve"> </w:t>
      </w:r>
      <w:r>
        <w:rPr>
          <w:rFonts w:hint="eastAsia"/>
          <w:color w:val="auto"/>
          <w:sz w:val="24"/>
          <w:szCs w:val="24"/>
        </w:rPr>
        <w:t>Ⅱ类标准要求。可见，本项目污水处理工程尾水在事故排放情况下，大嵩河和梅江水质会出现COD和氨氮超标现象。为此，本项目须采取相应的措施杜绝事故排放情况的发生。</w:t>
      </w:r>
    </w:p>
    <w:p>
      <w:pPr>
        <w:pStyle w:val="5"/>
        <w:rPr>
          <w:color w:val="auto"/>
        </w:rPr>
      </w:pPr>
      <w:r>
        <w:rPr>
          <w:rFonts w:hint="eastAsia"/>
          <w:color w:val="auto"/>
        </w:rPr>
        <w:t>5.2.2.7废水污染物排放量核算</w:t>
      </w:r>
    </w:p>
    <w:p>
      <w:pPr>
        <w:spacing w:line="360" w:lineRule="auto"/>
        <w:ind w:firstLine="480" w:firstLineChars="200"/>
        <w:jc w:val="left"/>
        <w:rPr>
          <w:color w:val="auto"/>
          <w:sz w:val="24"/>
          <w:szCs w:val="24"/>
        </w:rPr>
      </w:pPr>
      <w:r>
        <w:rPr>
          <w:rFonts w:hint="eastAsia"/>
          <w:color w:val="auto"/>
          <w:sz w:val="24"/>
          <w:szCs w:val="24"/>
        </w:rPr>
        <w:t>本项目受纳水体（大嵩河）为Ⅲ类水体，所以在污染源排放量核算的过程中，项目污染物排放量核算断面为排污口下游2km 处，需预留10%的安全余量，当排放口污染物进入受纳水体在断面混合不均匀时，应以污染源排放量核算断面污染物最大浓度作为评价依据。</w:t>
      </w:r>
    </w:p>
    <w:p>
      <w:pPr>
        <w:spacing w:line="360" w:lineRule="auto"/>
        <w:jc w:val="center"/>
        <w:rPr>
          <w:b/>
          <w:color w:val="auto"/>
          <w:sz w:val="24"/>
          <w:szCs w:val="24"/>
        </w:rPr>
      </w:pPr>
      <w:r>
        <w:rPr>
          <w:rFonts w:hint="eastAsia"/>
          <w:b/>
          <w:color w:val="auto"/>
          <w:sz w:val="24"/>
          <w:szCs w:val="24"/>
        </w:rPr>
        <w:t>表5-2-19   下游2km断面预测值与安全余量比较   单位：mg/L</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833"/>
        <w:gridCol w:w="1278"/>
        <w:gridCol w:w="1606"/>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0" w:type="dxa"/>
            <w:vAlign w:val="center"/>
          </w:tcPr>
          <w:p>
            <w:pPr>
              <w:jc w:val="center"/>
              <w:rPr>
                <w:b/>
                <w:color w:val="auto"/>
                <w:sz w:val="21"/>
                <w:szCs w:val="21"/>
              </w:rPr>
            </w:pPr>
            <w:r>
              <w:rPr>
                <w:rFonts w:hint="eastAsia"/>
                <w:b/>
                <w:color w:val="auto"/>
                <w:sz w:val="21"/>
                <w:szCs w:val="21"/>
              </w:rPr>
              <w:t>水质因子</w:t>
            </w:r>
          </w:p>
        </w:tc>
        <w:tc>
          <w:tcPr>
            <w:tcW w:w="2833" w:type="dxa"/>
            <w:vAlign w:val="center"/>
          </w:tcPr>
          <w:p>
            <w:pPr>
              <w:jc w:val="center"/>
              <w:rPr>
                <w:b/>
                <w:color w:val="auto"/>
                <w:sz w:val="21"/>
                <w:szCs w:val="21"/>
              </w:rPr>
            </w:pPr>
            <w:r>
              <w:rPr>
                <w:rFonts w:hint="eastAsia"/>
                <w:b/>
                <w:color w:val="auto"/>
                <w:sz w:val="21"/>
                <w:szCs w:val="21"/>
              </w:rPr>
              <w:t>断面污染物最大浓度预测值</w:t>
            </w:r>
          </w:p>
        </w:tc>
        <w:tc>
          <w:tcPr>
            <w:tcW w:w="1278" w:type="dxa"/>
            <w:vAlign w:val="center"/>
          </w:tcPr>
          <w:p>
            <w:pPr>
              <w:jc w:val="center"/>
              <w:rPr>
                <w:b/>
                <w:color w:val="auto"/>
                <w:sz w:val="21"/>
                <w:szCs w:val="21"/>
              </w:rPr>
            </w:pPr>
            <w:r>
              <w:rPr>
                <w:rFonts w:hint="eastAsia"/>
                <w:b/>
                <w:color w:val="auto"/>
                <w:sz w:val="21"/>
                <w:szCs w:val="21"/>
              </w:rPr>
              <w:t>标准限值</w:t>
            </w:r>
          </w:p>
        </w:tc>
        <w:tc>
          <w:tcPr>
            <w:tcW w:w="1606" w:type="dxa"/>
            <w:vAlign w:val="center"/>
          </w:tcPr>
          <w:p>
            <w:pPr>
              <w:jc w:val="center"/>
              <w:rPr>
                <w:b/>
                <w:color w:val="auto"/>
                <w:sz w:val="21"/>
                <w:szCs w:val="21"/>
              </w:rPr>
            </w:pPr>
            <w:r>
              <w:rPr>
                <w:rFonts w:hint="eastAsia"/>
                <w:b/>
                <w:color w:val="auto"/>
                <w:sz w:val="21"/>
                <w:szCs w:val="21"/>
              </w:rPr>
              <w:t>安全余量</w:t>
            </w:r>
          </w:p>
        </w:tc>
        <w:tc>
          <w:tcPr>
            <w:tcW w:w="1705" w:type="dxa"/>
            <w:vAlign w:val="center"/>
          </w:tcPr>
          <w:p>
            <w:pPr>
              <w:jc w:val="center"/>
              <w:rPr>
                <w:b/>
                <w:color w:val="auto"/>
                <w:sz w:val="21"/>
                <w:szCs w:val="21"/>
              </w:rPr>
            </w:pPr>
            <w:r>
              <w:rPr>
                <w:rFonts w:hint="eastAsia"/>
                <w:b/>
                <w:color w:val="auto"/>
                <w:sz w:val="21"/>
                <w:szCs w:val="21"/>
              </w:rPr>
              <w:t>是否满足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0" w:type="dxa"/>
            <w:vAlign w:val="center"/>
          </w:tcPr>
          <w:p>
            <w:pPr>
              <w:jc w:val="center"/>
              <w:rPr>
                <w:color w:val="auto"/>
                <w:sz w:val="21"/>
                <w:szCs w:val="21"/>
              </w:rPr>
            </w:pPr>
            <w:r>
              <w:rPr>
                <w:rFonts w:hint="eastAsia"/>
                <w:color w:val="auto"/>
                <w:sz w:val="21"/>
                <w:szCs w:val="21"/>
              </w:rPr>
              <w:t>COD</w:t>
            </w:r>
            <w:r>
              <w:rPr>
                <w:rFonts w:hint="eastAsia"/>
                <w:color w:val="auto"/>
                <w:sz w:val="21"/>
                <w:szCs w:val="21"/>
                <w:vertAlign w:val="subscript"/>
              </w:rPr>
              <w:t>Cr</w:t>
            </w:r>
          </w:p>
        </w:tc>
        <w:tc>
          <w:tcPr>
            <w:tcW w:w="2833" w:type="dxa"/>
            <w:vAlign w:val="center"/>
          </w:tcPr>
          <w:p>
            <w:pPr>
              <w:jc w:val="center"/>
              <w:rPr>
                <w:color w:val="auto"/>
                <w:sz w:val="21"/>
                <w:szCs w:val="21"/>
              </w:rPr>
            </w:pPr>
            <w:r>
              <w:rPr>
                <w:rFonts w:hint="eastAsia"/>
                <w:color w:val="auto"/>
                <w:sz w:val="21"/>
                <w:szCs w:val="21"/>
              </w:rPr>
              <w:t>14.5314</w:t>
            </w:r>
          </w:p>
        </w:tc>
        <w:tc>
          <w:tcPr>
            <w:tcW w:w="1278" w:type="dxa"/>
            <w:vAlign w:val="center"/>
          </w:tcPr>
          <w:p>
            <w:pPr>
              <w:jc w:val="center"/>
              <w:rPr>
                <w:color w:val="auto"/>
                <w:sz w:val="21"/>
                <w:szCs w:val="21"/>
              </w:rPr>
            </w:pPr>
            <w:r>
              <w:rPr>
                <w:color w:val="auto"/>
                <w:sz w:val="21"/>
                <w:szCs w:val="21"/>
              </w:rPr>
              <w:t>20</w:t>
            </w:r>
          </w:p>
        </w:tc>
        <w:tc>
          <w:tcPr>
            <w:tcW w:w="1606" w:type="dxa"/>
            <w:vAlign w:val="center"/>
          </w:tcPr>
          <w:p>
            <w:pPr>
              <w:adjustRightInd w:val="0"/>
              <w:snapToGrid w:val="0"/>
              <w:jc w:val="center"/>
              <w:rPr>
                <w:rFonts w:ascii="宋体" w:hAnsi="宋体" w:cs="宋体"/>
                <w:color w:val="auto"/>
                <w:sz w:val="21"/>
                <w:szCs w:val="21"/>
              </w:rPr>
            </w:pPr>
            <w:r>
              <w:rPr>
                <w:rFonts w:hint="eastAsia"/>
                <w:color w:val="auto"/>
                <w:sz w:val="21"/>
                <w:szCs w:val="21"/>
              </w:rPr>
              <w:t>5.4686</w:t>
            </w:r>
          </w:p>
        </w:tc>
        <w:tc>
          <w:tcPr>
            <w:tcW w:w="1705" w:type="dxa"/>
            <w:vAlign w:val="center"/>
          </w:tcPr>
          <w:p>
            <w:pPr>
              <w:jc w:val="center"/>
              <w:rPr>
                <w:color w:val="auto"/>
                <w:sz w:val="21"/>
                <w:szCs w:val="21"/>
              </w:rPr>
            </w:pPr>
            <w:r>
              <w:rPr>
                <w:rFonts w:hint="eastAsia"/>
                <w:color w:val="auto"/>
                <w:sz w:val="21"/>
                <w:szCs w:val="21"/>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0" w:type="dxa"/>
            <w:vAlign w:val="center"/>
          </w:tcPr>
          <w:p>
            <w:pPr>
              <w:jc w:val="center"/>
              <w:rPr>
                <w:color w:val="auto"/>
                <w:sz w:val="21"/>
                <w:szCs w:val="21"/>
              </w:rPr>
            </w:pPr>
            <w:r>
              <w:rPr>
                <w:rFonts w:hint="eastAsia"/>
                <w:color w:val="auto"/>
                <w:sz w:val="21"/>
                <w:szCs w:val="21"/>
              </w:rPr>
              <w:t>NH</w:t>
            </w:r>
            <w:r>
              <w:rPr>
                <w:rFonts w:hint="eastAsia"/>
                <w:color w:val="auto"/>
                <w:sz w:val="21"/>
                <w:szCs w:val="21"/>
                <w:vertAlign w:val="subscript"/>
              </w:rPr>
              <w:t>3</w:t>
            </w:r>
            <w:r>
              <w:rPr>
                <w:rFonts w:hint="eastAsia"/>
                <w:color w:val="auto"/>
                <w:sz w:val="21"/>
                <w:szCs w:val="21"/>
              </w:rPr>
              <w:t>-N</w:t>
            </w:r>
          </w:p>
        </w:tc>
        <w:tc>
          <w:tcPr>
            <w:tcW w:w="2833" w:type="dxa"/>
            <w:vAlign w:val="center"/>
          </w:tcPr>
          <w:p>
            <w:pPr>
              <w:jc w:val="center"/>
              <w:rPr>
                <w:color w:val="auto"/>
                <w:sz w:val="21"/>
                <w:szCs w:val="21"/>
              </w:rPr>
            </w:pPr>
            <w:r>
              <w:rPr>
                <w:rFonts w:hint="eastAsia"/>
                <w:color w:val="auto"/>
                <w:sz w:val="21"/>
                <w:szCs w:val="21"/>
              </w:rPr>
              <w:t>0.8420</w:t>
            </w:r>
          </w:p>
        </w:tc>
        <w:tc>
          <w:tcPr>
            <w:tcW w:w="1278" w:type="dxa"/>
            <w:vAlign w:val="center"/>
          </w:tcPr>
          <w:p>
            <w:pPr>
              <w:jc w:val="center"/>
              <w:rPr>
                <w:color w:val="auto"/>
                <w:sz w:val="21"/>
                <w:szCs w:val="21"/>
              </w:rPr>
            </w:pPr>
            <w:r>
              <w:rPr>
                <w:color w:val="auto"/>
                <w:sz w:val="21"/>
                <w:szCs w:val="21"/>
              </w:rPr>
              <w:t>1.0</w:t>
            </w:r>
          </w:p>
        </w:tc>
        <w:tc>
          <w:tcPr>
            <w:tcW w:w="1606" w:type="dxa"/>
            <w:vAlign w:val="center"/>
          </w:tcPr>
          <w:p>
            <w:pPr>
              <w:adjustRightInd w:val="0"/>
              <w:snapToGrid w:val="0"/>
              <w:jc w:val="center"/>
              <w:rPr>
                <w:rFonts w:ascii="宋体" w:hAnsi="宋体" w:cs="宋体"/>
                <w:color w:val="auto"/>
                <w:sz w:val="21"/>
                <w:szCs w:val="21"/>
              </w:rPr>
            </w:pPr>
            <w:r>
              <w:rPr>
                <w:rFonts w:hint="eastAsia"/>
                <w:color w:val="auto"/>
                <w:sz w:val="21"/>
                <w:szCs w:val="21"/>
              </w:rPr>
              <w:t>0.1580</w:t>
            </w:r>
          </w:p>
        </w:tc>
        <w:tc>
          <w:tcPr>
            <w:tcW w:w="1705" w:type="dxa"/>
            <w:vAlign w:val="center"/>
          </w:tcPr>
          <w:p>
            <w:pPr>
              <w:jc w:val="center"/>
              <w:rPr>
                <w:color w:val="auto"/>
                <w:sz w:val="21"/>
                <w:szCs w:val="21"/>
              </w:rPr>
            </w:pPr>
            <w:r>
              <w:rPr>
                <w:rFonts w:hint="eastAsia"/>
                <w:color w:val="auto"/>
                <w:sz w:val="21"/>
                <w:szCs w:val="21"/>
              </w:rPr>
              <w:t>满足</w:t>
            </w:r>
          </w:p>
        </w:tc>
      </w:tr>
    </w:tbl>
    <w:p>
      <w:pPr>
        <w:spacing w:line="360" w:lineRule="auto"/>
        <w:ind w:firstLine="480" w:firstLineChars="200"/>
        <w:jc w:val="left"/>
        <w:rPr>
          <w:color w:val="auto"/>
          <w:sz w:val="24"/>
          <w:szCs w:val="24"/>
        </w:rPr>
      </w:pPr>
      <w:r>
        <w:rPr>
          <w:rFonts w:hint="eastAsia"/>
          <w:color w:val="auto"/>
          <w:sz w:val="24"/>
          <w:szCs w:val="24"/>
        </w:rPr>
        <w:t>由上表可知，本项目建成运行后污染源排放量核算断面COD</w:t>
      </w:r>
      <w:r>
        <w:rPr>
          <w:rFonts w:hint="eastAsia"/>
          <w:color w:val="auto"/>
          <w:sz w:val="24"/>
          <w:szCs w:val="24"/>
          <w:vertAlign w:val="subscript"/>
        </w:rPr>
        <w:t>Cr</w:t>
      </w:r>
      <w:r>
        <w:rPr>
          <w:rFonts w:hint="eastAsia"/>
          <w:color w:val="auto"/>
          <w:sz w:val="24"/>
          <w:szCs w:val="24"/>
        </w:rPr>
        <w:t>安全余量为5.4686＞20×10%=2，NH</w:t>
      </w:r>
      <w:r>
        <w:rPr>
          <w:rFonts w:hint="eastAsia"/>
          <w:color w:val="auto"/>
          <w:sz w:val="24"/>
          <w:szCs w:val="24"/>
          <w:vertAlign w:val="subscript"/>
        </w:rPr>
        <w:t>3</w:t>
      </w:r>
      <w:r>
        <w:rPr>
          <w:rFonts w:hint="eastAsia"/>
          <w:color w:val="auto"/>
          <w:sz w:val="24"/>
          <w:szCs w:val="24"/>
        </w:rPr>
        <w:t>-N安全余量为0.1580＞1.0×10%=0.1，本项目COD</w:t>
      </w:r>
      <w:r>
        <w:rPr>
          <w:rFonts w:hint="eastAsia"/>
          <w:color w:val="auto"/>
          <w:sz w:val="24"/>
          <w:szCs w:val="24"/>
          <w:vertAlign w:val="subscript"/>
        </w:rPr>
        <w:t>Cr</w:t>
      </w:r>
      <w:r>
        <w:rPr>
          <w:rFonts w:hint="eastAsia"/>
          <w:color w:val="auto"/>
          <w:sz w:val="24"/>
          <w:szCs w:val="24"/>
        </w:rPr>
        <w:t>、NH</w:t>
      </w:r>
      <w:r>
        <w:rPr>
          <w:rFonts w:hint="eastAsia"/>
          <w:color w:val="auto"/>
          <w:sz w:val="24"/>
          <w:szCs w:val="24"/>
          <w:vertAlign w:val="subscript"/>
        </w:rPr>
        <w:t>3</w:t>
      </w:r>
      <w:r>
        <w:rPr>
          <w:rFonts w:hint="eastAsia"/>
          <w:color w:val="auto"/>
          <w:sz w:val="24"/>
          <w:szCs w:val="24"/>
        </w:rPr>
        <w:t>-N均满足安全余量的要求，污染源排放量即为核算的污染源排放量。即：COD</w:t>
      </w:r>
      <w:r>
        <w:rPr>
          <w:rFonts w:hint="eastAsia"/>
          <w:color w:val="auto"/>
          <w:sz w:val="24"/>
          <w:szCs w:val="24"/>
          <w:vertAlign w:val="subscript"/>
        </w:rPr>
        <w:t>Cr</w:t>
      </w:r>
      <w:r>
        <w:rPr>
          <w:rFonts w:hint="eastAsia"/>
          <w:color w:val="auto"/>
          <w:sz w:val="24"/>
          <w:szCs w:val="24"/>
        </w:rPr>
        <w:t>：61.32t/a，NH</w:t>
      </w:r>
      <w:r>
        <w:rPr>
          <w:rFonts w:hint="eastAsia"/>
          <w:color w:val="auto"/>
          <w:sz w:val="24"/>
          <w:szCs w:val="24"/>
          <w:vertAlign w:val="subscript"/>
        </w:rPr>
        <w:t>3</w:t>
      </w:r>
      <w:r>
        <w:rPr>
          <w:rFonts w:hint="eastAsia"/>
          <w:color w:val="auto"/>
          <w:sz w:val="24"/>
          <w:szCs w:val="24"/>
        </w:rPr>
        <w:t>-N：3.066t/a。</w:t>
      </w:r>
    </w:p>
    <w:p>
      <w:pPr>
        <w:pStyle w:val="5"/>
        <w:rPr>
          <w:color w:val="auto"/>
        </w:rPr>
      </w:pPr>
      <w:r>
        <w:rPr>
          <w:rFonts w:hint="eastAsia"/>
          <w:color w:val="auto"/>
        </w:rPr>
        <w:t>5.2.2.8水环境承载能力分析</w:t>
      </w:r>
    </w:p>
    <w:p>
      <w:pPr>
        <w:spacing w:line="360" w:lineRule="auto"/>
        <w:ind w:firstLine="480" w:firstLineChars="200"/>
        <w:jc w:val="left"/>
        <w:rPr>
          <w:color w:val="auto"/>
          <w:sz w:val="24"/>
          <w:szCs w:val="24"/>
        </w:rPr>
      </w:pPr>
      <w:r>
        <w:rPr>
          <w:rFonts w:hint="eastAsia"/>
          <w:color w:val="auto"/>
          <w:sz w:val="24"/>
          <w:szCs w:val="24"/>
        </w:rPr>
        <w:t>本项目尾水经处理达标后部分回用于水质净化厂自用、园区内城市绿化、道路清扫和冲厕，其余尾水排入大嵩河，经大嵩水流经4.8km后，汇入梅江干流。根据现状监测数据，大嵩河对照断面和控制断面各监测因子均能达到《地表水环境质量标准》(GB3838-2002)Ⅲ类标准要求；梅江干流水口英勤监测断面（大嵩河与梅江交汇口下游2.41km处，位于梅江混合过程段结束断面之后）各监测因子均能达到《地表水环境质量标准》(GB3838-2002)Ⅱ类标准要求，地表水质量现状良好。</w:t>
      </w:r>
    </w:p>
    <w:p>
      <w:pPr>
        <w:spacing w:line="360" w:lineRule="auto"/>
        <w:ind w:firstLine="480" w:firstLineChars="200"/>
        <w:jc w:val="left"/>
        <w:rPr>
          <w:color w:val="auto"/>
          <w:sz w:val="24"/>
          <w:szCs w:val="24"/>
        </w:rPr>
      </w:pPr>
      <w:r>
        <w:rPr>
          <w:rFonts w:hint="eastAsia"/>
          <w:color w:val="auto"/>
          <w:sz w:val="24"/>
          <w:szCs w:val="24"/>
        </w:rPr>
        <w:t>经预测，在正常工况下，本项目尾水排放会造成大嵩河、梅江COD和氨氮有一定增值，但增值较小，大嵩河和梅江水质仍能满足《地表水环境质量标准》(GB3838-2002)Ⅲ类、Ⅱ类标准要求，且项目尾水排放可以满足安全余量要求。由此判断，项目纳污水体水环境承载力较好。</w:t>
      </w:r>
    </w:p>
    <w:p>
      <w:pPr>
        <w:spacing w:line="360" w:lineRule="auto"/>
        <w:ind w:firstLine="480" w:firstLineChars="200"/>
        <w:jc w:val="left"/>
        <w:rPr>
          <w:color w:val="auto"/>
          <w:sz w:val="24"/>
          <w:szCs w:val="24"/>
        </w:rPr>
      </w:pPr>
    </w:p>
    <w:p>
      <w:pPr>
        <w:spacing w:line="360" w:lineRule="auto"/>
        <w:ind w:firstLine="480" w:firstLineChars="200"/>
        <w:jc w:val="left"/>
        <w:rPr>
          <w:color w:val="auto"/>
          <w:sz w:val="24"/>
          <w:szCs w:val="24"/>
        </w:rPr>
      </w:pPr>
    </w:p>
    <w:p>
      <w:pPr>
        <w:spacing w:line="360" w:lineRule="auto"/>
        <w:ind w:firstLine="480" w:firstLineChars="200"/>
        <w:jc w:val="left"/>
        <w:rPr>
          <w:color w:val="auto"/>
          <w:sz w:val="24"/>
          <w:szCs w:val="24"/>
        </w:rPr>
      </w:pPr>
    </w:p>
    <w:p>
      <w:pPr>
        <w:spacing w:line="360" w:lineRule="auto"/>
        <w:ind w:firstLine="480" w:firstLineChars="200"/>
        <w:jc w:val="left"/>
        <w:rPr>
          <w:color w:val="auto"/>
          <w:sz w:val="24"/>
          <w:szCs w:val="24"/>
        </w:rPr>
      </w:pPr>
    </w:p>
    <w:p>
      <w:pPr>
        <w:widowControl/>
        <w:spacing w:line="360" w:lineRule="auto"/>
        <w:jc w:val="center"/>
        <w:rPr>
          <w:b/>
          <w:color w:val="auto"/>
          <w:sz w:val="24"/>
          <w:szCs w:val="24"/>
        </w:rPr>
      </w:pPr>
      <w:r>
        <w:rPr>
          <w:rFonts w:hint="eastAsia"/>
          <w:b/>
          <w:color w:val="auto"/>
          <w:sz w:val="24"/>
          <w:szCs w:val="24"/>
        </w:rPr>
        <w:t xml:space="preserve">表5-2-20   </w:t>
      </w:r>
      <w:r>
        <w:rPr>
          <w:b/>
          <w:color w:val="auto"/>
          <w:sz w:val="24"/>
          <w:szCs w:val="24"/>
        </w:rPr>
        <w:t>废水类别、污染物及污染治理设施信息表</w:t>
      </w:r>
    </w:p>
    <w:tbl>
      <w:tblPr>
        <w:tblStyle w:val="28"/>
        <w:tblW w:w="92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4"/>
        <w:gridCol w:w="704"/>
        <w:gridCol w:w="846"/>
        <w:gridCol w:w="703"/>
        <w:gridCol w:w="704"/>
        <w:gridCol w:w="515"/>
        <w:gridCol w:w="709"/>
        <w:gridCol w:w="1030"/>
        <w:gridCol w:w="674"/>
        <w:gridCol w:w="992"/>
        <w:gridCol w:w="1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564"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序号</w:t>
            </w:r>
          </w:p>
        </w:tc>
        <w:tc>
          <w:tcPr>
            <w:tcW w:w="704"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废水类别</w:t>
            </w:r>
          </w:p>
        </w:tc>
        <w:tc>
          <w:tcPr>
            <w:tcW w:w="846"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污染物种类</w:t>
            </w:r>
          </w:p>
        </w:tc>
        <w:tc>
          <w:tcPr>
            <w:tcW w:w="703"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排放去向</w:t>
            </w:r>
          </w:p>
        </w:tc>
        <w:tc>
          <w:tcPr>
            <w:tcW w:w="704"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排放规律</w:t>
            </w:r>
          </w:p>
        </w:tc>
        <w:tc>
          <w:tcPr>
            <w:tcW w:w="2254" w:type="dxa"/>
            <w:gridSpan w:val="3"/>
            <w:vAlign w:val="center"/>
          </w:tcPr>
          <w:p>
            <w:pPr>
              <w:pStyle w:val="62"/>
              <w:spacing w:before="0"/>
              <w:rPr>
                <w:rFonts w:ascii="Times New Roman" w:hAnsi="Times New Roman" w:eastAsia="宋体"/>
                <w:b/>
                <w:color w:val="auto"/>
              </w:rPr>
            </w:pPr>
            <w:r>
              <w:rPr>
                <w:rFonts w:ascii="Times New Roman" w:hAnsi="宋体" w:eastAsia="宋体"/>
                <w:b/>
                <w:color w:val="auto"/>
              </w:rPr>
              <w:t>污染物治理设施</w:t>
            </w:r>
          </w:p>
        </w:tc>
        <w:tc>
          <w:tcPr>
            <w:tcW w:w="674"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排放口编号</w:t>
            </w:r>
          </w:p>
        </w:tc>
        <w:tc>
          <w:tcPr>
            <w:tcW w:w="992"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排放口设</w:t>
            </w:r>
            <w:r>
              <w:rPr>
                <w:rFonts w:ascii="Times New Roman" w:hAnsi="宋体" w:eastAsia="宋体"/>
                <w:b/>
                <w:color w:val="auto"/>
                <w:spacing w:val="-4"/>
              </w:rPr>
              <w:t>置是否符</w:t>
            </w:r>
            <w:r>
              <w:rPr>
                <w:rFonts w:ascii="Times New Roman" w:hAnsi="宋体" w:eastAsia="宋体"/>
                <w:b/>
                <w:color w:val="auto"/>
              </w:rPr>
              <w:t>合要求</w:t>
            </w:r>
          </w:p>
        </w:tc>
        <w:tc>
          <w:tcPr>
            <w:tcW w:w="1854" w:type="dxa"/>
            <w:vMerge w:val="restart"/>
            <w:vAlign w:val="center"/>
          </w:tcPr>
          <w:p>
            <w:pPr>
              <w:pStyle w:val="62"/>
              <w:spacing w:before="0"/>
              <w:rPr>
                <w:rFonts w:ascii="Times New Roman" w:hAnsi="Times New Roman" w:eastAsia="宋体"/>
                <w:b/>
                <w:color w:val="auto"/>
              </w:rPr>
            </w:pPr>
            <w:r>
              <w:rPr>
                <w:rFonts w:ascii="Times New Roman" w:hAnsi="宋体" w:eastAsia="宋体"/>
                <w:b/>
                <w:color w:val="auto"/>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atLeast"/>
          <w:jc w:val="center"/>
        </w:trPr>
        <w:tc>
          <w:tcPr>
            <w:tcW w:w="564" w:type="dxa"/>
            <w:vMerge w:val="continue"/>
            <w:vAlign w:val="center"/>
          </w:tcPr>
          <w:p>
            <w:pPr>
              <w:pStyle w:val="62"/>
              <w:spacing w:before="0"/>
              <w:rPr>
                <w:rFonts w:ascii="Times New Roman" w:hAnsi="Times New Roman" w:eastAsia="宋体"/>
                <w:color w:val="auto"/>
              </w:rPr>
            </w:pPr>
          </w:p>
        </w:tc>
        <w:tc>
          <w:tcPr>
            <w:tcW w:w="704" w:type="dxa"/>
            <w:vMerge w:val="continue"/>
            <w:vAlign w:val="center"/>
          </w:tcPr>
          <w:p>
            <w:pPr>
              <w:pStyle w:val="62"/>
              <w:spacing w:before="0"/>
              <w:rPr>
                <w:rFonts w:ascii="Times New Roman" w:hAnsi="Times New Roman" w:eastAsia="宋体"/>
                <w:color w:val="auto"/>
              </w:rPr>
            </w:pPr>
          </w:p>
        </w:tc>
        <w:tc>
          <w:tcPr>
            <w:tcW w:w="846" w:type="dxa"/>
            <w:vMerge w:val="continue"/>
            <w:vAlign w:val="center"/>
          </w:tcPr>
          <w:p>
            <w:pPr>
              <w:pStyle w:val="62"/>
              <w:spacing w:before="0"/>
              <w:rPr>
                <w:rFonts w:ascii="Times New Roman" w:hAnsi="Times New Roman" w:eastAsia="宋体"/>
                <w:color w:val="auto"/>
              </w:rPr>
            </w:pPr>
          </w:p>
        </w:tc>
        <w:tc>
          <w:tcPr>
            <w:tcW w:w="703" w:type="dxa"/>
            <w:vMerge w:val="continue"/>
            <w:vAlign w:val="center"/>
          </w:tcPr>
          <w:p>
            <w:pPr>
              <w:pStyle w:val="62"/>
              <w:spacing w:before="0"/>
              <w:rPr>
                <w:rFonts w:ascii="Times New Roman" w:hAnsi="Times New Roman" w:eastAsia="宋体"/>
                <w:color w:val="auto"/>
              </w:rPr>
            </w:pPr>
          </w:p>
        </w:tc>
        <w:tc>
          <w:tcPr>
            <w:tcW w:w="704" w:type="dxa"/>
            <w:vMerge w:val="continue"/>
            <w:vAlign w:val="center"/>
          </w:tcPr>
          <w:p>
            <w:pPr>
              <w:pStyle w:val="62"/>
              <w:spacing w:before="0"/>
              <w:rPr>
                <w:rFonts w:ascii="Times New Roman" w:hAnsi="Times New Roman" w:eastAsia="宋体"/>
                <w:color w:val="auto"/>
              </w:rPr>
            </w:pPr>
          </w:p>
        </w:tc>
        <w:tc>
          <w:tcPr>
            <w:tcW w:w="515" w:type="dxa"/>
            <w:vAlign w:val="center"/>
          </w:tcPr>
          <w:p>
            <w:pPr>
              <w:pStyle w:val="62"/>
              <w:spacing w:before="0"/>
              <w:rPr>
                <w:rFonts w:ascii="Times New Roman" w:hAnsi="Times New Roman" w:eastAsia="宋体"/>
                <w:b/>
                <w:color w:val="auto"/>
              </w:rPr>
            </w:pPr>
            <w:r>
              <w:rPr>
                <w:rFonts w:ascii="Times New Roman" w:hAnsi="宋体" w:eastAsia="宋体"/>
                <w:b/>
                <w:color w:val="auto"/>
              </w:rPr>
              <w:t>编号</w:t>
            </w:r>
          </w:p>
        </w:tc>
        <w:tc>
          <w:tcPr>
            <w:tcW w:w="709" w:type="dxa"/>
            <w:vAlign w:val="center"/>
          </w:tcPr>
          <w:p>
            <w:pPr>
              <w:pStyle w:val="62"/>
              <w:spacing w:before="0"/>
              <w:rPr>
                <w:rFonts w:ascii="Times New Roman" w:hAnsi="Times New Roman" w:eastAsia="宋体"/>
                <w:b/>
                <w:color w:val="auto"/>
              </w:rPr>
            </w:pPr>
            <w:r>
              <w:rPr>
                <w:rFonts w:ascii="Times New Roman" w:hAnsi="宋体" w:eastAsia="宋体"/>
                <w:b/>
                <w:color w:val="auto"/>
              </w:rPr>
              <w:t>名称</w:t>
            </w:r>
          </w:p>
        </w:tc>
        <w:tc>
          <w:tcPr>
            <w:tcW w:w="1030" w:type="dxa"/>
            <w:vAlign w:val="center"/>
          </w:tcPr>
          <w:p>
            <w:pPr>
              <w:pStyle w:val="62"/>
              <w:spacing w:before="0"/>
              <w:rPr>
                <w:rFonts w:ascii="Times New Roman" w:hAnsi="Times New Roman" w:eastAsia="宋体"/>
                <w:b/>
                <w:color w:val="auto"/>
              </w:rPr>
            </w:pPr>
            <w:r>
              <w:rPr>
                <w:rFonts w:ascii="Times New Roman" w:hAnsi="宋体" w:eastAsia="宋体"/>
                <w:b/>
                <w:color w:val="auto"/>
              </w:rPr>
              <w:t>工艺</w:t>
            </w:r>
          </w:p>
        </w:tc>
        <w:tc>
          <w:tcPr>
            <w:tcW w:w="674" w:type="dxa"/>
            <w:vMerge w:val="continue"/>
            <w:vAlign w:val="center"/>
          </w:tcPr>
          <w:p>
            <w:pPr>
              <w:pStyle w:val="62"/>
              <w:spacing w:before="0"/>
              <w:rPr>
                <w:rFonts w:ascii="Times New Roman" w:hAnsi="Times New Roman" w:eastAsia="宋体"/>
                <w:color w:val="auto"/>
              </w:rPr>
            </w:pPr>
          </w:p>
        </w:tc>
        <w:tc>
          <w:tcPr>
            <w:tcW w:w="992" w:type="dxa"/>
            <w:vMerge w:val="continue"/>
            <w:vAlign w:val="center"/>
          </w:tcPr>
          <w:p>
            <w:pPr>
              <w:pStyle w:val="62"/>
              <w:spacing w:before="0"/>
              <w:rPr>
                <w:rFonts w:ascii="Times New Roman" w:hAnsi="Times New Roman" w:eastAsia="宋体"/>
                <w:color w:val="auto"/>
              </w:rPr>
            </w:pPr>
          </w:p>
        </w:tc>
        <w:tc>
          <w:tcPr>
            <w:tcW w:w="1854" w:type="dxa"/>
            <w:vMerge w:val="continue"/>
            <w:vAlign w:val="center"/>
          </w:tcPr>
          <w:p>
            <w:pPr>
              <w:pStyle w:val="62"/>
              <w:spacing w:before="0"/>
              <w:rPr>
                <w:rFonts w:ascii="Times New Roman" w:hAnsi="Times New Roman"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9" w:hRule="atLeast"/>
          <w:jc w:val="center"/>
        </w:trPr>
        <w:tc>
          <w:tcPr>
            <w:tcW w:w="564" w:type="dxa"/>
            <w:vAlign w:val="center"/>
          </w:tcPr>
          <w:p>
            <w:pPr>
              <w:pStyle w:val="62"/>
              <w:spacing w:before="0"/>
              <w:rPr>
                <w:rFonts w:ascii="Times New Roman" w:hAnsi="Times New Roman" w:eastAsia="宋体"/>
                <w:color w:val="auto"/>
              </w:rPr>
            </w:pPr>
            <w:r>
              <w:rPr>
                <w:rFonts w:ascii="Times New Roman" w:hAnsi="Times New Roman" w:eastAsia="宋体"/>
                <w:color w:val="auto"/>
              </w:rPr>
              <w:t>1</w:t>
            </w:r>
          </w:p>
        </w:tc>
        <w:tc>
          <w:tcPr>
            <w:tcW w:w="704" w:type="dxa"/>
            <w:vAlign w:val="center"/>
          </w:tcPr>
          <w:p>
            <w:pPr>
              <w:pStyle w:val="62"/>
              <w:spacing w:before="0"/>
              <w:rPr>
                <w:rFonts w:ascii="Times New Roman" w:hAnsi="Times New Roman" w:eastAsia="宋体"/>
                <w:color w:val="auto"/>
              </w:rPr>
            </w:pPr>
            <w:r>
              <w:rPr>
                <w:rFonts w:ascii="Times New Roman" w:hAnsi="宋体" w:eastAsia="宋体"/>
                <w:color w:val="auto"/>
              </w:rPr>
              <w:t>生活污水</w:t>
            </w:r>
            <w:r>
              <w:rPr>
                <w:rFonts w:hint="eastAsia" w:ascii="Times New Roman" w:hAnsi="宋体" w:eastAsia="宋体"/>
                <w:color w:val="auto"/>
              </w:rPr>
              <w:t>、工业废水</w:t>
            </w:r>
          </w:p>
        </w:tc>
        <w:tc>
          <w:tcPr>
            <w:tcW w:w="846" w:type="dxa"/>
            <w:vAlign w:val="center"/>
          </w:tcPr>
          <w:p>
            <w:pPr>
              <w:pStyle w:val="62"/>
              <w:spacing w:before="0"/>
              <w:rPr>
                <w:rFonts w:ascii="Times New Roman" w:hAnsi="Times New Roman" w:eastAsia="宋体"/>
                <w:color w:val="auto"/>
              </w:rPr>
            </w:pPr>
            <w:r>
              <w:rPr>
                <w:rFonts w:ascii="Times New Roman" w:hAnsi="Times New Roman" w:eastAsia="宋体"/>
                <w:color w:val="auto"/>
              </w:rPr>
              <w:t>COD</w:t>
            </w:r>
            <w:r>
              <w:rPr>
                <w:rFonts w:ascii="Times New Roman" w:hAnsi="Times New Roman" w:eastAsia="宋体"/>
                <w:color w:val="auto"/>
                <w:vertAlign w:val="subscript"/>
              </w:rPr>
              <w:t>Cr</w:t>
            </w:r>
            <w:r>
              <w:rPr>
                <w:rFonts w:ascii="Times New Roman" w:hAnsi="宋体" w:eastAsia="宋体"/>
                <w:color w:val="auto"/>
              </w:rPr>
              <w:t>、</w:t>
            </w:r>
            <w:r>
              <w:rPr>
                <w:rFonts w:ascii="Times New Roman" w:hAnsi="Times New Roman" w:eastAsia="宋体"/>
                <w:color w:val="auto"/>
              </w:rPr>
              <w:t>BOD</w:t>
            </w:r>
            <w:r>
              <w:rPr>
                <w:rFonts w:ascii="Times New Roman" w:hAnsi="Times New Roman" w:eastAsia="宋体"/>
                <w:color w:val="auto"/>
                <w:vertAlign w:val="subscript"/>
              </w:rPr>
              <w:t>5</w:t>
            </w:r>
            <w:r>
              <w:rPr>
                <w:rFonts w:ascii="Times New Roman" w:hAnsi="宋体" w:eastAsia="宋体"/>
                <w:color w:val="auto"/>
              </w:rPr>
              <w:t>、</w:t>
            </w:r>
            <w:r>
              <w:rPr>
                <w:rFonts w:ascii="Times New Roman" w:hAnsi="Times New Roman" w:eastAsia="宋体"/>
                <w:color w:val="auto"/>
              </w:rPr>
              <w:t>SS</w:t>
            </w:r>
            <w:r>
              <w:rPr>
                <w:rFonts w:ascii="Times New Roman" w:hAnsi="宋体" w:eastAsia="宋体"/>
                <w:color w:val="auto"/>
              </w:rPr>
              <w:t>、</w:t>
            </w:r>
            <w:r>
              <w:rPr>
                <w:rFonts w:ascii="Times New Roman" w:hAnsi="Times New Roman" w:eastAsia="宋体"/>
                <w:color w:val="auto"/>
              </w:rPr>
              <w:t>NH</w:t>
            </w:r>
            <w:r>
              <w:rPr>
                <w:rFonts w:ascii="Times New Roman" w:hAnsi="Times New Roman" w:eastAsia="宋体"/>
                <w:color w:val="auto"/>
                <w:vertAlign w:val="subscript"/>
              </w:rPr>
              <w:t>3</w:t>
            </w:r>
            <w:r>
              <w:rPr>
                <w:rFonts w:ascii="Times New Roman" w:hAnsi="Times New Roman" w:eastAsia="宋体"/>
                <w:color w:val="auto"/>
              </w:rPr>
              <w:t>-N</w:t>
            </w:r>
            <w:r>
              <w:rPr>
                <w:rFonts w:hint="eastAsia" w:ascii="Times New Roman" w:hAnsi="Times New Roman" w:eastAsia="宋体"/>
                <w:color w:val="auto"/>
              </w:rPr>
              <w:t>、TN、TP</w:t>
            </w:r>
          </w:p>
        </w:tc>
        <w:tc>
          <w:tcPr>
            <w:tcW w:w="703" w:type="dxa"/>
            <w:vAlign w:val="center"/>
          </w:tcPr>
          <w:p>
            <w:pPr>
              <w:pStyle w:val="62"/>
              <w:spacing w:before="0"/>
              <w:rPr>
                <w:rFonts w:ascii="宋体" w:hAnsi="宋体" w:eastAsia="宋体"/>
                <w:color w:val="auto"/>
              </w:rPr>
            </w:pPr>
            <w:r>
              <w:rPr>
                <w:rFonts w:hint="eastAsia" w:ascii="宋体" w:hAnsi="宋体" w:eastAsia="宋体"/>
                <w:color w:val="auto"/>
              </w:rPr>
              <w:t>大嵩河</w:t>
            </w:r>
          </w:p>
        </w:tc>
        <w:tc>
          <w:tcPr>
            <w:tcW w:w="704" w:type="dxa"/>
            <w:vAlign w:val="center"/>
          </w:tcPr>
          <w:p>
            <w:pPr>
              <w:pStyle w:val="62"/>
              <w:spacing w:before="0"/>
              <w:rPr>
                <w:rFonts w:ascii="Times New Roman" w:hAnsi="Times New Roman" w:eastAsia="宋体"/>
                <w:color w:val="auto"/>
              </w:rPr>
            </w:pPr>
            <w:r>
              <w:rPr>
                <w:rFonts w:hint="eastAsia" w:ascii="Times New Roman" w:hAnsi="宋体" w:eastAsia="宋体"/>
                <w:color w:val="auto"/>
              </w:rPr>
              <w:t>连续稳定排放</w:t>
            </w:r>
          </w:p>
        </w:tc>
        <w:tc>
          <w:tcPr>
            <w:tcW w:w="515"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w:t>
            </w:r>
          </w:p>
        </w:tc>
        <w:tc>
          <w:tcPr>
            <w:tcW w:w="709" w:type="dxa"/>
            <w:vAlign w:val="center"/>
          </w:tcPr>
          <w:p>
            <w:pPr>
              <w:pStyle w:val="62"/>
              <w:spacing w:before="0"/>
              <w:rPr>
                <w:rFonts w:ascii="Times New Roman" w:hAnsi="Times New Roman" w:eastAsia="宋体"/>
                <w:color w:val="auto"/>
              </w:rPr>
            </w:pPr>
            <w:r>
              <w:rPr>
                <w:rFonts w:hint="eastAsia" w:ascii="Times New Roman" w:hAnsi="宋体" w:eastAsia="宋体"/>
                <w:color w:val="auto"/>
              </w:rPr>
              <w:t>污水处理系统</w:t>
            </w:r>
          </w:p>
        </w:tc>
        <w:tc>
          <w:tcPr>
            <w:tcW w:w="1030"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曝气沉砂池+应急沉淀池+倒置AAO+曝气生物滤池+高效沉淀池+转盘滤池+消毒接触池</w:t>
            </w:r>
          </w:p>
        </w:tc>
        <w:tc>
          <w:tcPr>
            <w:tcW w:w="674"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w:t>
            </w:r>
          </w:p>
        </w:tc>
        <w:tc>
          <w:tcPr>
            <w:tcW w:w="992" w:type="dxa"/>
            <w:vAlign w:val="center"/>
          </w:tcPr>
          <w:p>
            <w:pPr>
              <w:pStyle w:val="62"/>
              <w:spacing w:before="0"/>
              <w:rPr>
                <w:rFonts w:ascii="Times New Roman" w:hAnsi="Times New Roman" w:eastAsia="宋体"/>
                <w:color w:val="auto"/>
              </w:rPr>
            </w:pPr>
            <w:r>
              <w:rPr>
                <w:rFonts w:hint="eastAsia" w:ascii="MS Mincho" w:hAnsi="MS Mincho" w:eastAsia="MS Mincho" w:cs="MS Mincho"/>
                <w:color w:val="auto"/>
                <w:spacing w:val="-3"/>
              </w:rPr>
              <w:t>☑</w:t>
            </w:r>
            <w:r>
              <w:rPr>
                <w:rFonts w:ascii="Times New Roman" w:hAnsi="宋体" w:eastAsia="宋体"/>
                <w:color w:val="auto"/>
              </w:rPr>
              <w:t>是</w:t>
            </w:r>
          </w:p>
          <w:p>
            <w:pPr>
              <w:pStyle w:val="62"/>
              <w:spacing w:before="0"/>
              <w:rPr>
                <w:rFonts w:ascii="Times New Roman" w:hAnsi="Times New Roman" w:eastAsia="宋体"/>
                <w:color w:val="auto"/>
              </w:rPr>
            </w:pPr>
            <w:r>
              <w:rPr>
                <w:rFonts w:ascii="Times New Roman" w:hAnsi="Times New Roman" w:eastAsia="宋体"/>
                <w:color w:val="auto"/>
              </w:rPr>
              <w:t>□</w:t>
            </w:r>
            <w:r>
              <w:rPr>
                <w:rFonts w:ascii="Times New Roman" w:hAnsi="宋体" w:eastAsia="宋体"/>
                <w:color w:val="auto"/>
              </w:rPr>
              <w:t>否</w:t>
            </w:r>
          </w:p>
        </w:tc>
        <w:tc>
          <w:tcPr>
            <w:tcW w:w="1854" w:type="dxa"/>
            <w:vAlign w:val="center"/>
          </w:tcPr>
          <w:p>
            <w:pPr>
              <w:pStyle w:val="62"/>
              <w:spacing w:before="0"/>
              <w:jc w:val="left"/>
              <w:rPr>
                <w:rFonts w:ascii="Times New Roman" w:hAnsi="Times New Roman" w:eastAsia="宋体"/>
                <w:color w:val="auto"/>
              </w:rPr>
            </w:pPr>
            <w:r>
              <w:rPr>
                <w:rFonts w:hint="eastAsia" w:ascii="MS Mincho" w:hAnsi="MS Mincho" w:eastAsia="MS Mincho" w:cs="MS Mincho"/>
                <w:color w:val="auto"/>
                <w:spacing w:val="-3"/>
              </w:rPr>
              <w:t>☑</w:t>
            </w:r>
            <w:r>
              <w:rPr>
                <w:rFonts w:ascii="Times New Roman" w:hAnsi="宋体" w:eastAsia="宋体"/>
                <w:color w:val="auto"/>
              </w:rPr>
              <w:t>企业总排</w:t>
            </w:r>
          </w:p>
          <w:p>
            <w:pPr>
              <w:pStyle w:val="62"/>
              <w:spacing w:before="0"/>
              <w:jc w:val="left"/>
              <w:rPr>
                <w:rFonts w:ascii="Times New Roman" w:hAnsi="Times New Roman" w:eastAsia="宋体"/>
                <w:color w:val="auto"/>
              </w:rPr>
            </w:pPr>
            <w:r>
              <w:rPr>
                <w:rFonts w:ascii="Times New Roman" w:hAnsi="Times New Roman" w:eastAsia="宋体"/>
                <w:color w:val="auto"/>
              </w:rPr>
              <w:t>□</w:t>
            </w:r>
            <w:r>
              <w:rPr>
                <w:rFonts w:ascii="Times New Roman" w:hAnsi="宋体" w:eastAsia="宋体"/>
                <w:color w:val="auto"/>
              </w:rPr>
              <w:t>雨水排放</w:t>
            </w:r>
          </w:p>
          <w:p>
            <w:pPr>
              <w:pStyle w:val="62"/>
              <w:spacing w:before="0"/>
              <w:jc w:val="left"/>
              <w:rPr>
                <w:rFonts w:ascii="Times New Roman" w:hAnsi="Times New Roman" w:eastAsia="宋体"/>
                <w:color w:val="auto"/>
              </w:rPr>
            </w:pPr>
            <w:r>
              <w:rPr>
                <w:rFonts w:ascii="Times New Roman" w:hAnsi="Times New Roman" w:eastAsia="宋体"/>
                <w:color w:val="auto"/>
              </w:rPr>
              <w:t>□</w:t>
            </w:r>
            <w:r>
              <w:rPr>
                <w:rFonts w:ascii="Times New Roman" w:hAnsi="宋体" w:eastAsia="宋体"/>
                <w:color w:val="auto"/>
              </w:rPr>
              <w:t>清净下水排放</w:t>
            </w:r>
          </w:p>
          <w:p>
            <w:pPr>
              <w:pStyle w:val="62"/>
              <w:spacing w:before="0"/>
              <w:jc w:val="left"/>
              <w:rPr>
                <w:rFonts w:ascii="Times New Roman" w:hAnsi="Times New Roman" w:eastAsia="宋体"/>
                <w:color w:val="auto"/>
              </w:rPr>
            </w:pPr>
            <w:r>
              <w:rPr>
                <w:rFonts w:ascii="Times New Roman" w:hAnsi="Times New Roman" w:eastAsia="宋体"/>
                <w:color w:val="auto"/>
              </w:rPr>
              <w:t>□</w:t>
            </w:r>
            <w:r>
              <w:rPr>
                <w:rFonts w:ascii="Times New Roman" w:hAnsi="宋体" w:eastAsia="宋体"/>
                <w:color w:val="auto"/>
              </w:rPr>
              <w:t>温排水排放</w:t>
            </w:r>
          </w:p>
          <w:p>
            <w:pPr>
              <w:pStyle w:val="62"/>
              <w:spacing w:before="0"/>
              <w:jc w:val="left"/>
              <w:rPr>
                <w:rFonts w:ascii="Times New Roman" w:hAnsi="Times New Roman" w:eastAsia="宋体"/>
                <w:color w:val="auto"/>
              </w:rPr>
            </w:pPr>
            <w:r>
              <w:rPr>
                <w:rFonts w:ascii="Times New Roman" w:hAnsi="Times New Roman" w:eastAsia="宋体"/>
                <w:color w:val="auto"/>
              </w:rPr>
              <w:t>□</w:t>
            </w:r>
            <w:r>
              <w:rPr>
                <w:rFonts w:ascii="Times New Roman" w:hAnsi="宋体" w:eastAsia="宋体"/>
                <w:color w:val="auto"/>
                <w:spacing w:val="5"/>
              </w:rPr>
              <w:t>车间或车间处</w:t>
            </w:r>
            <w:r>
              <w:rPr>
                <w:rFonts w:ascii="Times New Roman" w:hAnsi="宋体" w:eastAsia="宋体"/>
                <w:color w:val="auto"/>
              </w:rPr>
              <w:t>理设施排放口</w:t>
            </w:r>
          </w:p>
        </w:tc>
      </w:tr>
    </w:tbl>
    <w:p>
      <w:pPr>
        <w:widowControl/>
        <w:spacing w:line="360" w:lineRule="auto"/>
        <w:jc w:val="center"/>
        <w:rPr>
          <w:b/>
          <w:color w:val="auto"/>
          <w:sz w:val="24"/>
          <w:szCs w:val="24"/>
        </w:rPr>
      </w:pPr>
      <w:r>
        <w:rPr>
          <w:rFonts w:hint="eastAsia"/>
          <w:b/>
          <w:color w:val="auto"/>
          <w:sz w:val="24"/>
          <w:szCs w:val="24"/>
        </w:rPr>
        <w:t xml:space="preserve">表5-2-21   </w:t>
      </w:r>
      <w:r>
        <w:rPr>
          <w:b/>
          <w:color w:val="auto"/>
          <w:sz w:val="24"/>
          <w:szCs w:val="24"/>
        </w:rPr>
        <w:t>废水</w:t>
      </w:r>
      <w:r>
        <w:rPr>
          <w:rFonts w:hint="eastAsia"/>
          <w:b/>
          <w:color w:val="auto"/>
          <w:sz w:val="24"/>
          <w:szCs w:val="24"/>
        </w:rPr>
        <w:t>直</w:t>
      </w:r>
      <w:r>
        <w:rPr>
          <w:b/>
          <w:color w:val="auto"/>
          <w:sz w:val="24"/>
          <w:szCs w:val="24"/>
        </w:rPr>
        <w:t>接排放口基本情况表</w:t>
      </w:r>
    </w:p>
    <w:tbl>
      <w:tblPr>
        <w:tblStyle w:val="28"/>
        <w:tblW w:w="93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2"/>
        <w:gridCol w:w="781"/>
        <w:gridCol w:w="851"/>
        <w:gridCol w:w="708"/>
        <w:gridCol w:w="991"/>
        <w:gridCol w:w="764"/>
        <w:gridCol w:w="513"/>
        <w:gridCol w:w="709"/>
        <w:gridCol w:w="712"/>
        <w:gridCol w:w="986"/>
        <w:gridCol w:w="851"/>
        <w:gridCol w:w="708"/>
        <w:gridCol w:w="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 w:hRule="atLeast"/>
          <w:jc w:val="center"/>
        </w:trPr>
        <w:tc>
          <w:tcPr>
            <w:tcW w:w="432" w:type="dxa"/>
            <w:vMerge w:val="restart"/>
            <w:vAlign w:val="center"/>
          </w:tcPr>
          <w:p>
            <w:pPr>
              <w:pStyle w:val="62"/>
              <w:spacing w:before="0"/>
              <w:rPr>
                <w:rFonts w:ascii="Times New Roman" w:hAnsi="Times New Roman" w:eastAsia="宋体"/>
                <w:b/>
                <w:color w:val="auto"/>
              </w:rPr>
            </w:pPr>
            <w:r>
              <w:rPr>
                <w:rFonts w:ascii="Times New Roman" w:hAnsi="Times New Roman" w:eastAsia="宋体"/>
                <w:b/>
                <w:color w:val="auto"/>
              </w:rPr>
              <w:t>序号</w:t>
            </w:r>
          </w:p>
        </w:tc>
        <w:tc>
          <w:tcPr>
            <w:tcW w:w="781" w:type="dxa"/>
            <w:vMerge w:val="restart"/>
            <w:vAlign w:val="center"/>
          </w:tcPr>
          <w:p>
            <w:pPr>
              <w:pStyle w:val="62"/>
              <w:spacing w:before="0"/>
              <w:rPr>
                <w:rFonts w:ascii="Times New Roman" w:hAnsi="Times New Roman" w:eastAsia="宋体"/>
                <w:b/>
                <w:color w:val="auto"/>
              </w:rPr>
            </w:pPr>
            <w:r>
              <w:rPr>
                <w:rFonts w:ascii="Times New Roman" w:hAnsi="Times New Roman" w:eastAsia="宋体"/>
                <w:b/>
                <w:color w:val="auto"/>
              </w:rPr>
              <w:t>排放口编号</w:t>
            </w:r>
          </w:p>
        </w:tc>
        <w:tc>
          <w:tcPr>
            <w:tcW w:w="1559" w:type="dxa"/>
            <w:gridSpan w:val="2"/>
            <w:vAlign w:val="center"/>
          </w:tcPr>
          <w:p>
            <w:pPr>
              <w:pStyle w:val="62"/>
              <w:spacing w:before="0"/>
              <w:rPr>
                <w:rFonts w:ascii="Times New Roman" w:hAnsi="Times New Roman" w:eastAsia="宋体"/>
                <w:b/>
                <w:color w:val="auto"/>
              </w:rPr>
            </w:pPr>
            <w:r>
              <w:rPr>
                <w:rFonts w:ascii="Times New Roman" w:hAnsi="Times New Roman" w:eastAsia="宋体"/>
                <w:b/>
                <w:color w:val="auto"/>
              </w:rPr>
              <w:t>排放口地理坐标</w:t>
            </w:r>
          </w:p>
        </w:tc>
        <w:tc>
          <w:tcPr>
            <w:tcW w:w="991" w:type="dxa"/>
            <w:vMerge w:val="restart"/>
            <w:vAlign w:val="center"/>
          </w:tcPr>
          <w:p>
            <w:pPr>
              <w:pStyle w:val="62"/>
              <w:spacing w:before="0"/>
              <w:rPr>
                <w:rFonts w:ascii="Times New Roman" w:hAnsi="Times New Roman" w:eastAsia="宋体"/>
                <w:b/>
                <w:color w:val="auto"/>
              </w:rPr>
            </w:pPr>
            <w:r>
              <w:rPr>
                <w:rFonts w:ascii="Times New Roman" w:hAnsi="Times New Roman" w:eastAsia="宋体"/>
                <w:b/>
                <w:color w:val="auto"/>
              </w:rPr>
              <w:t>废水排放量（万t/a）</w:t>
            </w:r>
          </w:p>
        </w:tc>
        <w:tc>
          <w:tcPr>
            <w:tcW w:w="764" w:type="dxa"/>
            <w:vMerge w:val="restart"/>
            <w:vAlign w:val="center"/>
          </w:tcPr>
          <w:p>
            <w:pPr>
              <w:pStyle w:val="62"/>
              <w:spacing w:before="0"/>
              <w:rPr>
                <w:rFonts w:ascii="Times New Roman" w:hAnsi="Times New Roman" w:eastAsia="宋体"/>
                <w:b/>
                <w:color w:val="auto"/>
              </w:rPr>
            </w:pPr>
            <w:r>
              <w:rPr>
                <w:rFonts w:ascii="Times New Roman" w:hAnsi="Times New Roman" w:eastAsia="宋体"/>
                <w:b/>
                <w:color w:val="auto"/>
              </w:rPr>
              <w:t>排放去向</w:t>
            </w:r>
          </w:p>
        </w:tc>
        <w:tc>
          <w:tcPr>
            <w:tcW w:w="513" w:type="dxa"/>
            <w:vMerge w:val="restart"/>
            <w:vAlign w:val="center"/>
          </w:tcPr>
          <w:p>
            <w:pPr>
              <w:pStyle w:val="62"/>
              <w:spacing w:before="0"/>
              <w:rPr>
                <w:rFonts w:ascii="Times New Roman" w:hAnsi="Times New Roman" w:eastAsia="宋体"/>
                <w:b/>
                <w:color w:val="auto"/>
              </w:rPr>
            </w:pPr>
            <w:r>
              <w:rPr>
                <w:rFonts w:ascii="Times New Roman" w:hAnsi="Times New Roman" w:eastAsia="宋体"/>
                <w:b/>
                <w:color w:val="auto"/>
              </w:rPr>
              <w:t>排放规律</w:t>
            </w:r>
          </w:p>
        </w:tc>
        <w:tc>
          <w:tcPr>
            <w:tcW w:w="709" w:type="dxa"/>
            <w:vMerge w:val="restart"/>
            <w:vAlign w:val="center"/>
          </w:tcPr>
          <w:p>
            <w:pPr>
              <w:pStyle w:val="62"/>
              <w:spacing w:before="0"/>
              <w:rPr>
                <w:rFonts w:ascii="Times New Roman" w:hAnsi="Times New Roman" w:eastAsia="宋体"/>
                <w:b/>
                <w:color w:val="auto"/>
              </w:rPr>
            </w:pPr>
            <w:r>
              <w:rPr>
                <w:rFonts w:ascii="Times New Roman" w:hAnsi="Times New Roman" w:eastAsia="宋体"/>
                <w:b/>
                <w:color w:val="auto"/>
              </w:rPr>
              <w:t>间歇排放时段</w:t>
            </w:r>
          </w:p>
        </w:tc>
        <w:tc>
          <w:tcPr>
            <w:tcW w:w="1698" w:type="dxa"/>
            <w:gridSpan w:val="2"/>
            <w:vAlign w:val="center"/>
          </w:tcPr>
          <w:p>
            <w:pPr>
              <w:pStyle w:val="62"/>
              <w:spacing w:before="0"/>
              <w:rPr>
                <w:rFonts w:ascii="Times New Roman" w:hAnsi="Times New Roman" w:eastAsia="宋体"/>
                <w:b/>
                <w:color w:val="auto"/>
              </w:rPr>
            </w:pPr>
            <w:r>
              <w:rPr>
                <w:rFonts w:hint="eastAsia" w:ascii="Times New Roman" w:hAnsi="Times New Roman" w:eastAsia="宋体"/>
                <w:b/>
                <w:color w:val="auto"/>
              </w:rPr>
              <w:t>受纳自然水体信息</w:t>
            </w:r>
          </w:p>
        </w:tc>
        <w:tc>
          <w:tcPr>
            <w:tcW w:w="1559" w:type="dxa"/>
            <w:gridSpan w:val="2"/>
            <w:vAlign w:val="center"/>
          </w:tcPr>
          <w:p>
            <w:pPr>
              <w:pStyle w:val="62"/>
              <w:spacing w:before="0"/>
              <w:rPr>
                <w:rFonts w:ascii="Times New Roman" w:hAnsi="Times New Roman" w:eastAsia="宋体"/>
                <w:b/>
                <w:color w:val="auto"/>
              </w:rPr>
            </w:pPr>
            <w:r>
              <w:rPr>
                <w:rFonts w:hint="eastAsia" w:ascii="Times New Roman" w:hAnsi="Times New Roman" w:eastAsia="宋体"/>
                <w:b/>
                <w:color w:val="auto"/>
              </w:rPr>
              <w:t>汇入受纳自然水体处地理坐标</w:t>
            </w:r>
          </w:p>
        </w:tc>
        <w:tc>
          <w:tcPr>
            <w:tcW w:w="307" w:type="dxa"/>
            <w:vMerge w:val="restart"/>
            <w:vAlign w:val="center"/>
          </w:tcPr>
          <w:p>
            <w:pPr>
              <w:pStyle w:val="62"/>
              <w:spacing w:before="0"/>
              <w:rPr>
                <w:rFonts w:ascii="Times New Roman" w:hAnsi="Times New Roman" w:eastAsia="宋体"/>
                <w:b/>
                <w:color w:val="auto"/>
              </w:rPr>
            </w:pPr>
            <w:r>
              <w:rPr>
                <w:rFonts w:hint="eastAsia" w:ascii="Times New Roman" w:hAnsi="Times New Roman" w:eastAsia="宋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9" w:hRule="atLeast"/>
          <w:jc w:val="center"/>
        </w:trPr>
        <w:tc>
          <w:tcPr>
            <w:tcW w:w="432" w:type="dxa"/>
            <w:vMerge w:val="continue"/>
            <w:vAlign w:val="center"/>
          </w:tcPr>
          <w:p>
            <w:pPr>
              <w:pStyle w:val="62"/>
              <w:spacing w:before="0"/>
              <w:rPr>
                <w:rFonts w:ascii="Times New Roman" w:hAnsi="Times New Roman" w:eastAsia="宋体"/>
                <w:color w:val="auto"/>
              </w:rPr>
            </w:pPr>
          </w:p>
        </w:tc>
        <w:tc>
          <w:tcPr>
            <w:tcW w:w="781" w:type="dxa"/>
            <w:vMerge w:val="continue"/>
            <w:vAlign w:val="center"/>
          </w:tcPr>
          <w:p>
            <w:pPr>
              <w:pStyle w:val="62"/>
              <w:spacing w:before="0"/>
              <w:rPr>
                <w:rFonts w:ascii="Times New Roman" w:hAnsi="Times New Roman" w:eastAsia="宋体"/>
                <w:color w:val="auto"/>
              </w:rPr>
            </w:pPr>
          </w:p>
        </w:tc>
        <w:tc>
          <w:tcPr>
            <w:tcW w:w="851" w:type="dxa"/>
            <w:vAlign w:val="center"/>
          </w:tcPr>
          <w:p>
            <w:pPr>
              <w:pStyle w:val="62"/>
              <w:spacing w:before="0"/>
              <w:rPr>
                <w:rFonts w:ascii="Times New Roman" w:hAnsi="Times New Roman" w:eastAsia="宋体"/>
                <w:b/>
                <w:color w:val="auto"/>
              </w:rPr>
            </w:pPr>
            <w:r>
              <w:rPr>
                <w:rFonts w:ascii="Times New Roman" w:hAnsi="Times New Roman" w:eastAsia="宋体"/>
                <w:b/>
                <w:color w:val="auto"/>
              </w:rPr>
              <w:t>经度</w:t>
            </w:r>
          </w:p>
        </w:tc>
        <w:tc>
          <w:tcPr>
            <w:tcW w:w="708" w:type="dxa"/>
            <w:vAlign w:val="center"/>
          </w:tcPr>
          <w:p>
            <w:pPr>
              <w:pStyle w:val="62"/>
              <w:spacing w:before="0"/>
              <w:rPr>
                <w:rFonts w:ascii="Times New Roman" w:hAnsi="Times New Roman" w:eastAsia="宋体"/>
                <w:b/>
                <w:color w:val="auto"/>
              </w:rPr>
            </w:pPr>
            <w:r>
              <w:rPr>
                <w:rFonts w:ascii="Times New Roman" w:hAnsi="Times New Roman" w:eastAsia="宋体"/>
                <w:b/>
                <w:color w:val="auto"/>
              </w:rPr>
              <w:t>纬度</w:t>
            </w:r>
          </w:p>
        </w:tc>
        <w:tc>
          <w:tcPr>
            <w:tcW w:w="991" w:type="dxa"/>
            <w:vMerge w:val="continue"/>
            <w:vAlign w:val="center"/>
          </w:tcPr>
          <w:p>
            <w:pPr>
              <w:pStyle w:val="62"/>
              <w:spacing w:before="0"/>
              <w:rPr>
                <w:rFonts w:ascii="Times New Roman" w:hAnsi="Times New Roman" w:eastAsia="宋体"/>
                <w:b/>
                <w:color w:val="auto"/>
              </w:rPr>
            </w:pPr>
          </w:p>
        </w:tc>
        <w:tc>
          <w:tcPr>
            <w:tcW w:w="764" w:type="dxa"/>
            <w:vMerge w:val="continue"/>
            <w:vAlign w:val="center"/>
          </w:tcPr>
          <w:p>
            <w:pPr>
              <w:pStyle w:val="62"/>
              <w:spacing w:before="0"/>
              <w:rPr>
                <w:rFonts w:ascii="Times New Roman" w:hAnsi="Times New Roman" w:eastAsia="宋体"/>
                <w:b/>
                <w:color w:val="auto"/>
              </w:rPr>
            </w:pPr>
          </w:p>
        </w:tc>
        <w:tc>
          <w:tcPr>
            <w:tcW w:w="513" w:type="dxa"/>
            <w:vMerge w:val="continue"/>
            <w:vAlign w:val="center"/>
          </w:tcPr>
          <w:p>
            <w:pPr>
              <w:pStyle w:val="62"/>
              <w:spacing w:before="0"/>
              <w:rPr>
                <w:rFonts w:ascii="Times New Roman" w:hAnsi="Times New Roman" w:eastAsia="宋体"/>
                <w:b/>
                <w:color w:val="auto"/>
              </w:rPr>
            </w:pPr>
          </w:p>
        </w:tc>
        <w:tc>
          <w:tcPr>
            <w:tcW w:w="709" w:type="dxa"/>
            <w:vMerge w:val="continue"/>
            <w:vAlign w:val="center"/>
          </w:tcPr>
          <w:p>
            <w:pPr>
              <w:pStyle w:val="62"/>
              <w:spacing w:before="0"/>
              <w:rPr>
                <w:rFonts w:ascii="Times New Roman" w:hAnsi="Times New Roman" w:eastAsia="宋体"/>
                <w:b/>
                <w:color w:val="auto"/>
              </w:rPr>
            </w:pPr>
          </w:p>
        </w:tc>
        <w:tc>
          <w:tcPr>
            <w:tcW w:w="712" w:type="dxa"/>
            <w:vAlign w:val="center"/>
          </w:tcPr>
          <w:p>
            <w:pPr>
              <w:pStyle w:val="62"/>
              <w:spacing w:before="0"/>
              <w:rPr>
                <w:rFonts w:ascii="Times New Roman" w:hAnsi="Times New Roman" w:eastAsia="宋体"/>
                <w:b/>
                <w:color w:val="auto"/>
              </w:rPr>
            </w:pPr>
            <w:r>
              <w:rPr>
                <w:rFonts w:hint="eastAsia" w:ascii="Times New Roman" w:hAnsi="Times New Roman" w:eastAsia="宋体"/>
                <w:b/>
                <w:color w:val="auto"/>
              </w:rPr>
              <w:t>名称</w:t>
            </w:r>
          </w:p>
        </w:tc>
        <w:tc>
          <w:tcPr>
            <w:tcW w:w="986" w:type="dxa"/>
            <w:vAlign w:val="center"/>
          </w:tcPr>
          <w:p>
            <w:pPr>
              <w:pStyle w:val="62"/>
              <w:spacing w:before="0"/>
              <w:rPr>
                <w:rFonts w:ascii="Times New Roman" w:hAnsi="Times New Roman" w:eastAsia="宋体"/>
                <w:b/>
                <w:color w:val="auto"/>
              </w:rPr>
            </w:pPr>
            <w:r>
              <w:rPr>
                <w:rFonts w:hint="eastAsia" w:ascii="Times New Roman" w:hAnsi="Times New Roman" w:eastAsia="宋体"/>
                <w:b/>
                <w:color w:val="auto"/>
              </w:rPr>
              <w:t>受纳水体功能目标</w:t>
            </w:r>
          </w:p>
        </w:tc>
        <w:tc>
          <w:tcPr>
            <w:tcW w:w="851" w:type="dxa"/>
            <w:vAlign w:val="center"/>
          </w:tcPr>
          <w:p>
            <w:pPr>
              <w:pStyle w:val="62"/>
              <w:spacing w:before="0"/>
              <w:rPr>
                <w:rFonts w:ascii="Times New Roman" w:hAnsi="Times New Roman" w:eastAsia="宋体"/>
                <w:b/>
                <w:color w:val="auto"/>
              </w:rPr>
            </w:pPr>
            <w:r>
              <w:rPr>
                <w:rFonts w:ascii="Times New Roman" w:hAnsi="Times New Roman" w:eastAsia="宋体"/>
                <w:b/>
                <w:color w:val="auto"/>
              </w:rPr>
              <w:t>经度</w:t>
            </w:r>
          </w:p>
        </w:tc>
        <w:tc>
          <w:tcPr>
            <w:tcW w:w="708" w:type="dxa"/>
            <w:vAlign w:val="center"/>
          </w:tcPr>
          <w:p>
            <w:pPr>
              <w:pStyle w:val="62"/>
              <w:spacing w:before="0"/>
              <w:rPr>
                <w:rFonts w:ascii="Times New Roman" w:hAnsi="Times New Roman" w:eastAsia="宋体"/>
                <w:b/>
                <w:color w:val="auto"/>
              </w:rPr>
            </w:pPr>
            <w:r>
              <w:rPr>
                <w:rFonts w:ascii="Times New Roman" w:hAnsi="Times New Roman" w:eastAsia="宋体"/>
                <w:b/>
                <w:color w:val="auto"/>
              </w:rPr>
              <w:t>纬度</w:t>
            </w:r>
          </w:p>
        </w:tc>
        <w:tc>
          <w:tcPr>
            <w:tcW w:w="307" w:type="dxa"/>
            <w:vMerge w:val="continue"/>
            <w:vAlign w:val="center"/>
          </w:tcPr>
          <w:p>
            <w:pPr>
              <w:pStyle w:val="62"/>
              <w:spacing w:before="0"/>
              <w:rPr>
                <w:rFonts w:ascii="Times New Roman" w:hAnsi="Times New Roman"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2" w:hRule="atLeast"/>
          <w:jc w:val="center"/>
        </w:trPr>
        <w:tc>
          <w:tcPr>
            <w:tcW w:w="432" w:type="dxa"/>
            <w:vAlign w:val="center"/>
          </w:tcPr>
          <w:p>
            <w:pPr>
              <w:pStyle w:val="62"/>
              <w:spacing w:before="0"/>
              <w:rPr>
                <w:rFonts w:ascii="Times New Roman" w:hAnsi="Times New Roman" w:eastAsia="宋体"/>
                <w:color w:val="auto"/>
              </w:rPr>
            </w:pPr>
            <w:r>
              <w:rPr>
                <w:rFonts w:ascii="Times New Roman" w:hAnsi="Times New Roman" w:eastAsia="宋体"/>
                <w:color w:val="auto"/>
              </w:rPr>
              <w:t>1</w:t>
            </w:r>
          </w:p>
        </w:tc>
        <w:tc>
          <w:tcPr>
            <w:tcW w:w="781"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w:t>
            </w:r>
          </w:p>
        </w:tc>
        <w:tc>
          <w:tcPr>
            <w:tcW w:w="851" w:type="dxa"/>
            <w:vAlign w:val="center"/>
          </w:tcPr>
          <w:p>
            <w:pPr>
              <w:pStyle w:val="62"/>
              <w:spacing w:before="0"/>
              <w:rPr>
                <w:rFonts w:ascii="Times New Roman" w:hAnsi="Times New Roman" w:eastAsia="宋体"/>
                <w:color w:val="auto"/>
              </w:rPr>
            </w:pPr>
            <w:r>
              <w:rPr>
                <w:rFonts w:ascii="Times New Roman" w:hAnsi="Times New Roman" w:eastAsia="宋体"/>
                <w:color w:val="auto"/>
              </w:rPr>
              <w:t>115.844167</w:t>
            </w:r>
            <w:r>
              <w:rPr>
                <w:rFonts w:hint="eastAsia" w:ascii="Times New Roman" w:hAnsi="Times New Roman" w:eastAsia="宋体"/>
                <w:color w:val="auto"/>
              </w:rPr>
              <w:t>°</w:t>
            </w:r>
          </w:p>
        </w:tc>
        <w:tc>
          <w:tcPr>
            <w:tcW w:w="708" w:type="dxa"/>
            <w:vAlign w:val="center"/>
          </w:tcPr>
          <w:p>
            <w:pPr>
              <w:pStyle w:val="62"/>
              <w:spacing w:before="0"/>
              <w:rPr>
                <w:rFonts w:ascii="Times New Roman" w:hAnsi="Times New Roman" w:eastAsia="宋体"/>
                <w:color w:val="auto"/>
              </w:rPr>
            </w:pPr>
            <w:r>
              <w:rPr>
                <w:rFonts w:ascii="Times New Roman" w:hAnsi="Times New Roman" w:eastAsia="宋体"/>
                <w:color w:val="auto"/>
              </w:rPr>
              <w:t>23.938771</w:t>
            </w:r>
            <w:r>
              <w:rPr>
                <w:rFonts w:hint="eastAsia" w:ascii="Times New Roman" w:hAnsi="Times New Roman" w:eastAsia="宋体"/>
                <w:color w:val="auto"/>
              </w:rPr>
              <w:t>°</w:t>
            </w:r>
          </w:p>
        </w:tc>
        <w:tc>
          <w:tcPr>
            <w:tcW w:w="991"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204.4</w:t>
            </w:r>
          </w:p>
        </w:tc>
        <w:tc>
          <w:tcPr>
            <w:tcW w:w="764" w:type="dxa"/>
            <w:vAlign w:val="center"/>
          </w:tcPr>
          <w:p>
            <w:pPr>
              <w:pStyle w:val="62"/>
              <w:spacing w:before="0"/>
              <w:rPr>
                <w:rFonts w:ascii="宋体" w:hAnsi="宋体" w:eastAsia="宋体"/>
                <w:color w:val="auto"/>
              </w:rPr>
            </w:pPr>
            <w:r>
              <w:rPr>
                <w:rFonts w:hint="eastAsia" w:ascii="宋体" w:hAnsi="宋体" w:eastAsia="宋体"/>
                <w:color w:val="auto"/>
              </w:rPr>
              <w:t>大嵩河</w:t>
            </w:r>
          </w:p>
        </w:tc>
        <w:tc>
          <w:tcPr>
            <w:tcW w:w="513" w:type="dxa"/>
            <w:vAlign w:val="center"/>
          </w:tcPr>
          <w:p>
            <w:pPr>
              <w:pStyle w:val="62"/>
              <w:spacing w:before="0"/>
              <w:rPr>
                <w:rFonts w:ascii="Times New Roman" w:hAnsi="Times New Roman" w:eastAsia="宋体"/>
                <w:color w:val="auto"/>
              </w:rPr>
            </w:pPr>
            <w:r>
              <w:rPr>
                <w:rFonts w:hint="eastAsia" w:ascii="Times New Roman" w:hAnsi="宋体" w:eastAsia="宋体"/>
                <w:color w:val="auto"/>
              </w:rPr>
              <w:t>连续稳定排放</w:t>
            </w:r>
          </w:p>
        </w:tc>
        <w:tc>
          <w:tcPr>
            <w:tcW w:w="709"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w:t>
            </w:r>
          </w:p>
        </w:tc>
        <w:tc>
          <w:tcPr>
            <w:tcW w:w="712"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大嵩河</w:t>
            </w:r>
          </w:p>
        </w:tc>
        <w:tc>
          <w:tcPr>
            <w:tcW w:w="986"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Ⅲ类</w:t>
            </w:r>
          </w:p>
        </w:tc>
        <w:tc>
          <w:tcPr>
            <w:tcW w:w="851" w:type="dxa"/>
            <w:vAlign w:val="center"/>
          </w:tcPr>
          <w:p>
            <w:pPr>
              <w:pStyle w:val="62"/>
              <w:spacing w:before="0"/>
              <w:rPr>
                <w:rFonts w:ascii="Times New Roman" w:hAnsi="Times New Roman" w:eastAsia="宋体"/>
                <w:color w:val="auto"/>
              </w:rPr>
            </w:pPr>
            <w:r>
              <w:rPr>
                <w:rFonts w:ascii="Times New Roman" w:hAnsi="Times New Roman" w:eastAsia="宋体"/>
                <w:color w:val="auto"/>
              </w:rPr>
              <w:t>115.844167</w:t>
            </w:r>
            <w:r>
              <w:rPr>
                <w:rFonts w:hint="eastAsia" w:ascii="Times New Roman" w:hAnsi="Times New Roman" w:eastAsia="宋体"/>
                <w:color w:val="auto"/>
              </w:rPr>
              <w:t>°</w:t>
            </w:r>
          </w:p>
        </w:tc>
        <w:tc>
          <w:tcPr>
            <w:tcW w:w="708" w:type="dxa"/>
            <w:vAlign w:val="center"/>
          </w:tcPr>
          <w:p>
            <w:pPr>
              <w:pStyle w:val="62"/>
              <w:spacing w:before="0"/>
              <w:rPr>
                <w:rFonts w:ascii="Times New Roman" w:hAnsi="Times New Roman" w:eastAsia="宋体"/>
                <w:color w:val="auto"/>
              </w:rPr>
            </w:pPr>
            <w:r>
              <w:rPr>
                <w:rFonts w:ascii="Times New Roman" w:hAnsi="Times New Roman" w:eastAsia="宋体"/>
                <w:color w:val="auto"/>
              </w:rPr>
              <w:t>23.938771</w:t>
            </w:r>
            <w:r>
              <w:rPr>
                <w:rFonts w:hint="eastAsia" w:ascii="Times New Roman" w:hAnsi="Times New Roman" w:eastAsia="宋体"/>
                <w:color w:val="auto"/>
              </w:rPr>
              <w:t>°</w:t>
            </w:r>
          </w:p>
        </w:tc>
        <w:tc>
          <w:tcPr>
            <w:tcW w:w="307" w:type="dxa"/>
            <w:vAlign w:val="center"/>
          </w:tcPr>
          <w:p>
            <w:pPr>
              <w:pStyle w:val="62"/>
              <w:spacing w:before="0"/>
              <w:rPr>
                <w:rFonts w:ascii="Times New Roman" w:hAnsi="Times New Roman" w:eastAsia="宋体"/>
                <w:color w:val="auto"/>
              </w:rPr>
            </w:pPr>
            <w:r>
              <w:rPr>
                <w:rFonts w:hint="eastAsia" w:ascii="Times New Roman" w:hAnsi="Times New Roman" w:eastAsia="宋体"/>
                <w:color w:val="auto"/>
              </w:rPr>
              <w:t>/</w:t>
            </w:r>
          </w:p>
        </w:tc>
      </w:tr>
    </w:tbl>
    <w:p>
      <w:pPr>
        <w:widowControl/>
        <w:spacing w:line="360" w:lineRule="auto"/>
        <w:jc w:val="center"/>
        <w:rPr>
          <w:b/>
          <w:color w:val="auto"/>
          <w:sz w:val="24"/>
          <w:szCs w:val="24"/>
        </w:rPr>
      </w:pPr>
      <w:r>
        <w:rPr>
          <w:rFonts w:hint="eastAsia"/>
          <w:b/>
          <w:color w:val="auto"/>
          <w:sz w:val="24"/>
          <w:szCs w:val="24"/>
        </w:rPr>
        <w:t xml:space="preserve">表5-2-22   </w:t>
      </w:r>
      <w:r>
        <w:rPr>
          <w:b/>
          <w:color w:val="auto"/>
          <w:sz w:val="24"/>
          <w:szCs w:val="24"/>
        </w:rPr>
        <w:t>废水污染物排放执行标准表</w:t>
      </w:r>
    </w:p>
    <w:tbl>
      <w:tblPr>
        <w:tblStyle w:val="28"/>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58"/>
        <w:gridCol w:w="1448"/>
        <w:gridCol w:w="1286"/>
        <w:gridCol w:w="2499"/>
        <w:gridCol w:w="3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restart"/>
            <w:vAlign w:val="center"/>
          </w:tcPr>
          <w:p>
            <w:pPr>
              <w:jc w:val="center"/>
              <w:rPr>
                <w:b/>
                <w:color w:val="auto"/>
                <w:sz w:val="21"/>
                <w:szCs w:val="21"/>
              </w:rPr>
            </w:pPr>
            <w:r>
              <w:rPr>
                <w:b/>
                <w:color w:val="auto"/>
                <w:sz w:val="21"/>
                <w:szCs w:val="21"/>
              </w:rPr>
              <w:t>序号</w:t>
            </w:r>
          </w:p>
        </w:tc>
        <w:tc>
          <w:tcPr>
            <w:tcW w:w="1448" w:type="dxa"/>
            <w:vMerge w:val="restart"/>
            <w:vAlign w:val="center"/>
          </w:tcPr>
          <w:p>
            <w:pPr>
              <w:jc w:val="center"/>
              <w:rPr>
                <w:b/>
                <w:color w:val="auto"/>
                <w:sz w:val="21"/>
                <w:szCs w:val="21"/>
              </w:rPr>
            </w:pPr>
            <w:r>
              <w:rPr>
                <w:b/>
                <w:color w:val="auto"/>
                <w:sz w:val="21"/>
                <w:szCs w:val="21"/>
              </w:rPr>
              <w:t>排放口编号</w:t>
            </w:r>
          </w:p>
        </w:tc>
        <w:tc>
          <w:tcPr>
            <w:tcW w:w="1286" w:type="dxa"/>
            <w:vMerge w:val="restart"/>
            <w:vAlign w:val="center"/>
          </w:tcPr>
          <w:p>
            <w:pPr>
              <w:jc w:val="center"/>
              <w:rPr>
                <w:b/>
                <w:color w:val="auto"/>
                <w:sz w:val="21"/>
                <w:szCs w:val="21"/>
              </w:rPr>
            </w:pPr>
            <w:r>
              <w:rPr>
                <w:b/>
                <w:color w:val="auto"/>
                <w:sz w:val="21"/>
                <w:szCs w:val="21"/>
              </w:rPr>
              <w:t>污染物种类</w:t>
            </w:r>
          </w:p>
        </w:tc>
        <w:tc>
          <w:tcPr>
            <w:tcW w:w="5738" w:type="dxa"/>
            <w:gridSpan w:val="2"/>
            <w:vAlign w:val="center"/>
          </w:tcPr>
          <w:p>
            <w:pPr>
              <w:jc w:val="center"/>
              <w:rPr>
                <w:b/>
                <w:color w:val="auto"/>
                <w:sz w:val="21"/>
                <w:szCs w:val="21"/>
              </w:rPr>
            </w:pPr>
            <w:r>
              <w:rPr>
                <w:b/>
                <w:color w:val="auto"/>
                <w:sz w:val="21"/>
                <w:szCs w:val="21"/>
              </w:rPr>
              <w:t>国家或地方污染物排放标准及其他按规定商定的排放协议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b/>
                <w:color w:val="auto"/>
                <w:sz w:val="21"/>
                <w:szCs w:val="21"/>
              </w:rPr>
            </w:pPr>
          </w:p>
        </w:tc>
        <w:tc>
          <w:tcPr>
            <w:tcW w:w="1448" w:type="dxa"/>
            <w:vMerge w:val="continue"/>
            <w:vAlign w:val="center"/>
          </w:tcPr>
          <w:p>
            <w:pPr>
              <w:jc w:val="center"/>
              <w:rPr>
                <w:b/>
                <w:color w:val="auto"/>
                <w:sz w:val="21"/>
                <w:szCs w:val="21"/>
              </w:rPr>
            </w:pPr>
          </w:p>
        </w:tc>
        <w:tc>
          <w:tcPr>
            <w:tcW w:w="1286" w:type="dxa"/>
            <w:vMerge w:val="continue"/>
            <w:vAlign w:val="center"/>
          </w:tcPr>
          <w:p>
            <w:pPr>
              <w:jc w:val="center"/>
              <w:rPr>
                <w:b/>
                <w:color w:val="auto"/>
                <w:sz w:val="21"/>
                <w:szCs w:val="21"/>
              </w:rPr>
            </w:pPr>
          </w:p>
        </w:tc>
        <w:tc>
          <w:tcPr>
            <w:tcW w:w="2499" w:type="dxa"/>
            <w:vAlign w:val="center"/>
          </w:tcPr>
          <w:p>
            <w:pPr>
              <w:jc w:val="center"/>
              <w:rPr>
                <w:b/>
                <w:color w:val="auto"/>
                <w:sz w:val="21"/>
                <w:szCs w:val="21"/>
              </w:rPr>
            </w:pPr>
            <w:r>
              <w:rPr>
                <w:rFonts w:hint="eastAsia"/>
                <w:b/>
                <w:color w:val="auto"/>
                <w:sz w:val="21"/>
                <w:szCs w:val="21"/>
              </w:rPr>
              <w:t>名称</w:t>
            </w:r>
          </w:p>
        </w:tc>
        <w:tc>
          <w:tcPr>
            <w:tcW w:w="3239" w:type="dxa"/>
            <w:vAlign w:val="center"/>
          </w:tcPr>
          <w:p>
            <w:pPr>
              <w:jc w:val="center"/>
              <w:rPr>
                <w:b/>
                <w:color w:val="auto"/>
                <w:sz w:val="21"/>
                <w:szCs w:val="21"/>
              </w:rPr>
            </w:pPr>
            <w:r>
              <w:rPr>
                <w:rFonts w:hint="eastAsia"/>
                <w:b/>
                <w:color w:val="auto"/>
                <w:sz w:val="21"/>
                <w:szCs w:val="21"/>
              </w:rPr>
              <w:t>浓度限值（</w:t>
            </w:r>
            <w:r>
              <w:rPr>
                <w:b/>
                <w:color w:val="auto"/>
                <w:sz w:val="21"/>
                <w:szCs w:val="21"/>
              </w:rPr>
              <w:t>mg/L</w:t>
            </w:r>
            <w:r>
              <w:rPr>
                <w:rFonts w:hint="eastAsia"/>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 w:hRule="atLeast"/>
          <w:jc w:val="center"/>
        </w:trPr>
        <w:tc>
          <w:tcPr>
            <w:tcW w:w="758" w:type="dxa"/>
            <w:vMerge w:val="restart"/>
            <w:vAlign w:val="center"/>
          </w:tcPr>
          <w:p>
            <w:pPr>
              <w:jc w:val="center"/>
              <w:rPr>
                <w:color w:val="auto"/>
                <w:sz w:val="21"/>
                <w:szCs w:val="21"/>
              </w:rPr>
            </w:pPr>
            <w:r>
              <w:rPr>
                <w:color w:val="auto"/>
                <w:sz w:val="21"/>
                <w:szCs w:val="21"/>
              </w:rPr>
              <w:t>1</w:t>
            </w:r>
          </w:p>
        </w:tc>
        <w:tc>
          <w:tcPr>
            <w:tcW w:w="1448" w:type="dxa"/>
            <w:vMerge w:val="restart"/>
            <w:vAlign w:val="center"/>
          </w:tcPr>
          <w:p>
            <w:pPr>
              <w:jc w:val="center"/>
              <w:rPr>
                <w:color w:val="auto"/>
                <w:sz w:val="21"/>
                <w:szCs w:val="21"/>
              </w:rPr>
            </w:pPr>
            <w:r>
              <w:rPr>
                <w:rFonts w:hint="eastAsia"/>
                <w:color w:val="auto"/>
                <w:sz w:val="21"/>
                <w:szCs w:val="21"/>
              </w:rPr>
              <w:t>/</w:t>
            </w:r>
          </w:p>
        </w:tc>
        <w:tc>
          <w:tcPr>
            <w:tcW w:w="1286" w:type="dxa"/>
            <w:vAlign w:val="center"/>
          </w:tcPr>
          <w:p>
            <w:pPr>
              <w:jc w:val="center"/>
              <w:rPr>
                <w:color w:val="auto"/>
                <w:sz w:val="21"/>
                <w:szCs w:val="21"/>
              </w:rPr>
            </w:pPr>
            <w:r>
              <w:rPr>
                <w:color w:val="auto"/>
                <w:sz w:val="21"/>
                <w:szCs w:val="21"/>
              </w:rPr>
              <w:t>COD</w:t>
            </w:r>
            <w:r>
              <w:rPr>
                <w:color w:val="auto"/>
                <w:sz w:val="21"/>
                <w:szCs w:val="21"/>
                <w:vertAlign w:val="subscript"/>
              </w:rPr>
              <w:t>Cr</w:t>
            </w:r>
          </w:p>
        </w:tc>
        <w:tc>
          <w:tcPr>
            <w:tcW w:w="2499" w:type="dxa"/>
            <w:vMerge w:val="restart"/>
            <w:vAlign w:val="center"/>
          </w:tcPr>
          <w:p>
            <w:pPr>
              <w:jc w:val="center"/>
              <w:rPr>
                <w:color w:val="auto"/>
                <w:sz w:val="21"/>
                <w:szCs w:val="21"/>
              </w:rPr>
            </w:pPr>
            <w:r>
              <w:rPr>
                <w:rFonts w:hint="eastAsia"/>
                <w:color w:val="auto"/>
                <w:sz w:val="21"/>
                <w:szCs w:val="21"/>
              </w:rPr>
              <w:t>《地表水环境质量标准》（GB3838-2002）准Ⅳ类标准（即SS、粪大肠菌群数达到《城镇污水处理厂污染物排放标准》（GB18918-2002）中的一级A出水标准，其它主要污染指标达到地表水Ⅳ类标准，TN放宽至10mg/L）</w:t>
            </w:r>
          </w:p>
        </w:tc>
        <w:tc>
          <w:tcPr>
            <w:tcW w:w="3239" w:type="dxa"/>
            <w:vAlign w:val="center"/>
          </w:tcPr>
          <w:p>
            <w:pPr>
              <w:jc w:val="center"/>
              <w:rPr>
                <w:color w:val="auto"/>
                <w:sz w:val="21"/>
                <w:szCs w:val="21"/>
              </w:rPr>
            </w:pPr>
            <w:r>
              <w:rPr>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color w:val="auto"/>
                <w:sz w:val="21"/>
                <w:szCs w:val="21"/>
              </w:rPr>
            </w:pPr>
          </w:p>
        </w:tc>
        <w:tc>
          <w:tcPr>
            <w:tcW w:w="1448" w:type="dxa"/>
            <w:vMerge w:val="continue"/>
            <w:vAlign w:val="center"/>
          </w:tcPr>
          <w:p>
            <w:pPr>
              <w:jc w:val="center"/>
              <w:rPr>
                <w:color w:val="auto"/>
                <w:sz w:val="21"/>
                <w:szCs w:val="21"/>
              </w:rPr>
            </w:pPr>
          </w:p>
        </w:tc>
        <w:tc>
          <w:tcPr>
            <w:tcW w:w="1286" w:type="dxa"/>
            <w:vAlign w:val="center"/>
          </w:tcPr>
          <w:p>
            <w:pPr>
              <w:jc w:val="center"/>
              <w:rPr>
                <w:color w:val="auto"/>
                <w:sz w:val="21"/>
                <w:szCs w:val="21"/>
              </w:rPr>
            </w:pPr>
            <w:r>
              <w:rPr>
                <w:color w:val="auto"/>
                <w:sz w:val="21"/>
                <w:szCs w:val="21"/>
              </w:rPr>
              <w:t>BOD</w:t>
            </w:r>
            <w:r>
              <w:rPr>
                <w:color w:val="auto"/>
                <w:sz w:val="21"/>
                <w:szCs w:val="21"/>
                <w:vertAlign w:val="subscript"/>
              </w:rPr>
              <w:t>5</w:t>
            </w:r>
          </w:p>
        </w:tc>
        <w:tc>
          <w:tcPr>
            <w:tcW w:w="2499" w:type="dxa"/>
            <w:vMerge w:val="continue"/>
            <w:vAlign w:val="center"/>
          </w:tcPr>
          <w:p>
            <w:pPr>
              <w:jc w:val="center"/>
              <w:rPr>
                <w:color w:val="auto"/>
                <w:sz w:val="21"/>
                <w:szCs w:val="21"/>
              </w:rPr>
            </w:pPr>
          </w:p>
        </w:tc>
        <w:tc>
          <w:tcPr>
            <w:tcW w:w="3239" w:type="dxa"/>
            <w:vAlign w:val="center"/>
          </w:tcPr>
          <w:p>
            <w:pPr>
              <w:jc w:val="center"/>
              <w:rPr>
                <w:color w:val="auto"/>
                <w:sz w:val="21"/>
                <w:szCs w:val="21"/>
              </w:rPr>
            </w:pPr>
            <w:r>
              <w:rPr>
                <w:color w:val="auto"/>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color w:val="auto"/>
                <w:sz w:val="21"/>
                <w:szCs w:val="21"/>
              </w:rPr>
            </w:pPr>
          </w:p>
        </w:tc>
        <w:tc>
          <w:tcPr>
            <w:tcW w:w="1448" w:type="dxa"/>
            <w:vMerge w:val="continue"/>
            <w:vAlign w:val="center"/>
          </w:tcPr>
          <w:p>
            <w:pPr>
              <w:jc w:val="center"/>
              <w:rPr>
                <w:color w:val="auto"/>
                <w:sz w:val="21"/>
                <w:szCs w:val="21"/>
              </w:rPr>
            </w:pPr>
          </w:p>
        </w:tc>
        <w:tc>
          <w:tcPr>
            <w:tcW w:w="1286" w:type="dxa"/>
            <w:vAlign w:val="center"/>
          </w:tcPr>
          <w:p>
            <w:pPr>
              <w:jc w:val="center"/>
              <w:rPr>
                <w:color w:val="auto"/>
                <w:sz w:val="21"/>
                <w:szCs w:val="21"/>
              </w:rPr>
            </w:pPr>
            <w:r>
              <w:rPr>
                <w:color w:val="auto"/>
                <w:sz w:val="21"/>
                <w:szCs w:val="21"/>
              </w:rPr>
              <w:t>SS</w:t>
            </w:r>
          </w:p>
        </w:tc>
        <w:tc>
          <w:tcPr>
            <w:tcW w:w="2499" w:type="dxa"/>
            <w:vMerge w:val="continue"/>
            <w:vAlign w:val="center"/>
          </w:tcPr>
          <w:p>
            <w:pPr>
              <w:jc w:val="center"/>
              <w:rPr>
                <w:color w:val="auto"/>
                <w:sz w:val="21"/>
                <w:szCs w:val="21"/>
              </w:rPr>
            </w:pPr>
          </w:p>
        </w:tc>
        <w:tc>
          <w:tcPr>
            <w:tcW w:w="3239" w:type="dxa"/>
            <w:vAlign w:val="center"/>
          </w:tcPr>
          <w:p>
            <w:pPr>
              <w:jc w:val="center"/>
              <w:rPr>
                <w:color w:val="auto"/>
                <w:sz w:val="21"/>
                <w:szCs w:val="21"/>
              </w:rPr>
            </w:pPr>
            <w:r>
              <w:rPr>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color w:val="auto"/>
                <w:sz w:val="21"/>
                <w:szCs w:val="21"/>
              </w:rPr>
            </w:pPr>
          </w:p>
        </w:tc>
        <w:tc>
          <w:tcPr>
            <w:tcW w:w="1448" w:type="dxa"/>
            <w:vMerge w:val="continue"/>
            <w:vAlign w:val="center"/>
          </w:tcPr>
          <w:p>
            <w:pPr>
              <w:jc w:val="center"/>
              <w:rPr>
                <w:color w:val="auto"/>
                <w:sz w:val="21"/>
                <w:szCs w:val="21"/>
              </w:rPr>
            </w:pPr>
          </w:p>
        </w:tc>
        <w:tc>
          <w:tcPr>
            <w:tcW w:w="1286" w:type="dxa"/>
            <w:vAlign w:val="center"/>
          </w:tcPr>
          <w:p>
            <w:pPr>
              <w:jc w:val="center"/>
              <w:rPr>
                <w:color w:val="auto"/>
                <w:sz w:val="21"/>
                <w:szCs w:val="21"/>
              </w:rPr>
            </w:pPr>
            <w:r>
              <w:rPr>
                <w:color w:val="auto"/>
                <w:sz w:val="21"/>
                <w:szCs w:val="21"/>
              </w:rPr>
              <w:t>TN</w:t>
            </w:r>
          </w:p>
        </w:tc>
        <w:tc>
          <w:tcPr>
            <w:tcW w:w="2499" w:type="dxa"/>
            <w:vMerge w:val="continue"/>
            <w:vAlign w:val="center"/>
          </w:tcPr>
          <w:p>
            <w:pPr>
              <w:jc w:val="center"/>
              <w:rPr>
                <w:color w:val="auto"/>
                <w:sz w:val="21"/>
                <w:szCs w:val="21"/>
              </w:rPr>
            </w:pPr>
          </w:p>
        </w:tc>
        <w:tc>
          <w:tcPr>
            <w:tcW w:w="3239" w:type="dxa"/>
            <w:vAlign w:val="center"/>
          </w:tcPr>
          <w:p>
            <w:pPr>
              <w:jc w:val="center"/>
              <w:rPr>
                <w:color w:val="auto"/>
                <w:sz w:val="21"/>
                <w:szCs w:val="21"/>
              </w:rPr>
            </w:pPr>
            <w:r>
              <w:rPr>
                <w:rFonts w:hint="eastAsia"/>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color w:val="auto"/>
                <w:sz w:val="21"/>
                <w:szCs w:val="21"/>
              </w:rPr>
            </w:pPr>
          </w:p>
        </w:tc>
        <w:tc>
          <w:tcPr>
            <w:tcW w:w="1448" w:type="dxa"/>
            <w:vMerge w:val="continue"/>
            <w:vAlign w:val="center"/>
          </w:tcPr>
          <w:p>
            <w:pPr>
              <w:jc w:val="center"/>
              <w:rPr>
                <w:color w:val="auto"/>
                <w:sz w:val="21"/>
                <w:szCs w:val="21"/>
              </w:rPr>
            </w:pPr>
          </w:p>
        </w:tc>
        <w:tc>
          <w:tcPr>
            <w:tcW w:w="1286" w:type="dxa"/>
            <w:vAlign w:val="center"/>
          </w:tcPr>
          <w:p>
            <w:pPr>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2499" w:type="dxa"/>
            <w:vMerge w:val="continue"/>
            <w:vAlign w:val="center"/>
          </w:tcPr>
          <w:p>
            <w:pPr>
              <w:jc w:val="center"/>
              <w:rPr>
                <w:color w:val="auto"/>
                <w:sz w:val="21"/>
                <w:szCs w:val="21"/>
              </w:rPr>
            </w:pPr>
          </w:p>
        </w:tc>
        <w:tc>
          <w:tcPr>
            <w:tcW w:w="3239" w:type="dxa"/>
            <w:vAlign w:val="center"/>
          </w:tcPr>
          <w:p>
            <w:pPr>
              <w:jc w:val="center"/>
              <w:rPr>
                <w:color w:val="auto"/>
                <w:sz w:val="21"/>
                <w:szCs w:val="21"/>
              </w:rPr>
            </w:pPr>
            <w:r>
              <w:rPr>
                <w:color w:val="auto"/>
                <w:sz w:val="21"/>
                <w:szCs w:val="21"/>
              </w:rPr>
              <w:t>1.5</w:t>
            </w:r>
            <w:r>
              <w:rPr>
                <w:rFonts w:hint="eastAsia"/>
                <w:color w:val="auto"/>
                <w:sz w:val="21"/>
                <w:szCs w:val="21"/>
              </w:rPr>
              <w:t>（</w:t>
            </w:r>
            <w:r>
              <w:rPr>
                <w:color w:val="auto"/>
                <w:sz w:val="21"/>
                <w:szCs w:val="21"/>
              </w:rPr>
              <w:t>3</w:t>
            </w: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color w:val="auto"/>
                <w:sz w:val="21"/>
                <w:szCs w:val="21"/>
              </w:rPr>
            </w:pPr>
          </w:p>
        </w:tc>
        <w:tc>
          <w:tcPr>
            <w:tcW w:w="1448" w:type="dxa"/>
            <w:vMerge w:val="continue"/>
            <w:vAlign w:val="center"/>
          </w:tcPr>
          <w:p>
            <w:pPr>
              <w:jc w:val="center"/>
              <w:rPr>
                <w:color w:val="auto"/>
                <w:sz w:val="21"/>
                <w:szCs w:val="21"/>
              </w:rPr>
            </w:pPr>
          </w:p>
        </w:tc>
        <w:tc>
          <w:tcPr>
            <w:tcW w:w="1286" w:type="dxa"/>
            <w:vAlign w:val="center"/>
          </w:tcPr>
          <w:p>
            <w:pPr>
              <w:jc w:val="center"/>
              <w:rPr>
                <w:color w:val="auto"/>
                <w:sz w:val="21"/>
                <w:szCs w:val="21"/>
              </w:rPr>
            </w:pPr>
            <w:r>
              <w:rPr>
                <w:color w:val="auto"/>
                <w:sz w:val="21"/>
                <w:szCs w:val="21"/>
              </w:rPr>
              <w:t>TP</w:t>
            </w:r>
          </w:p>
        </w:tc>
        <w:tc>
          <w:tcPr>
            <w:tcW w:w="2499" w:type="dxa"/>
            <w:vMerge w:val="continue"/>
            <w:vAlign w:val="center"/>
          </w:tcPr>
          <w:p>
            <w:pPr>
              <w:jc w:val="center"/>
              <w:rPr>
                <w:color w:val="auto"/>
                <w:sz w:val="21"/>
                <w:szCs w:val="21"/>
              </w:rPr>
            </w:pPr>
          </w:p>
        </w:tc>
        <w:tc>
          <w:tcPr>
            <w:tcW w:w="3239" w:type="dxa"/>
            <w:vAlign w:val="center"/>
          </w:tcPr>
          <w:p>
            <w:pPr>
              <w:jc w:val="center"/>
              <w:rPr>
                <w:color w:val="auto"/>
                <w:sz w:val="21"/>
                <w:szCs w:val="21"/>
              </w:rPr>
            </w:pPr>
            <w:r>
              <w:rPr>
                <w:color w:val="auto"/>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color w:val="auto"/>
                <w:sz w:val="21"/>
                <w:szCs w:val="21"/>
              </w:rPr>
            </w:pPr>
          </w:p>
        </w:tc>
        <w:tc>
          <w:tcPr>
            <w:tcW w:w="1448" w:type="dxa"/>
            <w:vMerge w:val="continue"/>
            <w:vAlign w:val="center"/>
          </w:tcPr>
          <w:p>
            <w:pPr>
              <w:jc w:val="center"/>
              <w:rPr>
                <w:color w:val="auto"/>
                <w:sz w:val="21"/>
                <w:szCs w:val="21"/>
              </w:rPr>
            </w:pPr>
          </w:p>
        </w:tc>
        <w:tc>
          <w:tcPr>
            <w:tcW w:w="1286" w:type="dxa"/>
            <w:vAlign w:val="center"/>
          </w:tcPr>
          <w:p>
            <w:pPr>
              <w:jc w:val="center"/>
              <w:rPr>
                <w:color w:val="auto"/>
                <w:sz w:val="21"/>
                <w:szCs w:val="21"/>
              </w:rPr>
            </w:pPr>
            <w:r>
              <w:rPr>
                <w:color w:val="auto"/>
                <w:sz w:val="21"/>
                <w:szCs w:val="21"/>
              </w:rPr>
              <w:t>pH</w:t>
            </w:r>
          </w:p>
        </w:tc>
        <w:tc>
          <w:tcPr>
            <w:tcW w:w="2499" w:type="dxa"/>
            <w:vMerge w:val="continue"/>
            <w:vAlign w:val="center"/>
          </w:tcPr>
          <w:p>
            <w:pPr>
              <w:jc w:val="center"/>
              <w:rPr>
                <w:color w:val="auto"/>
                <w:sz w:val="21"/>
                <w:szCs w:val="21"/>
              </w:rPr>
            </w:pPr>
          </w:p>
        </w:tc>
        <w:tc>
          <w:tcPr>
            <w:tcW w:w="3239" w:type="dxa"/>
            <w:vAlign w:val="center"/>
          </w:tcPr>
          <w:p>
            <w:pPr>
              <w:jc w:val="center"/>
              <w:rPr>
                <w:color w:val="auto"/>
                <w:sz w:val="21"/>
                <w:szCs w:val="21"/>
              </w:rPr>
            </w:pPr>
            <w:r>
              <w:rPr>
                <w:color w:val="auto"/>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dxa"/>
            <w:vMerge w:val="continue"/>
            <w:vAlign w:val="center"/>
          </w:tcPr>
          <w:p>
            <w:pPr>
              <w:jc w:val="center"/>
              <w:rPr>
                <w:color w:val="auto"/>
                <w:sz w:val="21"/>
                <w:szCs w:val="21"/>
              </w:rPr>
            </w:pPr>
          </w:p>
        </w:tc>
        <w:tc>
          <w:tcPr>
            <w:tcW w:w="1448" w:type="dxa"/>
            <w:vMerge w:val="continue"/>
            <w:vAlign w:val="center"/>
          </w:tcPr>
          <w:p>
            <w:pPr>
              <w:jc w:val="center"/>
              <w:rPr>
                <w:color w:val="auto"/>
                <w:sz w:val="21"/>
                <w:szCs w:val="21"/>
              </w:rPr>
            </w:pPr>
          </w:p>
        </w:tc>
        <w:tc>
          <w:tcPr>
            <w:tcW w:w="1286" w:type="dxa"/>
            <w:vAlign w:val="center"/>
          </w:tcPr>
          <w:p>
            <w:pPr>
              <w:jc w:val="center"/>
              <w:rPr>
                <w:rFonts w:ascii="宋体" w:hAnsi="宋体" w:cs="宋体"/>
                <w:color w:val="auto"/>
                <w:sz w:val="21"/>
                <w:szCs w:val="21"/>
              </w:rPr>
            </w:pPr>
            <w:r>
              <w:rPr>
                <w:rFonts w:hint="eastAsia"/>
                <w:color w:val="auto"/>
                <w:sz w:val="21"/>
                <w:szCs w:val="21"/>
              </w:rPr>
              <w:t>粪大肠菌群数（个</w:t>
            </w:r>
            <w:r>
              <w:rPr>
                <w:color w:val="auto"/>
                <w:sz w:val="21"/>
                <w:szCs w:val="21"/>
              </w:rPr>
              <w:t>/L</w:t>
            </w:r>
            <w:r>
              <w:rPr>
                <w:rFonts w:hint="eastAsia"/>
                <w:color w:val="auto"/>
                <w:sz w:val="21"/>
                <w:szCs w:val="21"/>
              </w:rPr>
              <w:t>）</w:t>
            </w:r>
          </w:p>
        </w:tc>
        <w:tc>
          <w:tcPr>
            <w:tcW w:w="2499" w:type="dxa"/>
            <w:vMerge w:val="continue"/>
            <w:vAlign w:val="center"/>
          </w:tcPr>
          <w:p>
            <w:pPr>
              <w:jc w:val="center"/>
              <w:rPr>
                <w:color w:val="auto"/>
                <w:sz w:val="21"/>
                <w:szCs w:val="21"/>
              </w:rPr>
            </w:pPr>
          </w:p>
        </w:tc>
        <w:tc>
          <w:tcPr>
            <w:tcW w:w="3239" w:type="dxa"/>
            <w:vAlign w:val="center"/>
          </w:tcPr>
          <w:p>
            <w:pPr>
              <w:jc w:val="center"/>
              <w:rPr>
                <w:color w:val="auto"/>
                <w:sz w:val="21"/>
                <w:szCs w:val="21"/>
              </w:rPr>
            </w:pPr>
            <w:r>
              <w:rPr>
                <w:color w:val="auto"/>
                <w:sz w:val="21"/>
                <w:szCs w:val="21"/>
              </w:rPr>
              <w:t>10</w:t>
            </w:r>
            <w:r>
              <w:rPr>
                <w:color w:val="auto"/>
                <w:sz w:val="21"/>
                <w:szCs w:val="21"/>
                <w:vertAlign w:val="superscript"/>
              </w:rPr>
              <w:t>3</w:t>
            </w:r>
          </w:p>
        </w:tc>
      </w:tr>
    </w:tbl>
    <w:p>
      <w:pPr>
        <w:widowControl/>
        <w:spacing w:line="360" w:lineRule="auto"/>
        <w:jc w:val="center"/>
        <w:rPr>
          <w:b/>
          <w:color w:val="auto"/>
          <w:sz w:val="24"/>
          <w:szCs w:val="24"/>
        </w:rPr>
      </w:pPr>
      <w:r>
        <w:rPr>
          <w:rFonts w:hint="eastAsia"/>
          <w:b/>
          <w:color w:val="auto"/>
          <w:sz w:val="24"/>
          <w:szCs w:val="24"/>
        </w:rPr>
        <w:t xml:space="preserve">表5-2-23   </w:t>
      </w:r>
      <w:r>
        <w:rPr>
          <w:b/>
          <w:color w:val="auto"/>
          <w:sz w:val="24"/>
          <w:szCs w:val="24"/>
        </w:rPr>
        <w:t>废水污染物排放信息表（新建项目）</w:t>
      </w:r>
    </w:p>
    <w:tbl>
      <w:tblPr>
        <w:tblStyle w:val="28"/>
        <w:tblW w:w="93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417"/>
        <w:gridCol w:w="1559"/>
        <w:gridCol w:w="1881"/>
        <w:gridCol w:w="1703"/>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926" w:type="dxa"/>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b/>
                <w:color w:val="auto"/>
              </w:rPr>
            </w:pPr>
            <w:r>
              <w:rPr>
                <w:rFonts w:ascii="Times New Roman" w:hAnsi="宋体" w:eastAsia="宋体" w:cs="Times New Roman"/>
                <w:b/>
                <w:color w:val="auto"/>
              </w:rPr>
              <w:t>序号</w:t>
            </w:r>
          </w:p>
        </w:tc>
        <w:tc>
          <w:tcPr>
            <w:tcW w:w="1417" w:type="dxa"/>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b/>
                <w:color w:val="auto"/>
              </w:rPr>
            </w:pPr>
            <w:r>
              <w:rPr>
                <w:rFonts w:ascii="Times New Roman" w:hAnsi="宋体" w:eastAsia="宋体" w:cs="Times New Roman"/>
                <w:b/>
                <w:color w:val="auto"/>
              </w:rPr>
              <w:t>排放口编号</w:t>
            </w:r>
          </w:p>
        </w:tc>
        <w:tc>
          <w:tcPr>
            <w:tcW w:w="1559" w:type="dxa"/>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b/>
                <w:color w:val="auto"/>
              </w:rPr>
            </w:pPr>
            <w:r>
              <w:rPr>
                <w:rFonts w:ascii="Times New Roman" w:hAnsi="宋体" w:eastAsia="宋体" w:cs="Times New Roman"/>
                <w:b/>
                <w:color w:val="auto"/>
              </w:rPr>
              <w:t>污染物种类</w:t>
            </w:r>
          </w:p>
        </w:tc>
        <w:tc>
          <w:tcPr>
            <w:tcW w:w="1881" w:type="dxa"/>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b/>
                <w:color w:val="auto"/>
              </w:rPr>
            </w:pPr>
            <w:r>
              <w:rPr>
                <w:rFonts w:ascii="Times New Roman" w:hAnsi="宋体" w:eastAsia="宋体" w:cs="Times New Roman"/>
                <w:b/>
                <w:color w:val="auto"/>
              </w:rPr>
              <w:t>排放浓度（</w:t>
            </w:r>
            <w:r>
              <w:rPr>
                <w:rFonts w:ascii="Times New Roman" w:hAnsi="Times New Roman" w:eastAsia="宋体" w:cs="Times New Roman"/>
                <w:b/>
                <w:color w:val="auto"/>
              </w:rPr>
              <w:t>mg/L</w:t>
            </w:r>
            <w:r>
              <w:rPr>
                <w:rFonts w:ascii="Times New Roman" w:hAnsi="宋体" w:eastAsia="宋体" w:cs="Times New Roman"/>
                <w:b/>
                <w:color w:val="auto"/>
              </w:rPr>
              <w:t>）</w:t>
            </w:r>
          </w:p>
        </w:tc>
        <w:tc>
          <w:tcPr>
            <w:tcW w:w="1703" w:type="dxa"/>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b/>
                <w:color w:val="auto"/>
              </w:rPr>
            </w:pPr>
            <w:r>
              <w:rPr>
                <w:rFonts w:ascii="Times New Roman" w:hAnsi="宋体" w:eastAsia="宋体" w:cs="Times New Roman"/>
                <w:b/>
                <w:color w:val="auto"/>
              </w:rPr>
              <w:t>日排放量（</w:t>
            </w:r>
            <w:r>
              <w:rPr>
                <w:rFonts w:ascii="Times New Roman" w:hAnsi="Times New Roman" w:eastAsia="宋体" w:cs="Times New Roman"/>
                <w:b/>
                <w:color w:val="auto"/>
              </w:rPr>
              <w:t>t/d</w:t>
            </w:r>
            <w:r>
              <w:rPr>
                <w:rFonts w:ascii="Times New Roman" w:hAnsi="宋体" w:eastAsia="宋体" w:cs="Times New Roman"/>
                <w:b/>
                <w:color w:val="auto"/>
              </w:rPr>
              <w:t>）</w:t>
            </w:r>
          </w:p>
        </w:tc>
        <w:tc>
          <w:tcPr>
            <w:tcW w:w="1819" w:type="dxa"/>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b/>
                <w:color w:val="auto"/>
              </w:rPr>
            </w:pPr>
            <w:r>
              <w:rPr>
                <w:rFonts w:ascii="Times New Roman" w:hAnsi="宋体" w:eastAsia="宋体" w:cs="Times New Roman"/>
                <w:b/>
                <w:color w:val="auto"/>
              </w:rPr>
              <w:t>年排放量（</w:t>
            </w:r>
            <w:r>
              <w:rPr>
                <w:rFonts w:ascii="Times New Roman" w:hAnsi="Times New Roman" w:eastAsia="宋体" w:cs="Times New Roman"/>
                <w:b/>
                <w:color w:val="auto"/>
              </w:rPr>
              <w:t>t/a</w:t>
            </w:r>
            <w:r>
              <w:rPr>
                <w:rFonts w:ascii="Times New Roman" w:hAnsi="宋体" w:eastAsia="宋体" w:cs="Times New Roman"/>
                <w:b/>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926" w:type="dxa"/>
            <w:vMerge w:val="restart"/>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color w:val="auto"/>
              </w:rPr>
            </w:pPr>
            <w:r>
              <w:rPr>
                <w:rFonts w:ascii="Times New Roman" w:hAnsi="Times New Roman" w:eastAsia="宋体" w:cs="Times New Roman"/>
                <w:color w:val="auto"/>
              </w:rPr>
              <w:t>1</w:t>
            </w:r>
          </w:p>
        </w:tc>
        <w:tc>
          <w:tcPr>
            <w:tcW w:w="1417" w:type="dxa"/>
            <w:vMerge w:val="restart"/>
            <w:vAlign w:val="center"/>
          </w:tcPr>
          <w:p>
            <w:pPr>
              <w:pStyle w:val="24"/>
              <w:autoSpaceDE w:val="0"/>
              <w:autoSpaceDN w:val="0"/>
              <w:adjustRightInd w:val="0"/>
              <w:snapToGrid w:val="0"/>
              <w:spacing w:line="240" w:lineRule="auto"/>
              <w:ind w:firstLine="0" w:firstLineChars="0"/>
              <w:jc w:val="center"/>
              <w:rPr>
                <w:rFonts w:ascii="Times New Roman" w:hAnsi="Times New Roman" w:eastAsia="宋体" w:cs="Times New Roman"/>
                <w:color w:val="auto"/>
              </w:rPr>
            </w:pPr>
            <w:r>
              <w:rPr>
                <w:rFonts w:ascii="Times New Roman" w:hAnsi="Times New Roman" w:eastAsia="宋体" w:cs="Times New Roman"/>
                <w:color w:val="auto"/>
              </w:rPr>
              <w:t>/</w:t>
            </w:r>
          </w:p>
        </w:tc>
        <w:tc>
          <w:tcPr>
            <w:tcW w:w="1559" w:type="dxa"/>
            <w:vAlign w:val="center"/>
          </w:tcPr>
          <w:p>
            <w:pPr>
              <w:adjustRightInd w:val="0"/>
              <w:snapToGrid w:val="0"/>
              <w:jc w:val="center"/>
              <w:rPr>
                <w:color w:val="auto"/>
                <w:sz w:val="21"/>
                <w:szCs w:val="21"/>
              </w:rPr>
            </w:pPr>
            <w:r>
              <w:rPr>
                <w:color w:val="auto"/>
                <w:sz w:val="21"/>
                <w:szCs w:val="21"/>
              </w:rPr>
              <w:t>COD</w:t>
            </w:r>
            <w:r>
              <w:rPr>
                <w:color w:val="auto"/>
                <w:sz w:val="21"/>
                <w:szCs w:val="21"/>
                <w:vertAlign w:val="subscript"/>
              </w:rPr>
              <w:t>Cr</w:t>
            </w:r>
          </w:p>
        </w:tc>
        <w:tc>
          <w:tcPr>
            <w:tcW w:w="1881" w:type="dxa"/>
            <w:vAlign w:val="center"/>
          </w:tcPr>
          <w:p>
            <w:pPr>
              <w:adjustRightInd w:val="0"/>
              <w:snapToGrid w:val="0"/>
              <w:jc w:val="center"/>
              <w:rPr>
                <w:color w:val="auto"/>
                <w:sz w:val="21"/>
                <w:szCs w:val="21"/>
              </w:rPr>
            </w:pPr>
            <w:r>
              <w:rPr>
                <w:color w:val="auto"/>
                <w:sz w:val="21"/>
                <w:szCs w:val="21"/>
              </w:rPr>
              <w:t>30</w:t>
            </w:r>
          </w:p>
        </w:tc>
        <w:tc>
          <w:tcPr>
            <w:tcW w:w="1703" w:type="dxa"/>
            <w:vAlign w:val="center"/>
          </w:tcPr>
          <w:p>
            <w:pPr>
              <w:adjustRightInd w:val="0"/>
              <w:snapToGrid w:val="0"/>
              <w:jc w:val="center"/>
              <w:rPr>
                <w:color w:val="auto"/>
                <w:sz w:val="21"/>
                <w:szCs w:val="21"/>
              </w:rPr>
            </w:pPr>
            <w:r>
              <w:rPr>
                <w:color w:val="auto"/>
                <w:sz w:val="21"/>
                <w:szCs w:val="21"/>
              </w:rPr>
              <w:t>0.168</w:t>
            </w:r>
          </w:p>
        </w:tc>
        <w:tc>
          <w:tcPr>
            <w:tcW w:w="1819" w:type="dxa"/>
            <w:vAlign w:val="center"/>
          </w:tcPr>
          <w:p>
            <w:pPr>
              <w:adjustRightInd w:val="0"/>
              <w:snapToGrid w:val="0"/>
              <w:jc w:val="center"/>
              <w:rPr>
                <w:color w:val="auto"/>
                <w:sz w:val="21"/>
                <w:szCs w:val="21"/>
              </w:rPr>
            </w:pPr>
            <w:r>
              <w:rPr>
                <w:color w:val="auto"/>
                <w:sz w:val="21"/>
                <w:szCs w:val="21"/>
              </w:rPr>
              <w:t>61.32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926" w:type="dxa"/>
            <w:vMerge w:val="continue"/>
            <w:vAlign w:val="center"/>
          </w:tcPr>
          <w:p>
            <w:pPr>
              <w:widowControl/>
              <w:adjustRightInd w:val="0"/>
              <w:snapToGrid w:val="0"/>
              <w:jc w:val="center"/>
              <w:rPr>
                <w:color w:val="auto"/>
                <w:sz w:val="21"/>
                <w:szCs w:val="21"/>
              </w:rPr>
            </w:pPr>
          </w:p>
        </w:tc>
        <w:tc>
          <w:tcPr>
            <w:tcW w:w="1417" w:type="dxa"/>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BOD</w:t>
            </w:r>
            <w:r>
              <w:rPr>
                <w:color w:val="auto"/>
                <w:sz w:val="21"/>
                <w:szCs w:val="21"/>
                <w:vertAlign w:val="subscript"/>
              </w:rPr>
              <w:t>5</w:t>
            </w:r>
          </w:p>
        </w:tc>
        <w:tc>
          <w:tcPr>
            <w:tcW w:w="1881" w:type="dxa"/>
            <w:vAlign w:val="center"/>
          </w:tcPr>
          <w:p>
            <w:pPr>
              <w:adjustRightInd w:val="0"/>
              <w:snapToGrid w:val="0"/>
              <w:jc w:val="center"/>
              <w:rPr>
                <w:color w:val="auto"/>
                <w:sz w:val="21"/>
                <w:szCs w:val="21"/>
              </w:rPr>
            </w:pPr>
            <w:r>
              <w:rPr>
                <w:color w:val="auto"/>
                <w:sz w:val="21"/>
                <w:szCs w:val="21"/>
              </w:rPr>
              <w:t>6</w:t>
            </w:r>
          </w:p>
        </w:tc>
        <w:tc>
          <w:tcPr>
            <w:tcW w:w="1703" w:type="dxa"/>
            <w:vAlign w:val="center"/>
          </w:tcPr>
          <w:p>
            <w:pPr>
              <w:adjustRightInd w:val="0"/>
              <w:snapToGrid w:val="0"/>
              <w:jc w:val="center"/>
              <w:rPr>
                <w:color w:val="auto"/>
                <w:sz w:val="21"/>
                <w:szCs w:val="21"/>
              </w:rPr>
            </w:pPr>
            <w:r>
              <w:rPr>
                <w:color w:val="auto"/>
                <w:sz w:val="21"/>
                <w:szCs w:val="21"/>
              </w:rPr>
              <w:t>0.0336</w:t>
            </w:r>
          </w:p>
        </w:tc>
        <w:tc>
          <w:tcPr>
            <w:tcW w:w="1819" w:type="dxa"/>
            <w:vAlign w:val="center"/>
          </w:tcPr>
          <w:p>
            <w:pPr>
              <w:adjustRightInd w:val="0"/>
              <w:snapToGrid w:val="0"/>
              <w:jc w:val="center"/>
              <w:rPr>
                <w:color w:val="auto"/>
                <w:sz w:val="21"/>
                <w:szCs w:val="21"/>
              </w:rPr>
            </w:pPr>
            <w:r>
              <w:rPr>
                <w:color w:val="auto"/>
                <w:sz w:val="21"/>
                <w:szCs w:val="21"/>
              </w:rPr>
              <w:t>12.264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926" w:type="dxa"/>
            <w:vMerge w:val="continue"/>
            <w:vAlign w:val="center"/>
          </w:tcPr>
          <w:p>
            <w:pPr>
              <w:widowControl/>
              <w:adjustRightInd w:val="0"/>
              <w:snapToGrid w:val="0"/>
              <w:jc w:val="center"/>
              <w:rPr>
                <w:color w:val="auto"/>
                <w:sz w:val="21"/>
                <w:szCs w:val="21"/>
              </w:rPr>
            </w:pPr>
          </w:p>
        </w:tc>
        <w:tc>
          <w:tcPr>
            <w:tcW w:w="1417" w:type="dxa"/>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SS</w:t>
            </w:r>
          </w:p>
        </w:tc>
        <w:tc>
          <w:tcPr>
            <w:tcW w:w="1881" w:type="dxa"/>
            <w:vAlign w:val="center"/>
          </w:tcPr>
          <w:p>
            <w:pPr>
              <w:adjustRightInd w:val="0"/>
              <w:snapToGrid w:val="0"/>
              <w:jc w:val="center"/>
              <w:rPr>
                <w:color w:val="auto"/>
                <w:sz w:val="21"/>
                <w:szCs w:val="21"/>
              </w:rPr>
            </w:pPr>
            <w:r>
              <w:rPr>
                <w:color w:val="auto"/>
                <w:sz w:val="21"/>
                <w:szCs w:val="21"/>
              </w:rPr>
              <w:t>10</w:t>
            </w:r>
          </w:p>
        </w:tc>
        <w:tc>
          <w:tcPr>
            <w:tcW w:w="1703" w:type="dxa"/>
            <w:vAlign w:val="center"/>
          </w:tcPr>
          <w:p>
            <w:pPr>
              <w:adjustRightInd w:val="0"/>
              <w:snapToGrid w:val="0"/>
              <w:jc w:val="center"/>
              <w:rPr>
                <w:color w:val="auto"/>
                <w:sz w:val="21"/>
                <w:szCs w:val="21"/>
              </w:rPr>
            </w:pPr>
            <w:r>
              <w:rPr>
                <w:color w:val="auto"/>
                <w:sz w:val="21"/>
                <w:szCs w:val="21"/>
              </w:rPr>
              <w:t>0.056</w:t>
            </w:r>
          </w:p>
        </w:tc>
        <w:tc>
          <w:tcPr>
            <w:tcW w:w="1819" w:type="dxa"/>
            <w:vAlign w:val="center"/>
          </w:tcPr>
          <w:p>
            <w:pPr>
              <w:adjustRightInd w:val="0"/>
              <w:snapToGrid w:val="0"/>
              <w:jc w:val="center"/>
              <w:rPr>
                <w:color w:val="auto"/>
                <w:sz w:val="21"/>
                <w:szCs w:val="21"/>
              </w:rPr>
            </w:pPr>
            <w:r>
              <w:rPr>
                <w:color w:val="auto"/>
                <w:sz w:val="21"/>
                <w:szCs w:val="21"/>
              </w:rPr>
              <w:t>20.44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926" w:type="dxa"/>
            <w:vMerge w:val="continue"/>
            <w:vAlign w:val="center"/>
          </w:tcPr>
          <w:p>
            <w:pPr>
              <w:widowControl/>
              <w:adjustRightInd w:val="0"/>
              <w:snapToGrid w:val="0"/>
              <w:jc w:val="center"/>
              <w:rPr>
                <w:color w:val="auto"/>
                <w:sz w:val="21"/>
                <w:szCs w:val="21"/>
              </w:rPr>
            </w:pPr>
          </w:p>
        </w:tc>
        <w:tc>
          <w:tcPr>
            <w:tcW w:w="1417" w:type="dxa"/>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TN</w:t>
            </w:r>
          </w:p>
        </w:tc>
        <w:tc>
          <w:tcPr>
            <w:tcW w:w="1881" w:type="dxa"/>
            <w:vAlign w:val="center"/>
          </w:tcPr>
          <w:p>
            <w:pPr>
              <w:adjustRightInd w:val="0"/>
              <w:snapToGrid w:val="0"/>
              <w:jc w:val="center"/>
              <w:rPr>
                <w:color w:val="auto"/>
                <w:sz w:val="21"/>
                <w:szCs w:val="21"/>
              </w:rPr>
            </w:pPr>
            <w:r>
              <w:rPr>
                <w:color w:val="auto"/>
                <w:sz w:val="21"/>
                <w:szCs w:val="21"/>
              </w:rPr>
              <w:t>10</w:t>
            </w:r>
          </w:p>
        </w:tc>
        <w:tc>
          <w:tcPr>
            <w:tcW w:w="1703" w:type="dxa"/>
            <w:vAlign w:val="center"/>
          </w:tcPr>
          <w:p>
            <w:pPr>
              <w:adjustRightInd w:val="0"/>
              <w:snapToGrid w:val="0"/>
              <w:jc w:val="center"/>
              <w:rPr>
                <w:color w:val="auto"/>
                <w:sz w:val="21"/>
                <w:szCs w:val="21"/>
              </w:rPr>
            </w:pPr>
            <w:r>
              <w:rPr>
                <w:color w:val="auto"/>
                <w:sz w:val="21"/>
                <w:szCs w:val="21"/>
              </w:rPr>
              <w:t>0.056</w:t>
            </w:r>
          </w:p>
        </w:tc>
        <w:tc>
          <w:tcPr>
            <w:tcW w:w="1819" w:type="dxa"/>
            <w:vAlign w:val="center"/>
          </w:tcPr>
          <w:p>
            <w:pPr>
              <w:adjustRightInd w:val="0"/>
              <w:snapToGrid w:val="0"/>
              <w:jc w:val="center"/>
              <w:rPr>
                <w:color w:val="auto"/>
                <w:sz w:val="21"/>
                <w:szCs w:val="21"/>
              </w:rPr>
            </w:pPr>
            <w:r>
              <w:rPr>
                <w:color w:val="auto"/>
                <w:sz w:val="21"/>
                <w:szCs w:val="21"/>
              </w:rPr>
              <w:t>20.44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926" w:type="dxa"/>
            <w:vMerge w:val="continue"/>
            <w:vAlign w:val="center"/>
          </w:tcPr>
          <w:p>
            <w:pPr>
              <w:widowControl/>
              <w:adjustRightInd w:val="0"/>
              <w:snapToGrid w:val="0"/>
              <w:jc w:val="center"/>
              <w:rPr>
                <w:color w:val="auto"/>
                <w:sz w:val="21"/>
                <w:szCs w:val="21"/>
              </w:rPr>
            </w:pPr>
          </w:p>
        </w:tc>
        <w:tc>
          <w:tcPr>
            <w:tcW w:w="1417" w:type="dxa"/>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1881" w:type="dxa"/>
            <w:vAlign w:val="center"/>
          </w:tcPr>
          <w:p>
            <w:pPr>
              <w:adjustRightInd w:val="0"/>
              <w:snapToGrid w:val="0"/>
              <w:jc w:val="center"/>
              <w:rPr>
                <w:color w:val="auto"/>
                <w:sz w:val="21"/>
                <w:szCs w:val="21"/>
              </w:rPr>
            </w:pPr>
            <w:r>
              <w:rPr>
                <w:color w:val="auto"/>
                <w:sz w:val="21"/>
                <w:szCs w:val="21"/>
              </w:rPr>
              <w:t>1.5</w:t>
            </w:r>
          </w:p>
        </w:tc>
        <w:tc>
          <w:tcPr>
            <w:tcW w:w="1703" w:type="dxa"/>
            <w:vAlign w:val="center"/>
          </w:tcPr>
          <w:p>
            <w:pPr>
              <w:adjustRightInd w:val="0"/>
              <w:snapToGrid w:val="0"/>
              <w:jc w:val="center"/>
              <w:rPr>
                <w:color w:val="auto"/>
                <w:sz w:val="21"/>
                <w:szCs w:val="21"/>
              </w:rPr>
            </w:pPr>
            <w:r>
              <w:rPr>
                <w:color w:val="auto"/>
                <w:sz w:val="21"/>
                <w:szCs w:val="21"/>
              </w:rPr>
              <w:t>0.0084</w:t>
            </w:r>
          </w:p>
        </w:tc>
        <w:tc>
          <w:tcPr>
            <w:tcW w:w="1819" w:type="dxa"/>
            <w:vAlign w:val="center"/>
          </w:tcPr>
          <w:p>
            <w:pPr>
              <w:adjustRightInd w:val="0"/>
              <w:snapToGrid w:val="0"/>
              <w:jc w:val="center"/>
              <w:rPr>
                <w:color w:val="auto"/>
                <w:sz w:val="21"/>
                <w:szCs w:val="21"/>
              </w:rPr>
            </w:pPr>
            <w:r>
              <w:rPr>
                <w:color w:val="auto"/>
                <w:sz w:val="21"/>
                <w:szCs w:val="21"/>
              </w:rPr>
              <w:t>3.066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926" w:type="dxa"/>
            <w:vMerge w:val="continue"/>
            <w:vAlign w:val="center"/>
          </w:tcPr>
          <w:p>
            <w:pPr>
              <w:widowControl/>
              <w:adjustRightInd w:val="0"/>
              <w:snapToGrid w:val="0"/>
              <w:jc w:val="center"/>
              <w:rPr>
                <w:color w:val="auto"/>
                <w:sz w:val="21"/>
                <w:szCs w:val="21"/>
              </w:rPr>
            </w:pPr>
          </w:p>
        </w:tc>
        <w:tc>
          <w:tcPr>
            <w:tcW w:w="1417" w:type="dxa"/>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TP</w:t>
            </w:r>
          </w:p>
        </w:tc>
        <w:tc>
          <w:tcPr>
            <w:tcW w:w="1881" w:type="dxa"/>
            <w:vAlign w:val="center"/>
          </w:tcPr>
          <w:p>
            <w:pPr>
              <w:adjustRightInd w:val="0"/>
              <w:snapToGrid w:val="0"/>
              <w:jc w:val="center"/>
              <w:rPr>
                <w:color w:val="auto"/>
                <w:sz w:val="21"/>
                <w:szCs w:val="21"/>
              </w:rPr>
            </w:pPr>
            <w:r>
              <w:rPr>
                <w:color w:val="auto"/>
                <w:sz w:val="21"/>
                <w:szCs w:val="21"/>
              </w:rPr>
              <w:t>0.3</w:t>
            </w:r>
          </w:p>
        </w:tc>
        <w:tc>
          <w:tcPr>
            <w:tcW w:w="1703" w:type="dxa"/>
            <w:vAlign w:val="center"/>
          </w:tcPr>
          <w:p>
            <w:pPr>
              <w:adjustRightInd w:val="0"/>
              <w:snapToGrid w:val="0"/>
              <w:jc w:val="center"/>
              <w:rPr>
                <w:color w:val="auto"/>
                <w:sz w:val="21"/>
                <w:szCs w:val="21"/>
              </w:rPr>
            </w:pPr>
            <w:r>
              <w:rPr>
                <w:color w:val="auto"/>
                <w:sz w:val="21"/>
                <w:szCs w:val="21"/>
              </w:rPr>
              <w:t>0.00168</w:t>
            </w:r>
          </w:p>
        </w:tc>
        <w:tc>
          <w:tcPr>
            <w:tcW w:w="1819" w:type="dxa"/>
            <w:vAlign w:val="center"/>
          </w:tcPr>
          <w:p>
            <w:pPr>
              <w:adjustRightInd w:val="0"/>
              <w:snapToGrid w:val="0"/>
              <w:jc w:val="center"/>
              <w:rPr>
                <w:color w:val="auto"/>
                <w:sz w:val="21"/>
                <w:szCs w:val="21"/>
              </w:rPr>
            </w:pPr>
            <w:r>
              <w:rPr>
                <w:color w:val="auto"/>
                <w:sz w:val="21"/>
                <w:szCs w:val="21"/>
              </w:rPr>
              <w:t>0.6132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343" w:type="dxa"/>
            <w:gridSpan w:val="2"/>
            <w:vMerge w:val="restart"/>
            <w:vAlign w:val="center"/>
          </w:tcPr>
          <w:p>
            <w:pPr>
              <w:widowControl/>
              <w:adjustRightInd w:val="0"/>
              <w:snapToGrid w:val="0"/>
              <w:jc w:val="center"/>
              <w:rPr>
                <w:color w:val="auto"/>
                <w:sz w:val="21"/>
                <w:szCs w:val="21"/>
              </w:rPr>
            </w:pPr>
            <w:r>
              <w:rPr>
                <w:rFonts w:hAnsi="宋体"/>
                <w:color w:val="auto"/>
                <w:sz w:val="21"/>
                <w:szCs w:val="21"/>
              </w:rPr>
              <w:t>全厂排放口合计</w:t>
            </w:r>
          </w:p>
        </w:tc>
        <w:tc>
          <w:tcPr>
            <w:tcW w:w="1559" w:type="dxa"/>
            <w:vAlign w:val="center"/>
          </w:tcPr>
          <w:p>
            <w:pPr>
              <w:adjustRightInd w:val="0"/>
              <w:snapToGrid w:val="0"/>
              <w:jc w:val="center"/>
              <w:rPr>
                <w:color w:val="auto"/>
                <w:sz w:val="21"/>
                <w:szCs w:val="21"/>
              </w:rPr>
            </w:pPr>
            <w:r>
              <w:rPr>
                <w:color w:val="auto"/>
                <w:sz w:val="21"/>
                <w:szCs w:val="21"/>
              </w:rPr>
              <w:t>COD</w:t>
            </w:r>
            <w:r>
              <w:rPr>
                <w:color w:val="auto"/>
                <w:sz w:val="21"/>
                <w:szCs w:val="21"/>
                <w:vertAlign w:val="subscript"/>
              </w:rPr>
              <w:t>Cr</w:t>
            </w:r>
          </w:p>
        </w:tc>
        <w:tc>
          <w:tcPr>
            <w:tcW w:w="1881" w:type="dxa"/>
            <w:vAlign w:val="center"/>
          </w:tcPr>
          <w:p>
            <w:pPr>
              <w:adjustRightInd w:val="0"/>
              <w:snapToGrid w:val="0"/>
              <w:jc w:val="center"/>
              <w:rPr>
                <w:color w:val="auto"/>
                <w:sz w:val="21"/>
                <w:szCs w:val="21"/>
              </w:rPr>
            </w:pPr>
            <w:r>
              <w:rPr>
                <w:color w:val="auto"/>
                <w:sz w:val="21"/>
                <w:szCs w:val="21"/>
              </w:rPr>
              <w:t>30</w:t>
            </w:r>
          </w:p>
        </w:tc>
        <w:tc>
          <w:tcPr>
            <w:tcW w:w="1703" w:type="dxa"/>
            <w:vAlign w:val="center"/>
          </w:tcPr>
          <w:p>
            <w:pPr>
              <w:adjustRightInd w:val="0"/>
              <w:snapToGrid w:val="0"/>
              <w:jc w:val="center"/>
              <w:rPr>
                <w:color w:val="auto"/>
                <w:sz w:val="21"/>
                <w:szCs w:val="21"/>
              </w:rPr>
            </w:pPr>
            <w:r>
              <w:rPr>
                <w:color w:val="auto"/>
                <w:sz w:val="21"/>
                <w:szCs w:val="21"/>
              </w:rPr>
              <w:t>0.168</w:t>
            </w:r>
          </w:p>
        </w:tc>
        <w:tc>
          <w:tcPr>
            <w:tcW w:w="1819" w:type="dxa"/>
            <w:vAlign w:val="center"/>
          </w:tcPr>
          <w:p>
            <w:pPr>
              <w:adjustRightInd w:val="0"/>
              <w:snapToGrid w:val="0"/>
              <w:jc w:val="center"/>
              <w:rPr>
                <w:color w:val="auto"/>
                <w:sz w:val="21"/>
                <w:szCs w:val="21"/>
              </w:rPr>
            </w:pPr>
            <w:r>
              <w:rPr>
                <w:color w:val="auto"/>
                <w:sz w:val="21"/>
                <w:szCs w:val="21"/>
              </w:rPr>
              <w:t>61.32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343" w:type="dxa"/>
            <w:gridSpan w:val="2"/>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BOD</w:t>
            </w:r>
            <w:r>
              <w:rPr>
                <w:color w:val="auto"/>
                <w:sz w:val="21"/>
                <w:szCs w:val="21"/>
                <w:vertAlign w:val="subscript"/>
              </w:rPr>
              <w:t>5</w:t>
            </w:r>
          </w:p>
        </w:tc>
        <w:tc>
          <w:tcPr>
            <w:tcW w:w="1881" w:type="dxa"/>
            <w:vAlign w:val="center"/>
          </w:tcPr>
          <w:p>
            <w:pPr>
              <w:adjustRightInd w:val="0"/>
              <w:snapToGrid w:val="0"/>
              <w:jc w:val="center"/>
              <w:rPr>
                <w:color w:val="auto"/>
                <w:sz w:val="21"/>
                <w:szCs w:val="21"/>
              </w:rPr>
            </w:pPr>
            <w:r>
              <w:rPr>
                <w:color w:val="auto"/>
                <w:sz w:val="21"/>
                <w:szCs w:val="21"/>
              </w:rPr>
              <w:t>6</w:t>
            </w:r>
          </w:p>
        </w:tc>
        <w:tc>
          <w:tcPr>
            <w:tcW w:w="1703" w:type="dxa"/>
            <w:vAlign w:val="center"/>
          </w:tcPr>
          <w:p>
            <w:pPr>
              <w:adjustRightInd w:val="0"/>
              <w:snapToGrid w:val="0"/>
              <w:jc w:val="center"/>
              <w:rPr>
                <w:color w:val="auto"/>
                <w:sz w:val="21"/>
                <w:szCs w:val="21"/>
              </w:rPr>
            </w:pPr>
            <w:r>
              <w:rPr>
                <w:color w:val="auto"/>
                <w:sz w:val="21"/>
                <w:szCs w:val="21"/>
              </w:rPr>
              <w:t>0.0336</w:t>
            </w:r>
          </w:p>
        </w:tc>
        <w:tc>
          <w:tcPr>
            <w:tcW w:w="1819" w:type="dxa"/>
            <w:vAlign w:val="center"/>
          </w:tcPr>
          <w:p>
            <w:pPr>
              <w:adjustRightInd w:val="0"/>
              <w:snapToGrid w:val="0"/>
              <w:jc w:val="center"/>
              <w:rPr>
                <w:color w:val="auto"/>
                <w:sz w:val="21"/>
                <w:szCs w:val="21"/>
              </w:rPr>
            </w:pPr>
            <w:r>
              <w:rPr>
                <w:color w:val="auto"/>
                <w:sz w:val="21"/>
                <w:szCs w:val="21"/>
              </w:rPr>
              <w:t>12.264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343" w:type="dxa"/>
            <w:gridSpan w:val="2"/>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SS</w:t>
            </w:r>
          </w:p>
        </w:tc>
        <w:tc>
          <w:tcPr>
            <w:tcW w:w="1881" w:type="dxa"/>
            <w:vAlign w:val="center"/>
          </w:tcPr>
          <w:p>
            <w:pPr>
              <w:adjustRightInd w:val="0"/>
              <w:snapToGrid w:val="0"/>
              <w:jc w:val="center"/>
              <w:rPr>
                <w:color w:val="auto"/>
                <w:sz w:val="21"/>
                <w:szCs w:val="21"/>
              </w:rPr>
            </w:pPr>
            <w:r>
              <w:rPr>
                <w:color w:val="auto"/>
                <w:sz w:val="21"/>
                <w:szCs w:val="21"/>
              </w:rPr>
              <w:t>10</w:t>
            </w:r>
          </w:p>
        </w:tc>
        <w:tc>
          <w:tcPr>
            <w:tcW w:w="1703" w:type="dxa"/>
            <w:vAlign w:val="center"/>
          </w:tcPr>
          <w:p>
            <w:pPr>
              <w:adjustRightInd w:val="0"/>
              <w:snapToGrid w:val="0"/>
              <w:jc w:val="center"/>
              <w:rPr>
                <w:color w:val="auto"/>
                <w:sz w:val="21"/>
                <w:szCs w:val="21"/>
              </w:rPr>
            </w:pPr>
            <w:r>
              <w:rPr>
                <w:color w:val="auto"/>
                <w:sz w:val="21"/>
                <w:szCs w:val="21"/>
              </w:rPr>
              <w:t>0.056</w:t>
            </w:r>
          </w:p>
        </w:tc>
        <w:tc>
          <w:tcPr>
            <w:tcW w:w="1819" w:type="dxa"/>
            <w:vAlign w:val="center"/>
          </w:tcPr>
          <w:p>
            <w:pPr>
              <w:adjustRightInd w:val="0"/>
              <w:snapToGrid w:val="0"/>
              <w:jc w:val="center"/>
              <w:rPr>
                <w:color w:val="auto"/>
                <w:sz w:val="21"/>
                <w:szCs w:val="21"/>
              </w:rPr>
            </w:pPr>
            <w:r>
              <w:rPr>
                <w:color w:val="auto"/>
                <w:sz w:val="21"/>
                <w:szCs w:val="21"/>
              </w:rPr>
              <w:t>20.44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343" w:type="dxa"/>
            <w:gridSpan w:val="2"/>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TN</w:t>
            </w:r>
          </w:p>
        </w:tc>
        <w:tc>
          <w:tcPr>
            <w:tcW w:w="1881" w:type="dxa"/>
            <w:vAlign w:val="center"/>
          </w:tcPr>
          <w:p>
            <w:pPr>
              <w:adjustRightInd w:val="0"/>
              <w:snapToGrid w:val="0"/>
              <w:jc w:val="center"/>
              <w:rPr>
                <w:color w:val="auto"/>
                <w:sz w:val="21"/>
                <w:szCs w:val="21"/>
              </w:rPr>
            </w:pPr>
            <w:r>
              <w:rPr>
                <w:color w:val="auto"/>
                <w:sz w:val="21"/>
                <w:szCs w:val="21"/>
              </w:rPr>
              <w:t>10</w:t>
            </w:r>
          </w:p>
        </w:tc>
        <w:tc>
          <w:tcPr>
            <w:tcW w:w="1703" w:type="dxa"/>
            <w:vAlign w:val="center"/>
          </w:tcPr>
          <w:p>
            <w:pPr>
              <w:adjustRightInd w:val="0"/>
              <w:snapToGrid w:val="0"/>
              <w:jc w:val="center"/>
              <w:rPr>
                <w:color w:val="auto"/>
                <w:sz w:val="21"/>
                <w:szCs w:val="21"/>
              </w:rPr>
            </w:pPr>
            <w:r>
              <w:rPr>
                <w:color w:val="auto"/>
                <w:sz w:val="21"/>
                <w:szCs w:val="21"/>
              </w:rPr>
              <w:t>0.056</w:t>
            </w:r>
          </w:p>
        </w:tc>
        <w:tc>
          <w:tcPr>
            <w:tcW w:w="1819" w:type="dxa"/>
            <w:vAlign w:val="center"/>
          </w:tcPr>
          <w:p>
            <w:pPr>
              <w:adjustRightInd w:val="0"/>
              <w:snapToGrid w:val="0"/>
              <w:jc w:val="center"/>
              <w:rPr>
                <w:color w:val="auto"/>
                <w:sz w:val="21"/>
                <w:szCs w:val="21"/>
              </w:rPr>
            </w:pPr>
            <w:r>
              <w:rPr>
                <w:color w:val="auto"/>
                <w:sz w:val="21"/>
                <w:szCs w:val="21"/>
              </w:rPr>
              <w:t>20.44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343" w:type="dxa"/>
            <w:gridSpan w:val="2"/>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1881" w:type="dxa"/>
            <w:vAlign w:val="center"/>
          </w:tcPr>
          <w:p>
            <w:pPr>
              <w:adjustRightInd w:val="0"/>
              <w:snapToGrid w:val="0"/>
              <w:jc w:val="center"/>
              <w:rPr>
                <w:color w:val="auto"/>
                <w:sz w:val="21"/>
                <w:szCs w:val="21"/>
              </w:rPr>
            </w:pPr>
            <w:r>
              <w:rPr>
                <w:color w:val="auto"/>
                <w:sz w:val="21"/>
                <w:szCs w:val="21"/>
              </w:rPr>
              <w:t>1.5</w:t>
            </w:r>
          </w:p>
        </w:tc>
        <w:tc>
          <w:tcPr>
            <w:tcW w:w="1703" w:type="dxa"/>
            <w:vAlign w:val="center"/>
          </w:tcPr>
          <w:p>
            <w:pPr>
              <w:adjustRightInd w:val="0"/>
              <w:snapToGrid w:val="0"/>
              <w:jc w:val="center"/>
              <w:rPr>
                <w:color w:val="auto"/>
                <w:sz w:val="21"/>
                <w:szCs w:val="21"/>
              </w:rPr>
            </w:pPr>
            <w:r>
              <w:rPr>
                <w:color w:val="auto"/>
                <w:sz w:val="21"/>
                <w:szCs w:val="21"/>
              </w:rPr>
              <w:t>0.0084</w:t>
            </w:r>
          </w:p>
        </w:tc>
        <w:tc>
          <w:tcPr>
            <w:tcW w:w="1819" w:type="dxa"/>
            <w:vAlign w:val="center"/>
          </w:tcPr>
          <w:p>
            <w:pPr>
              <w:adjustRightInd w:val="0"/>
              <w:snapToGrid w:val="0"/>
              <w:jc w:val="center"/>
              <w:rPr>
                <w:color w:val="auto"/>
                <w:sz w:val="21"/>
                <w:szCs w:val="21"/>
              </w:rPr>
            </w:pPr>
            <w:r>
              <w:rPr>
                <w:color w:val="auto"/>
                <w:sz w:val="21"/>
                <w:szCs w:val="21"/>
              </w:rPr>
              <w:t>3.066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343" w:type="dxa"/>
            <w:gridSpan w:val="2"/>
            <w:vMerge w:val="continue"/>
            <w:vAlign w:val="center"/>
          </w:tcPr>
          <w:p>
            <w:pPr>
              <w:widowControl/>
              <w:adjustRightInd w:val="0"/>
              <w:snapToGrid w:val="0"/>
              <w:jc w:val="center"/>
              <w:rPr>
                <w:color w:val="auto"/>
                <w:sz w:val="21"/>
                <w:szCs w:val="21"/>
              </w:rPr>
            </w:pPr>
          </w:p>
        </w:tc>
        <w:tc>
          <w:tcPr>
            <w:tcW w:w="1559" w:type="dxa"/>
            <w:vAlign w:val="center"/>
          </w:tcPr>
          <w:p>
            <w:pPr>
              <w:adjustRightInd w:val="0"/>
              <w:snapToGrid w:val="0"/>
              <w:jc w:val="center"/>
              <w:rPr>
                <w:color w:val="auto"/>
                <w:sz w:val="21"/>
                <w:szCs w:val="21"/>
              </w:rPr>
            </w:pPr>
            <w:r>
              <w:rPr>
                <w:color w:val="auto"/>
                <w:sz w:val="21"/>
                <w:szCs w:val="21"/>
              </w:rPr>
              <w:t>TP</w:t>
            </w:r>
          </w:p>
        </w:tc>
        <w:tc>
          <w:tcPr>
            <w:tcW w:w="1881" w:type="dxa"/>
            <w:vAlign w:val="center"/>
          </w:tcPr>
          <w:p>
            <w:pPr>
              <w:adjustRightInd w:val="0"/>
              <w:snapToGrid w:val="0"/>
              <w:jc w:val="center"/>
              <w:rPr>
                <w:color w:val="auto"/>
                <w:sz w:val="21"/>
                <w:szCs w:val="21"/>
              </w:rPr>
            </w:pPr>
            <w:r>
              <w:rPr>
                <w:color w:val="auto"/>
                <w:sz w:val="21"/>
                <w:szCs w:val="21"/>
              </w:rPr>
              <w:t>0.3</w:t>
            </w:r>
          </w:p>
        </w:tc>
        <w:tc>
          <w:tcPr>
            <w:tcW w:w="1703" w:type="dxa"/>
            <w:vAlign w:val="center"/>
          </w:tcPr>
          <w:p>
            <w:pPr>
              <w:adjustRightInd w:val="0"/>
              <w:snapToGrid w:val="0"/>
              <w:jc w:val="center"/>
              <w:rPr>
                <w:color w:val="auto"/>
                <w:sz w:val="21"/>
                <w:szCs w:val="21"/>
              </w:rPr>
            </w:pPr>
            <w:r>
              <w:rPr>
                <w:color w:val="auto"/>
                <w:sz w:val="21"/>
                <w:szCs w:val="21"/>
              </w:rPr>
              <w:t>0.00168</w:t>
            </w:r>
          </w:p>
        </w:tc>
        <w:tc>
          <w:tcPr>
            <w:tcW w:w="1819" w:type="dxa"/>
            <w:vAlign w:val="center"/>
          </w:tcPr>
          <w:p>
            <w:pPr>
              <w:adjustRightInd w:val="0"/>
              <w:snapToGrid w:val="0"/>
              <w:jc w:val="center"/>
              <w:rPr>
                <w:color w:val="auto"/>
                <w:sz w:val="21"/>
                <w:szCs w:val="21"/>
              </w:rPr>
            </w:pPr>
            <w:r>
              <w:rPr>
                <w:color w:val="auto"/>
                <w:sz w:val="21"/>
                <w:szCs w:val="21"/>
              </w:rPr>
              <w:t>0.6132</w:t>
            </w:r>
          </w:p>
        </w:tc>
      </w:tr>
    </w:tbl>
    <w:p>
      <w:pPr>
        <w:pStyle w:val="4"/>
        <w:rPr>
          <w:color w:val="auto"/>
        </w:rPr>
        <w:sectPr>
          <w:pgSz w:w="11906" w:h="16838"/>
          <w:pgMar w:top="1440" w:right="1797" w:bottom="1440" w:left="1797" w:header="851" w:footer="992" w:gutter="0"/>
          <w:cols w:space="425" w:num="1"/>
          <w:docGrid w:type="lines" w:linePitch="312" w:charSpace="0"/>
        </w:sectPr>
      </w:pPr>
    </w:p>
    <w:p>
      <w:pPr>
        <w:pStyle w:val="4"/>
        <w:rPr>
          <w:color w:val="auto"/>
        </w:rPr>
      </w:pPr>
      <w:bookmarkStart w:id="144" w:name="_Toc26276864"/>
      <w:r>
        <w:rPr>
          <w:rFonts w:hint="eastAsia"/>
          <w:color w:val="auto"/>
        </w:rPr>
        <w:t>5.2.3运营期地下水环境影响分析</w:t>
      </w:r>
      <w:bookmarkEnd w:id="144"/>
    </w:p>
    <w:p>
      <w:pPr>
        <w:pStyle w:val="5"/>
        <w:rPr>
          <w:color w:val="auto"/>
        </w:rPr>
      </w:pPr>
      <w:r>
        <w:rPr>
          <w:rFonts w:hint="eastAsia"/>
          <w:color w:val="auto"/>
        </w:rPr>
        <w:t>5.2.3.1水文地质条件</w:t>
      </w:r>
    </w:p>
    <w:p>
      <w:pPr>
        <w:spacing w:line="360" w:lineRule="auto"/>
        <w:ind w:firstLine="482" w:firstLineChars="200"/>
        <w:rPr>
          <w:b/>
          <w:color w:val="auto"/>
          <w:sz w:val="24"/>
          <w:szCs w:val="24"/>
        </w:rPr>
      </w:pPr>
      <w:r>
        <w:rPr>
          <w:rFonts w:hint="eastAsia"/>
          <w:b/>
          <w:color w:val="auto"/>
          <w:sz w:val="24"/>
          <w:szCs w:val="24"/>
        </w:rPr>
        <w:t>1、区域地质构造</w:t>
      </w:r>
    </w:p>
    <w:p>
      <w:pPr>
        <w:spacing w:line="360" w:lineRule="auto"/>
        <w:ind w:firstLine="480" w:firstLineChars="200"/>
        <w:rPr>
          <w:color w:val="auto"/>
          <w:sz w:val="24"/>
          <w:szCs w:val="24"/>
        </w:rPr>
      </w:pPr>
      <w:r>
        <w:rPr>
          <w:rFonts w:hint="eastAsia"/>
          <w:color w:val="auto"/>
          <w:sz w:val="24"/>
          <w:szCs w:val="24"/>
        </w:rPr>
        <w:t>项目区域经过喜马拉雅运动的构造分异，沿北东向发生垂直断块差异运动，形成安流—五华盆地，接收第三系沉积。琴江河、五华河河流阶地的形成多级夷平面，五华大断层的复活，区域性构造地震活动时有发生：西部紧邻河源多发地震区，新丰江水库地震波及五华，地震烈度为Ⅵ～Ⅶ度。由此表明五华县新构造运动比较活跃。该区断层发育，且规模不一，大者贯穿全区，小者仅数十米。断层性质以张应力断层占多数，形成时间稍晚。即某些断层有继承复活现象。如五华断层，其上盘为南雄群及丹霞群岩层，下盘为花岗岩及下古生界岩层，在断层附近的上白垩统以前岩石均强烈片理化和硅化，而其后的岩石都未变化，说明此断层于花岗岩后期形成后，上白垩统之前形成，当时为一逆掩断层，与丹霞沉积之后又沿原断层面复活，复活为正断层性质。</w:t>
      </w:r>
    </w:p>
    <w:p>
      <w:pPr>
        <w:spacing w:line="360" w:lineRule="auto"/>
        <w:ind w:firstLine="480" w:firstLineChars="200"/>
        <w:rPr>
          <w:color w:val="auto"/>
          <w:sz w:val="24"/>
          <w:szCs w:val="24"/>
        </w:rPr>
      </w:pPr>
      <w:r>
        <w:rPr>
          <w:rFonts w:hint="eastAsia"/>
          <w:color w:val="auto"/>
          <w:sz w:val="24"/>
          <w:szCs w:val="24"/>
        </w:rPr>
        <w:t>根据《五华河东绿色生态工业小镇水质净化厂一期工程（油新水质净化厂）岩土工程勘察报告》（核工业鹰潭工程勘察院，2019.1.21）、《五华河东绿色生态工业小镇水质净化厂一期工程提升扩容岩土工程勘察报告》（核工业鹰潭工程勘察院，2020.6.8）勘察结果，拟建场地未发现有断裂等地质构造通过，场地是稳定的。</w:t>
      </w:r>
    </w:p>
    <w:p>
      <w:pPr>
        <w:spacing w:line="360" w:lineRule="auto"/>
        <w:ind w:firstLine="482" w:firstLineChars="200"/>
        <w:rPr>
          <w:b/>
          <w:color w:val="auto"/>
          <w:sz w:val="24"/>
          <w:szCs w:val="24"/>
        </w:rPr>
      </w:pPr>
      <w:r>
        <w:rPr>
          <w:rFonts w:hint="eastAsia"/>
          <w:b/>
          <w:color w:val="auto"/>
          <w:sz w:val="24"/>
          <w:szCs w:val="24"/>
        </w:rPr>
        <w:t>2、地下水类型及分布</w:t>
      </w:r>
    </w:p>
    <w:p>
      <w:pPr>
        <w:spacing w:line="360" w:lineRule="auto"/>
        <w:ind w:firstLine="480" w:firstLineChars="200"/>
        <w:rPr>
          <w:color w:val="auto"/>
          <w:sz w:val="24"/>
          <w:szCs w:val="24"/>
        </w:rPr>
      </w:pPr>
      <w:r>
        <w:rPr>
          <w:rFonts w:hint="eastAsia"/>
          <w:color w:val="auto"/>
          <w:sz w:val="24"/>
          <w:szCs w:val="24"/>
        </w:rPr>
        <w:t xml:space="preserve">根据《五华河东绿色生态工业小镇水质净化厂一期工程（油新水质净化厂）岩土工程勘察报告》（核工业鹰潭工程勘察院，2019.1.21）、《五华河东绿色生态工业小镇水质净化厂一期工程提升扩容岩土工程勘察报告》（核工业鹰潭工程勘察院，2020.6.8）野外钻探揭露，项目场地地下水类型属潜水，稍具承压性，根据其赋存方式分为第四系土层孔隙潜水、基岩裂隙水。 </w:t>
      </w:r>
    </w:p>
    <w:p>
      <w:pPr>
        <w:spacing w:line="360" w:lineRule="auto"/>
        <w:ind w:firstLine="480" w:firstLineChars="200"/>
        <w:rPr>
          <w:color w:val="auto"/>
          <w:sz w:val="24"/>
          <w:szCs w:val="24"/>
        </w:rPr>
      </w:pPr>
      <w:r>
        <w:rPr>
          <w:rFonts w:hint="eastAsia"/>
          <w:color w:val="auto"/>
          <w:sz w:val="24"/>
          <w:szCs w:val="24"/>
        </w:rPr>
        <w:t>第四系土层孔隙潜水在拟建场地内主要赋存的地层为淤泥质土2-1、粉质粘土2-2，均为弱透水性地层，富水性差；孔隙潜水与大气降水和地表水联系密切，水位变化因气候、季节而异，雨季期间地下水位有所上升，枯水期地下水位则有所下降。</w:t>
      </w:r>
    </w:p>
    <w:p>
      <w:pPr>
        <w:spacing w:line="360" w:lineRule="auto"/>
        <w:ind w:firstLine="480" w:firstLineChars="200"/>
        <w:rPr>
          <w:color w:val="auto"/>
          <w:sz w:val="24"/>
          <w:szCs w:val="24"/>
        </w:rPr>
      </w:pPr>
      <w:r>
        <w:rPr>
          <w:rFonts w:hint="eastAsia"/>
          <w:color w:val="auto"/>
          <w:sz w:val="24"/>
          <w:szCs w:val="24"/>
        </w:rPr>
        <w:t>基岩裂隙水主要赋存于砂砾岩的全风化、强风化和中风化层中，为弱透水性地层，本次揭露基岩较破碎，地下水沿裂隙流通，水流量较小，基岩裂隙水与上层地下水联通性一般，互为补给。</w:t>
      </w:r>
    </w:p>
    <w:p>
      <w:pPr>
        <w:adjustRightInd w:val="0"/>
        <w:snapToGrid w:val="0"/>
        <w:spacing w:line="360" w:lineRule="auto"/>
        <w:ind w:firstLine="480" w:firstLineChars="200"/>
        <w:rPr>
          <w:color w:val="auto"/>
          <w:sz w:val="24"/>
          <w:szCs w:val="24"/>
        </w:rPr>
      </w:pPr>
      <w:r>
        <w:rPr>
          <w:rFonts w:hint="eastAsia"/>
          <w:color w:val="auto"/>
          <w:sz w:val="24"/>
          <w:szCs w:val="24"/>
        </w:rPr>
        <w:t>本场地地下水的补给来源主要是大气降雨和地表径流。地下水的排泄主要是大气蒸发和向低水位场地的渗流。</w:t>
      </w:r>
    </w:p>
    <w:p>
      <w:pPr>
        <w:adjustRightInd w:val="0"/>
        <w:snapToGrid w:val="0"/>
        <w:spacing w:line="360" w:lineRule="auto"/>
        <w:ind w:firstLine="482" w:firstLineChars="200"/>
        <w:rPr>
          <w:b/>
          <w:color w:val="auto"/>
          <w:sz w:val="24"/>
          <w:szCs w:val="24"/>
        </w:rPr>
      </w:pPr>
      <w:r>
        <w:rPr>
          <w:rFonts w:hint="eastAsia"/>
          <w:b/>
          <w:color w:val="auto"/>
          <w:sz w:val="24"/>
          <w:szCs w:val="24"/>
        </w:rPr>
        <w:t>3、地下水位及变化幅度</w:t>
      </w:r>
    </w:p>
    <w:p>
      <w:pPr>
        <w:adjustRightInd w:val="0"/>
        <w:snapToGrid w:val="0"/>
        <w:spacing w:line="360" w:lineRule="auto"/>
        <w:ind w:firstLine="480" w:firstLineChars="200"/>
        <w:rPr>
          <w:color w:val="auto"/>
          <w:sz w:val="24"/>
          <w:szCs w:val="24"/>
        </w:rPr>
      </w:pPr>
      <w:r>
        <w:rPr>
          <w:rFonts w:hint="eastAsia"/>
          <w:color w:val="auto"/>
          <w:sz w:val="24"/>
          <w:szCs w:val="24"/>
        </w:rPr>
        <w:t>拟建场地地下水位差异较小，《五华河东绿色生态工业小镇水质净化厂一期工程（油新水质净化厂）岩土工程勘察报告》（核工业鹰潭工程勘察院，2019.1.21）、《五华河东绿色生态工业小镇水质净化厂一期工程提升扩容岩土工程勘察报告》（核工业鹰潭工程勘察院，2020.6.8）中测得场地地下水稳定水位埋藏深度介于1.50~6.70m，标高介于100.25~127.34m。根据梅州地区的区域水文地质资料，拟建场地的地下水位变化幅度可按2.00~3.00m考虑。</w:t>
      </w:r>
    </w:p>
    <w:p>
      <w:pPr>
        <w:adjustRightInd w:val="0"/>
        <w:snapToGrid w:val="0"/>
        <w:spacing w:line="360" w:lineRule="auto"/>
        <w:ind w:firstLine="482" w:firstLineChars="200"/>
        <w:rPr>
          <w:b/>
          <w:color w:val="auto"/>
          <w:sz w:val="24"/>
          <w:szCs w:val="24"/>
        </w:rPr>
      </w:pPr>
      <w:r>
        <w:rPr>
          <w:rFonts w:hint="eastAsia"/>
          <w:b/>
          <w:color w:val="auto"/>
          <w:sz w:val="24"/>
          <w:szCs w:val="24"/>
        </w:rPr>
        <w:t>4、地下水赋存地层工程特性指标</w:t>
      </w:r>
    </w:p>
    <w:p>
      <w:pPr>
        <w:adjustRightInd w:val="0"/>
        <w:snapToGrid w:val="0"/>
        <w:spacing w:line="360" w:lineRule="auto"/>
        <w:ind w:firstLine="480" w:firstLineChars="200"/>
        <w:rPr>
          <w:color w:val="auto"/>
          <w:sz w:val="28"/>
          <w:szCs w:val="28"/>
        </w:rPr>
      </w:pPr>
      <w:r>
        <w:rPr>
          <w:color w:val="auto"/>
          <w:sz w:val="24"/>
          <w:szCs w:val="24"/>
        </w:rPr>
        <w:t>根据《五华河东绿色生态工业小镇水质净化厂一期工程（油新水质净化厂）岩土工程勘察报告》（核工业鹰潭工程勘察院，2019.1.21）</w:t>
      </w:r>
      <w:r>
        <w:rPr>
          <w:rFonts w:hint="eastAsia"/>
          <w:color w:val="auto"/>
          <w:sz w:val="24"/>
          <w:szCs w:val="24"/>
        </w:rPr>
        <w:t>、《五华河东绿色生态工业小镇水质净化厂一期工程提升扩容岩土工程勘察报告》（核工业鹰潭工程勘察院，2020.6.8）</w:t>
      </w:r>
      <w:r>
        <w:rPr>
          <w:color w:val="auto"/>
          <w:sz w:val="24"/>
          <w:szCs w:val="24"/>
        </w:rPr>
        <w:t>进行的室内试验及野外原位测试结果，参照国家标准《建筑地基基础设计规范》（GB50007-2011）、广东省标准《建筑地基基础设计规范》（DBJ15-31-2016）、《建筑基坑支护技术规程》（JGJ120-2012）及其它有关规范，场地内地下水赋存地层的工程特性指标建议采用下表数值：</w:t>
      </w:r>
      <w:r>
        <w:rPr>
          <w:color w:val="auto"/>
          <w:sz w:val="28"/>
          <w:szCs w:val="28"/>
        </w:rPr>
        <w:t xml:space="preserve"> </w:t>
      </w:r>
    </w:p>
    <w:p>
      <w:pPr>
        <w:spacing w:line="360" w:lineRule="auto"/>
        <w:jc w:val="center"/>
        <w:rPr>
          <w:rFonts w:ascii="宋体" w:hAnsi="宋体" w:cs="宋体"/>
          <w:b/>
          <w:color w:val="auto"/>
          <w:sz w:val="24"/>
          <w:szCs w:val="24"/>
        </w:rPr>
      </w:pPr>
      <w:r>
        <w:rPr>
          <w:rFonts w:hint="eastAsia"/>
          <w:b/>
          <w:color w:val="auto"/>
          <w:sz w:val="24"/>
          <w:szCs w:val="24"/>
        </w:rPr>
        <w:t>表5-2-24   地下水赋存地层</w:t>
      </w:r>
      <w:r>
        <w:rPr>
          <w:rFonts w:hint="eastAsia"/>
          <w:b/>
          <w:bCs/>
          <w:color w:val="auto"/>
          <w:sz w:val="24"/>
        </w:rPr>
        <w:t>工程特性指标建议值</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8"/>
        <w:gridCol w:w="975"/>
        <w:gridCol w:w="806"/>
        <w:gridCol w:w="852"/>
        <w:gridCol w:w="1047"/>
        <w:gridCol w:w="992"/>
        <w:gridCol w:w="845"/>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1149" w:type="pct"/>
            <w:vMerge w:val="restart"/>
            <w:tcBorders>
              <w:tl2br w:val="single" w:color="auto" w:sz="4" w:space="0"/>
            </w:tcBorders>
          </w:tcPr>
          <w:p>
            <w:pPr>
              <w:tabs>
                <w:tab w:val="left" w:pos="2292"/>
              </w:tabs>
              <w:adjustRightInd w:val="0"/>
              <w:snapToGrid w:val="0"/>
              <w:jc w:val="left"/>
              <w:rPr>
                <w:b/>
                <w:color w:val="auto"/>
                <w:sz w:val="21"/>
                <w:szCs w:val="21"/>
              </w:rPr>
            </w:pPr>
            <w:r>
              <w:rPr>
                <w:b/>
                <w:color w:val="auto"/>
                <w:sz w:val="21"/>
                <w:szCs w:val="21"/>
              </w:rPr>
              <w:t xml:space="preserve">            </w:t>
            </w:r>
          </w:p>
          <w:p>
            <w:pPr>
              <w:tabs>
                <w:tab w:val="left" w:pos="2292"/>
              </w:tabs>
              <w:adjustRightInd w:val="0"/>
              <w:snapToGrid w:val="0"/>
              <w:ind w:firstLine="1160" w:firstLineChars="550"/>
              <w:jc w:val="left"/>
              <w:rPr>
                <w:b/>
                <w:color w:val="auto"/>
                <w:sz w:val="21"/>
                <w:szCs w:val="21"/>
              </w:rPr>
            </w:pPr>
            <w:r>
              <w:rPr>
                <w:b/>
                <w:color w:val="auto"/>
                <w:sz w:val="21"/>
                <w:szCs w:val="21"/>
              </w:rPr>
              <w:t>指标</w:t>
            </w:r>
          </w:p>
          <w:p>
            <w:pPr>
              <w:tabs>
                <w:tab w:val="left" w:pos="2292"/>
              </w:tabs>
              <w:adjustRightInd w:val="0"/>
              <w:snapToGrid w:val="0"/>
              <w:jc w:val="left"/>
              <w:rPr>
                <w:b/>
                <w:color w:val="auto"/>
                <w:sz w:val="21"/>
                <w:szCs w:val="21"/>
              </w:rPr>
            </w:pPr>
          </w:p>
          <w:p>
            <w:pPr>
              <w:tabs>
                <w:tab w:val="left" w:pos="2292"/>
              </w:tabs>
              <w:adjustRightInd w:val="0"/>
              <w:snapToGrid w:val="0"/>
              <w:ind w:firstLine="527" w:firstLineChars="250"/>
              <w:jc w:val="left"/>
              <w:rPr>
                <w:b/>
                <w:color w:val="auto"/>
                <w:sz w:val="21"/>
                <w:szCs w:val="21"/>
              </w:rPr>
            </w:pPr>
            <w:r>
              <w:rPr>
                <w:b/>
                <w:color w:val="auto"/>
                <w:sz w:val="21"/>
                <w:szCs w:val="21"/>
              </w:rPr>
              <w:t>地层</w:t>
            </w:r>
          </w:p>
        </w:tc>
        <w:tc>
          <w:tcPr>
            <w:tcW w:w="572" w:type="pct"/>
            <w:vMerge w:val="restart"/>
            <w:vAlign w:val="center"/>
          </w:tcPr>
          <w:p>
            <w:pPr>
              <w:tabs>
                <w:tab w:val="left" w:pos="2292"/>
              </w:tabs>
              <w:adjustRightInd w:val="0"/>
              <w:snapToGrid w:val="0"/>
              <w:jc w:val="center"/>
              <w:rPr>
                <w:b/>
                <w:color w:val="auto"/>
                <w:sz w:val="21"/>
                <w:szCs w:val="21"/>
              </w:rPr>
            </w:pPr>
            <w:r>
              <w:rPr>
                <w:b/>
                <w:color w:val="auto"/>
                <w:sz w:val="21"/>
                <w:szCs w:val="21"/>
              </w:rPr>
              <w:t>天然</w:t>
            </w:r>
          </w:p>
          <w:p>
            <w:pPr>
              <w:tabs>
                <w:tab w:val="left" w:pos="2292"/>
              </w:tabs>
              <w:adjustRightInd w:val="0"/>
              <w:snapToGrid w:val="0"/>
              <w:jc w:val="center"/>
              <w:rPr>
                <w:b/>
                <w:color w:val="auto"/>
                <w:sz w:val="21"/>
                <w:szCs w:val="21"/>
              </w:rPr>
            </w:pPr>
            <w:r>
              <w:rPr>
                <w:b/>
                <w:color w:val="auto"/>
                <w:sz w:val="21"/>
                <w:szCs w:val="21"/>
              </w:rPr>
              <w:t>重度</w:t>
            </w:r>
          </w:p>
          <w:p>
            <w:pPr>
              <w:tabs>
                <w:tab w:val="left" w:pos="2292"/>
              </w:tabs>
              <w:adjustRightInd w:val="0"/>
              <w:snapToGrid w:val="0"/>
              <w:jc w:val="center"/>
              <w:rPr>
                <w:b/>
                <w:color w:val="auto"/>
                <w:sz w:val="21"/>
                <w:szCs w:val="21"/>
              </w:rPr>
            </w:pPr>
            <w:r>
              <w:rPr>
                <w:b/>
                <w:color w:val="auto"/>
                <w:sz w:val="21"/>
                <w:szCs w:val="21"/>
              </w:rPr>
              <w:t>γ</w:t>
            </w:r>
          </w:p>
          <w:p>
            <w:pPr>
              <w:tabs>
                <w:tab w:val="left" w:pos="2292"/>
              </w:tabs>
              <w:adjustRightInd w:val="0"/>
              <w:snapToGrid w:val="0"/>
              <w:jc w:val="center"/>
              <w:rPr>
                <w:b/>
                <w:color w:val="auto"/>
                <w:sz w:val="21"/>
                <w:szCs w:val="21"/>
              </w:rPr>
            </w:pPr>
            <w:r>
              <w:rPr>
                <w:b/>
                <w:color w:val="auto"/>
                <w:sz w:val="21"/>
                <w:szCs w:val="21"/>
              </w:rPr>
              <w:t>(kN/m</w:t>
            </w:r>
            <w:r>
              <w:rPr>
                <w:b/>
                <w:color w:val="auto"/>
                <w:sz w:val="21"/>
                <w:szCs w:val="21"/>
                <w:vertAlign w:val="superscript"/>
              </w:rPr>
              <w:t>3</w:t>
            </w:r>
            <w:r>
              <w:rPr>
                <w:b/>
                <w:color w:val="auto"/>
                <w:sz w:val="21"/>
                <w:szCs w:val="21"/>
              </w:rPr>
              <w:t>)</w:t>
            </w:r>
          </w:p>
        </w:tc>
        <w:tc>
          <w:tcPr>
            <w:tcW w:w="473" w:type="pct"/>
            <w:vMerge w:val="restart"/>
            <w:vAlign w:val="center"/>
          </w:tcPr>
          <w:p>
            <w:pPr>
              <w:widowControl/>
              <w:adjustRightInd w:val="0"/>
              <w:snapToGrid w:val="0"/>
              <w:jc w:val="center"/>
              <w:rPr>
                <w:b/>
                <w:color w:val="auto"/>
                <w:sz w:val="21"/>
                <w:szCs w:val="21"/>
              </w:rPr>
            </w:pPr>
            <w:r>
              <w:rPr>
                <w:b/>
                <w:color w:val="auto"/>
                <w:sz w:val="21"/>
                <w:szCs w:val="21"/>
              </w:rPr>
              <w:t>压缩</w:t>
            </w:r>
          </w:p>
          <w:p>
            <w:pPr>
              <w:widowControl/>
              <w:adjustRightInd w:val="0"/>
              <w:snapToGrid w:val="0"/>
              <w:jc w:val="center"/>
              <w:rPr>
                <w:b/>
                <w:color w:val="auto"/>
                <w:sz w:val="21"/>
                <w:szCs w:val="21"/>
              </w:rPr>
            </w:pPr>
            <w:r>
              <w:rPr>
                <w:b/>
                <w:color w:val="auto"/>
                <w:sz w:val="21"/>
                <w:szCs w:val="21"/>
              </w:rPr>
              <w:t>模量</w:t>
            </w:r>
          </w:p>
          <w:p>
            <w:pPr>
              <w:widowControl/>
              <w:adjustRightInd w:val="0"/>
              <w:snapToGrid w:val="0"/>
              <w:jc w:val="center"/>
              <w:rPr>
                <w:b/>
                <w:color w:val="auto"/>
                <w:sz w:val="21"/>
                <w:szCs w:val="21"/>
                <w:vertAlign w:val="subscript"/>
              </w:rPr>
            </w:pPr>
            <w:r>
              <w:rPr>
                <w:b/>
                <w:color w:val="auto"/>
                <w:sz w:val="21"/>
                <w:szCs w:val="21"/>
              </w:rPr>
              <w:t>E</w:t>
            </w:r>
            <w:r>
              <w:rPr>
                <w:b/>
                <w:color w:val="auto"/>
                <w:sz w:val="21"/>
                <w:szCs w:val="21"/>
                <w:vertAlign w:val="subscript"/>
              </w:rPr>
              <w:t>s</w:t>
            </w:r>
          </w:p>
          <w:p>
            <w:pPr>
              <w:tabs>
                <w:tab w:val="left" w:pos="2292"/>
              </w:tabs>
              <w:adjustRightInd w:val="0"/>
              <w:snapToGrid w:val="0"/>
              <w:jc w:val="center"/>
              <w:rPr>
                <w:b/>
                <w:color w:val="auto"/>
                <w:sz w:val="21"/>
                <w:szCs w:val="21"/>
              </w:rPr>
            </w:pPr>
            <w:r>
              <w:rPr>
                <w:b/>
                <w:color w:val="auto"/>
                <w:sz w:val="21"/>
                <w:szCs w:val="21"/>
              </w:rPr>
              <w:t>(MPa)</w:t>
            </w:r>
          </w:p>
        </w:tc>
        <w:tc>
          <w:tcPr>
            <w:tcW w:w="500" w:type="pct"/>
            <w:vMerge w:val="restart"/>
            <w:vAlign w:val="center"/>
          </w:tcPr>
          <w:p>
            <w:pPr>
              <w:widowControl/>
              <w:adjustRightInd w:val="0"/>
              <w:snapToGrid w:val="0"/>
              <w:jc w:val="center"/>
              <w:rPr>
                <w:b/>
                <w:color w:val="auto"/>
                <w:sz w:val="21"/>
                <w:szCs w:val="21"/>
              </w:rPr>
            </w:pPr>
            <w:r>
              <w:rPr>
                <w:b/>
                <w:color w:val="auto"/>
                <w:sz w:val="21"/>
                <w:szCs w:val="21"/>
              </w:rPr>
              <w:t>变形</w:t>
            </w:r>
          </w:p>
          <w:p>
            <w:pPr>
              <w:widowControl/>
              <w:adjustRightInd w:val="0"/>
              <w:snapToGrid w:val="0"/>
              <w:jc w:val="center"/>
              <w:rPr>
                <w:b/>
                <w:color w:val="auto"/>
                <w:sz w:val="21"/>
                <w:szCs w:val="21"/>
              </w:rPr>
            </w:pPr>
            <w:r>
              <w:rPr>
                <w:b/>
                <w:color w:val="auto"/>
                <w:sz w:val="21"/>
                <w:szCs w:val="21"/>
              </w:rPr>
              <w:t>模量</w:t>
            </w:r>
          </w:p>
          <w:p>
            <w:pPr>
              <w:widowControl/>
              <w:adjustRightInd w:val="0"/>
              <w:snapToGrid w:val="0"/>
              <w:jc w:val="center"/>
              <w:rPr>
                <w:b/>
                <w:color w:val="auto"/>
                <w:sz w:val="21"/>
                <w:szCs w:val="21"/>
              </w:rPr>
            </w:pPr>
            <w:r>
              <w:rPr>
                <w:b/>
                <w:color w:val="auto"/>
                <w:sz w:val="21"/>
                <w:szCs w:val="21"/>
              </w:rPr>
              <w:t>E</w:t>
            </w:r>
            <w:r>
              <w:rPr>
                <w:b/>
                <w:color w:val="auto"/>
                <w:sz w:val="21"/>
                <w:szCs w:val="21"/>
                <w:vertAlign w:val="subscript"/>
              </w:rPr>
              <w:t>0</w:t>
            </w:r>
          </w:p>
          <w:p>
            <w:pPr>
              <w:tabs>
                <w:tab w:val="left" w:pos="2292"/>
              </w:tabs>
              <w:adjustRightInd w:val="0"/>
              <w:snapToGrid w:val="0"/>
              <w:jc w:val="center"/>
              <w:rPr>
                <w:b/>
                <w:color w:val="auto"/>
                <w:sz w:val="21"/>
                <w:szCs w:val="21"/>
              </w:rPr>
            </w:pPr>
            <w:r>
              <w:rPr>
                <w:b/>
                <w:color w:val="auto"/>
                <w:sz w:val="21"/>
                <w:szCs w:val="21"/>
              </w:rPr>
              <w:t>(MPa)</w:t>
            </w:r>
          </w:p>
        </w:tc>
        <w:tc>
          <w:tcPr>
            <w:tcW w:w="614" w:type="pct"/>
            <w:vMerge w:val="restart"/>
            <w:vAlign w:val="center"/>
          </w:tcPr>
          <w:p>
            <w:pPr>
              <w:widowControl/>
              <w:adjustRightInd w:val="0"/>
              <w:snapToGrid w:val="0"/>
              <w:jc w:val="center"/>
              <w:rPr>
                <w:b/>
                <w:color w:val="auto"/>
                <w:sz w:val="21"/>
                <w:szCs w:val="21"/>
              </w:rPr>
            </w:pPr>
            <w:r>
              <w:rPr>
                <w:b/>
                <w:color w:val="auto"/>
                <w:sz w:val="21"/>
                <w:szCs w:val="21"/>
              </w:rPr>
              <w:t>承载力</w:t>
            </w:r>
          </w:p>
          <w:p>
            <w:pPr>
              <w:widowControl/>
              <w:adjustRightInd w:val="0"/>
              <w:snapToGrid w:val="0"/>
              <w:jc w:val="center"/>
              <w:rPr>
                <w:b/>
                <w:color w:val="auto"/>
                <w:sz w:val="21"/>
                <w:szCs w:val="21"/>
              </w:rPr>
            </w:pPr>
            <w:r>
              <w:rPr>
                <w:b/>
                <w:color w:val="auto"/>
                <w:sz w:val="21"/>
                <w:szCs w:val="21"/>
              </w:rPr>
              <w:t>特征值</w:t>
            </w:r>
          </w:p>
          <w:p>
            <w:pPr>
              <w:tabs>
                <w:tab w:val="left" w:pos="2292"/>
              </w:tabs>
              <w:adjustRightInd w:val="0"/>
              <w:snapToGrid w:val="0"/>
              <w:jc w:val="center"/>
              <w:rPr>
                <w:b/>
                <w:color w:val="auto"/>
                <w:sz w:val="21"/>
                <w:szCs w:val="21"/>
                <w:vertAlign w:val="subscript"/>
              </w:rPr>
            </w:pPr>
            <w:r>
              <w:rPr>
                <w:b/>
                <w:color w:val="auto"/>
                <w:sz w:val="21"/>
                <w:szCs w:val="21"/>
              </w:rPr>
              <w:t>f</w:t>
            </w:r>
            <w:r>
              <w:rPr>
                <w:b/>
                <w:color w:val="auto"/>
                <w:sz w:val="21"/>
                <w:szCs w:val="21"/>
                <w:vertAlign w:val="subscript"/>
              </w:rPr>
              <w:t>ak</w:t>
            </w:r>
          </w:p>
          <w:p>
            <w:pPr>
              <w:tabs>
                <w:tab w:val="left" w:pos="2292"/>
              </w:tabs>
              <w:adjustRightInd w:val="0"/>
              <w:snapToGrid w:val="0"/>
              <w:jc w:val="center"/>
              <w:rPr>
                <w:b/>
                <w:color w:val="auto"/>
                <w:sz w:val="21"/>
                <w:szCs w:val="21"/>
              </w:rPr>
            </w:pPr>
            <w:r>
              <w:rPr>
                <w:b/>
                <w:color w:val="auto"/>
                <w:sz w:val="21"/>
                <w:szCs w:val="21"/>
              </w:rPr>
              <w:t>(kPa)</w:t>
            </w:r>
          </w:p>
        </w:tc>
        <w:tc>
          <w:tcPr>
            <w:tcW w:w="1078" w:type="pct"/>
            <w:gridSpan w:val="2"/>
            <w:vAlign w:val="center"/>
          </w:tcPr>
          <w:p>
            <w:pPr>
              <w:widowControl/>
              <w:adjustRightInd w:val="0"/>
              <w:snapToGrid w:val="0"/>
              <w:jc w:val="center"/>
              <w:rPr>
                <w:b/>
                <w:color w:val="auto"/>
                <w:sz w:val="21"/>
                <w:szCs w:val="21"/>
              </w:rPr>
            </w:pPr>
            <w:r>
              <w:rPr>
                <w:b/>
                <w:color w:val="auto"/>
                <w:sz w:val="21"/>
                <w:szCs w:val="21"/>
              </w:rPr>
              <w:t>抗剪强度（快剪）</w:t>
            </w:r>
          </w:p>
        </w:tc>
        <w:tc>
          <w:tcPr>
            <w:tcW w:w="615" w:type="pct"/>
            <w:vMerge w:val="restart"/>
            <w:vAlign w:val="center"/>
          </w:tcPr>
          <w:p>
            <w:pPr>
              <w:widowControl/>
              <w:adjustRightInd w:val="0"/>
              <w:snapToGrid w:val="0"/>
              <w:jc w:val="center"/>
              <w:rPr>
                <w:b/>
                <w:color w:val="auto"/>
                <w:sz w:val="21"/>
                <w:szCs w:val="21"/>
              </w:rPr>
            </w:pPr>
            <w:r>
              <w:rPr>
                <w:b/>
                <w:color w:val="auto"/>
                <w:sz w:val="21"/>
                <w:szCs w:val="21"/>
              </w:rPr>
              <w:t>渗透系数K(m/d)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149" w:type="pct"/>
            <w:vMerge w:val="continue"/>
            <w:tcBorders>
              <w:tl2br w:val="single" w:color="auto" w:sz="4" w:space="0"/>
            </w:tcBorders>
          </w:tcPr>
          <w:p>
            <w:pPr>
              <w:tabs>
                <w:tab w:val="left" w:pos="2292"/>
              </w:tabs>
              <w:adjustRightInd w:val="0"/>
              <w:snapToGrid w:val="0"/>
              <w:jc w:val="left"/>
              <w:rPr>
                <w:b/>
                <w:color w:val="auto"/>
                <w:sz w:val="21"/>
                <w:szCs w:val="21"/>
              </w:rPr>
            </w:pPr>
          </w:p>
        </w:tc>
        <w:tc>
          <w:tcPr>
            <w:tcW w:w="572" w:type="pct"/>
            <w:vMerge w:val="continue"/>
            <w:vAlign w:val="center"/>
          </w:tcPr>
          <w:p>
            <w:pPr>
              <w:widowControl/>
              <w:adjustRightInd w:val="0"/>
              <w:snapToGrid w:val="0"/>
              <w:jc w:val="center"/>
              <w:rPr>
                <w:b/>
                <w:color w:val="auto"/>
                <w:sz w:val="21"/>
                <w:szCs w:val="21"/>
              </w:rPr>
            </w:pPr>
          </w:p>
        </w:tc>
        <w:tc>
          <w:tcPr>
            <w:tcW w:w="473" w:type="pct"/>
            <w:vMerge w:val="continue"/>
            <w:vAlign w:val="center"/>
          </w:tcPr>
          <w:p>
            <w:pPr>
              <w:widowControl/>
              <w:adjustRightInd w:val="0"/>
              <w:snapToGrid w:val="0"/>
              <w:jc w:val="center"/>
              <w:rPr>
                <w:b/>
                <w:color w:val="auto"/>
                <w:sz w:val="21"/>
                <w:szCs w:val="21"/>
              </w:rPr>
            </w:pPr>
          </w:p>
        </w:tc>
        <w:tc>
          <w:tcPr>
            <w:tcW w:w="500" w:type="pct"/>
            <w:vMerge w:val="continue"/>
            <w:vAlign w:val="center"/>
          </w:tcPr>
          <w:p>
            <w:pPr>
              <w:widowControl/>
              <w:adjustRightInd w:val="0"/>
              <w:snapToGrid w:val="0"/>
              <w:jc w:val="center"/>
              <w:rPr>
                <w:b/>
                <w:color w:val="auto"/>
                <w:sz w:val="21"/>
                <w:szCs w:val="21"/>
              </w:rPr>
            </w:pPr>
          </w:p>
        </w:tc>
        <w:tc>
          <w:tcPr>
            <w:tcW w:w="614" w:type="pct"/>
            <w:vMerge w:val="continue"/>
            <w:vAlign w:val="center"/>
          </w:tcPr>
          <w:p>
            <w:pPr>
              <w:widowControl/>
              <w:adjustRightInd w:val="0"/>
              <w:snapToGrid w:val="0"/>
              <w:jc w:val="center"/>
              <w:rPr>
                <w:b/>
                <w:color w:val="auto"/>
                <w:sz w:val="21"/>
                <w:szCs w:val="21"/>
              </w:rPr>
            </w:pPr>
          </w:p>
        </w:tc>
        <w:tc>
          <w:tcPr>
            <w:tcW w:w="582" w:type="pct"/>
            <w:vAlign w:val="center"/>
          </w:tcPr>
          <w:p>
            <w:pPr>
              <w:tabs>
                <w:tab w:val="left" w:pos="2292"/>
              </w:tabs>
              <w:adjustRightInd w:val="0"/>
              <w:snapToGrid w:val="0"/>
              <w:jc w:val="center"/>
              <w:rPr>
                <w:b/>
                <w:color w:val="auto"/>
                <w:sz w:val="21"/>
                <w:szCs w:val="21"/>
              </w:rPr>
            </w:pPr>
            <w:r>
              <w:rPr>
                <w:b/>
                <w:color w:val="auto"/>
                <w:sz w:val="21"/>
                <w:szCs w:val="21"/>
              </w:rPr>
              <w:t>凝聚力C（kPa）</w:t>
            </w:r>
          </w:p>
        </w:tc>
        <w:tc>
          <w:tcPr>
            <w:tcW w:w="496" w:type="pct"/>
            <w:vAlign w:val="center"/>
          </w:tcPr>
          <w:p>
            <w:pPr>
              <w:tabs>
                <w:tab w:val="left" w:pos="2292"/>
              </w:tabs>
              <w:adjustRightInd w:val="0"/>
              <w:snapToGrid w:val="0"/>
              <w:jc w:val="center"/>
              <w:rPr>
                <w:b/>
                <w:color w:val="auto"/>
                <w:sz w:val="21"/>
                <w:szCs w:val="21"/>
              </w:rPr>
            </w:pPr>
            <w:r>
              <w:rPr>
                <w:b/>
                <w:color w:val="auto"/>
                <w:sz w:val="21"/>
                <w:szCs w:val="21"/>
              </w:rPr>
              <w:t>内摩擦角φ（度）</w:t>
            </w:r>
          </w:p>
        </w:tc>
        <w:tc>
          <w:tcPr>
            <w:tcW w:w="615" w:type="pct"/>
            <w:vMerge w:val="continue"/>
            <w:vAlign w:val="center"/>
          </w:tcPr>
          <w:p>
            <w:pPr>
              <w:tabs>
                <w:tab w:val="left" w:pos="2292"/>
              </w:tabs>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49" w:type="pct"/>
            <w:vAlign w:val="center"/>
          </w:tcPr>
          <w:p>
            <w:pPr>
              <w:adjustRightInd w:val="0"/>
              <w:snapToGrid w:val="0"/>
              <w:jc w:val="center"/>
              <w:rPr>
                <w:color w:val="auto"/>
                <w:sz w:val="21"/>
                <w:szCs w:val="21"/>
              </w:rPr>
            </w:pPr>
            <w:r>
              <w:rPr>
                <w:color w:val="auto"/>
                <w:sz w:val="21"/>
                <w:szCs w:val="21"/>
              </w:rPr>
              <w:t>淤泥质土2-1</w:t>
            </w:r>
          </w:p>
        </w:tc>
        <w:tc>
          <w:tcPr>
            <w:tcW w:w="572" w:type="pct"/>
            <w:vAlign w:val="center"/>
          </w:tcPr>
          <w:p>
            <w:pPr>
              <w:widowControl/>
              <w:adjustRightInd w:val="0"/>
              <w:snapToGrid w:val="0"/>
              <w:jc w:val="center"/>
              <w:rPr>
                <w:color w:val="auto"/>
                <w:sz w:val="21"/>
                <w:szCs w:val="21"/>
              </w:rPr>
            </w:pPr>
            <w:r>
              <w:rPr>
                <w:color w:val="auto"/>
                <w:sz w:val="21"/>
                <w:szCs w:val="21"/>
              </w:rPr>
              <w:t>16.7</w:t>
            </w:r>
          </w:p>
        </w:tc>
        <w:tc>
          <w:tcPr>
            <w:tcW w:w="473" w:type="pct"/>
            <w:shd w:val="clear" w:color="auto" w:fill="auto"/>
            <w:vAlign w:val="center"/>
          </w:tcPr>
          <w:p>
            <w:pPr>
              <w:widowControl/>
              <w:adjustRightInd w:val="0"/>
              <w:snapToGrid w:val="0"/>
              <w:jc w:val="center"/>
              <w:rPr>
                <w:color w:val="auto"/>
                <w:sz w:val="21"/>
                <w:szCs w:val="21"/>
              </w:rPr>
            </w:pPr>
            <w:r>
              <w:rPr>
                <w:color w:val="auto"/>
                <w:sz w:val="21"/>
                <w:szCs w:val="21"/>
              </w:rPr>
              <w:t>3.30</w:t>
            </w:r>
          </w:p>
        </w:tc>
        <w:tc>
          <w:tcPr>
            <w:tcW w:w="500" w:type="pct"/>
            <w:shd w:val="clear" w:color="auto" w:fill="auto"/>
            <w:vAlign w:val="center"/>
          </w:tcPr>
          <w:p>
            <w:pPr>
              <w:widowControl/>
              <w:adjustRightInd w:val="0"/>
              <w:snapToGrid w:val="0"/>
              <w:jc w:val="center"/>
              <w:rPr>
                <w:color w:val="auto"/>
                <w:sz w:val="21"/>
                <w:szCs w:val="21"/>
              </w:rPr>
            </w:pPr>
            <w:r>
              <w:rPr>
                <w:color w:val="auto"/>
                <w:sz w:val="21"/>
                <w:szCs w:val="21"/>
              </w:rPr>
              <w:t>/</w:t>
            </w:r>
          </w:p>
        </w:tc>
        <w:tc>
          <w:tcPr>
            <w:tcW w:w="614" w:type="pct"/>
            <w:shd w:val="clear" w:color="auto" w:fill="auto"/>
            <w:vAlign w:val="center"/>
          </w:tcPr>
          <w:p>
            <w:pPr>
              <w:adjustRightInd w:val="0"/>
              <w:snapToGrid w:val="0"/>
              <w:jc w:val="center"/>
              <w:rPr>
                <w:color w:val="auto"/>
                <w:sz w:val="21"/>
                <w:szCs w:val="21"/>
              </w:rPr>
            </w:pPr>
            <w:r>
              <w:rPr>
                <w:color w:val="auto"/>
                <w:sz w:val="21"/>
                <w:szCs w:val="21"/>
              </w:rPr>
              <w:t>60</w:t>
            </w:r>
          </w:p>
        </w:tc>
        <w:tc>
          <w:tcPr>
            <w:tcW w:w="582" w:type="pct"/>
            <w:vAlign w:val="center"/>
          </w:tcPr>
          <w:p>
            <w:pPr>
              <w:widowControl/>
              <w:adjustRightInd w:val="0"/>
              <w:snapToGrid w:val="0"/>
              <w:jc w:val="center"/>
              <w:rPr>
                <w:color w:val="auto"/>
                <w:sz w:val="21"/>
                <w:szCs w:val="21"/>
              </w:rPr>
            </w:pPr>
            <w:r>
              <w:rPr>
                <w:color w:val="auto"/>
                <w:sz w:val="21"/>
                <w:szCs w:val="21"/>
                <w:lang w:val="en-GB"/>
              </w:rPr>
              <w:t>*</w:t>
            </w:r>
            <w:r>
              <w:rPr>
                <w:color w:val="auto"/>
                <w:sz w:val="21"/>
                <w:szCs w:val="21"/>
              </w:rPr>
              <w:t>5</w:t>
            </w:r>
          </w:p>
        </w:tc>
        <w:tc>
          <w:tcPr>
            <w:tcW w:w="496" w:type="pct"/>
            <w:vAlign w:val="center"/>
          </w:tcPr>
          <w:p>
            <w:pPr>
              <w:widowControl/>
              <w:adjustRightInd w:val="0"/>
              <w:snapToGrid w:val="0"/>
              <w:jc w:val="center"/>
              <w:rPr>
                <w:color w:val="auto"/>
                <w:sz w:val="21"/>
                <w:szCs w:val="21"/>
              </w:rPr>
            </w:pPr>
            <w:r>
              <w:rPr>
                <w:color w:val="auto"/>
                <w:sz w:val="21"/>
                <w:szCs w:val="21"/>
                <w:lang w:val="en-GB"/>
              </w:rPr>
              <w:t>*</w:t>
            </w:r>
            <w:r>
              <w:rPr>
                <w:color w:val="auto"/>
                <w:sz w:val="21"/>
                <w:szCs w:val="21"/>
              </w:rPr>
              <w:t>2.3</w:t>
            </w:r>
          </w:p>
        </w:tc>
        <w:tc>
          <w:tcPr>
            <w:tcW w:w="615" w:type="pct"/>
            <w:vAlign w:val="center"/>
          </w:tcPr>
          <w:p>
            <w:pPr>
              <w:widowControl/>
              <w:adjustRightInd w:val="0"/>
              <w:snapToGrid w:val="0"/>
              <w:jc w:val="center"/>
              <w:rPr>
                <w:color w:val="auto"/>
                <w:sz w:val="21"/>
                <w:szCs w:val="21"/>
                <w:lang w:val="en-GB"/>
              </w:rPr>
            </w:pPr>
            <w:r>
              <w:rPr>
                <w:color w:val="auto"/>
                <w:sz w:val="21"/>
                <w:szCs w:val="21"/>
                <w:lang w:val="en-GB"/>
              </w:rPr>
              <w:t>*0.00062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49" w:type="pct"/>
            <w:vAlign w:val="center"/>
          </w:tcPr>
          <w:p>
            <w:pPr>
              <w:adjustRightInd w:val="0"/>
              <w:snapToGrid w:val="0"/>
              <w:jc w:val="center"/>
              <w:rPr>
                <w:color w:val="auto"/>
                <w:sz w:val="21"/>
                <w:szCs w:val="21"/>
              </w:rPr>
            </w:pPr>
            <w:r>
              <w:rPr>
                <w:color w:val="auto"/>
                <w:sz w:val="21"/>
                <w:szCs w:val="21"/>
              </w:rPr>
              <w:t>粉质粘土2-2</w:t>
            </w:r>
          </w:p>
        </w:tc>
        <w:tc>
          <w:tcPr>
            <w:tcW w:w="572" w:type="pct"/>
            <w:vAlign w:val="center"/>
          </w:tcPr>
          <w:p>
            <w:pPr>
              <w:tabs>
                <w:tab w:val="left" w:pos="2292"/>
              </w:tabs>
              <w:adjustRightInd w:val="0"/>
              <w:snapToGrid w:val="0"/>
              <w:jc w:val="center"/>
              <w:rPr>
                <w:color w:val="auto"/>
                <w:sz w:val="21"/>
                <w:szCs w:val="21"/>
              </w:rPr>
            </w:pPr>
            <w:r>
              <w:rPr>
                <w:color w:val="auto"/>
                <w:sz w:val="21"/>
                <w:szCs w:val="21"/>
              </w:rPr>
              <w:t>18.7</w:t>
            </w:r>
          </w:p>
        </w:tc>
        <w:tc>
          <w:tcPr>
            <w:tcW w:w="473" w:type="pct"/>
            <w:shd w:val="clear" w:color="auto" w:fill="auto"/>
            <w:vAlign w:val="center"/>
          </w:tcPr>
          <w:p>
            <w:pPr>
              <w:tabs>
                <w:tab w:val="left" w:pos="2292"/>
              </w:tabs>
              <w:adjustRightInd w:val="0"/>
              <w:snapToGrid w:val="0"/>
              <w:jc w:val="center"/>
              <w:rPr>
                <w:color w:val="auto"/>
                <w:sz w:val="21"/>
                <w:szCs w:val="21"/>
              </w:rPr>
            </w:pPr>
            <w:r>
              <w:rPr>
                <w:color w:val="auto"/>
                <w:sz w:val="21"/>
                <w:szCs w:val="21"/>
              </w:rPr>
              <w:t>5.02</w:t>
            </w:r>
          </w:p>
        </w:tc>
        <w:tc>
          <w:tcPr>
            <w:tcW w:w="500" w:type="pct"/>
            <w:shd w:val="clear" w:color="auto" w:fill="auto"/>
            <w:vAlign w:val="center"/>
          </w:tcPr>
          <w:p>
            <w:pPr>
              <w:tabs>
                <w:tab w:val="left" w:pos="2292"/>
              </w:tabs>
              <w:adjustRightInd w:val="0"/>
              <w:snapToGrid w:val="0"/>
              <w:jc w:val="center"/>
              <w:rPr>
                <w:color w:val="auto"/>
                <w:sz w:val="21"/>
                <w:szCs w:val="21"/>
              </w:rPr>
            </w:pPr>
            <w:r>
              <w:rPr>
                <w:color w:val="auto"/>
                <w:sz w:val="21"/>
                <w:szCs w:val="21"/>
              </w:rPr>
              <w:t>12</w:t>
            </w:r>
          </w:p>
        </w:tc>
        <w:tc>
          <w:tcPr>
            <w:tcW w:w="614" w:type="pct"/>
            <w:shd w:val="clear" w:color="auto" w:fill="auto"/>
            <w:vAlign w:val="center"/>
          </w:tcPr>
          <w:p>
            <w:pPr>
              <w:adjustRightInd w:val="0"/>
              <w:snapToGrid w:val="0"/>
              <w:jc w:val="center"/>
              <w:rPr>
                <w:color w:val="auto"/>
                <w:sz w:val="21"/>
                <w:szCs w:val="21"/>
              </w:rPr>
            </w:pPr>
            <w:r>
              <w:rPr>
                <w:color w:val="auto"/>
                <w:sz w:val="21"/>
                <w:szCs w:val="21"/>
              </w:rPr>
              <w:t>120</w:t>
            </w:r>
          </w:p>
        </w:tc>
        <w:tc>
          <w:tcPr>
            <w:tcW w:w="582" w:type="pct"/>
            <w:vAlign w:val="center"/>
          </w:tcPr>
          <w:p>
            <w:pPr>
              <w:widowControl/>
              <w:adjustRightInd w:val="0"/>
              <w:snapToGrid w:val="0"/>
              <w:jc w:val="center"/>
              <w:rPr>
                <w:color w:val="auto"/>
                <w:sz w:val="21"/>
                <w:szCs w:val="21"/>
              </w:rPr>
            </w:pPr>
            <w:r>
              <w:rPr>
                <w:color w:val="auto"/>
                <w:sz w:val="21"/>
                <w:szCs w:val="21"/>
                <w:lang w:val="en-GB"/>
              </w:rPr>
              <w:t>*</w:t>
            </w:r>
            <w:r>
              <w:rPr>
                <w:color w:val="auto"/>
                <w:sz w:val="21"/>
                <w:szCs w:val="21"/>
              </w:rPr>
              <w:t>13</w:t>
            </w:r>
          </w:p>
        </w:tc>
        <w:tc>
          <w:tcPr>
            <w:tcW w:w="496" w:type="pct"/>
            <w:vAlign w:val="center"/>
          </w:tcPr>
          <w:p>
            <w:pPr>
              <w:widowControl/>
              <w:adjustRightInd w:val="0"/>
              <w:snapToGrid w:val="0"/>
              <w:jc w:val="center"/>
              <w:rPr>
                <w:color w:val="auto"/>
                <w:sz w:val="21"/>
                <w:szCs w:val="21"/>
              </w:rPr>
            </w:pPr>
            <w:r>
              <w:rPr>
                <w:color w:val="auto"/>
                <w:sz w:val="21"/>
                <w:szCs w:val="21"/>
                <w:lang w:val="en-GB"/>
              </w:rPr>
              <w:t>*</w:t>
            </w:r>
            <w:r>
              <w:rPr>
                <w:color w:val="auto"/>
                <w:sz w:val="21"/>
                <w:szCs w:val="21"/>
              </w:rPr>
              <w:t>11</w:t>
            </w:r>
          </w:p>
        </w:tc>
        <w:tc>
          <w:tcPr>
            <w:tcW w:w="615" w:type="pct"/>
            <w:vAlign w:val="center"/>
          </w:tcPr>
          <w:p>
            <w:pPr>
              <w:widowControl/>
              <w:adjustRightInd w:val="0"/>
              <w:snapToGrid w:val="0"/>
              <w:jc w:val="center"/>
              <w:rPr>
                <w:color w:val="auto"/>
                <w:sz w:val="21"/>
                <w:szCs w:val="21"/>
              </w:rPr>
            </w:pPr>
            <w:r>
              <w:rPr>
                <w:color w:val="auto"/>
                <w:sz w:val="21"/>
                <w:szCs w:val="21"/>
                <w:lang w:val="en-GB"/>
              </w:rPr>
              <w:t>*</w:t>
            </w:r>
            <w:r>
              <w:rPr>
                <w:color w:val="auto"/>
                <w:sz w:val="21"/>
                <w:szCs w:val="21"/>
              </w:rPr>
              <w:t>0.0068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49" w:type="pct"/>
            <w:vAlign w:val="center"/>
          </w:tcPr>
          <w:p>
            <w:pPr>
              <w:adjustRightInd w:val="0"/>
              <w:snapToGrid w:val="0"/>
              <w:jc w:val="center"/>
              <w:rPr>
                <w:color w:val="auto"/>
                <w:sz w:val="21"/>
                <w:szCs w:val="21"/>
              </w:rPr>
            </w:pPr>
            <w:r>
              <w:rPr>
                <w:color w:val="auto"/>
                <w:sz w:val="21"/>
                <w:szCs w:val="21"/>
              </w:rPr>
              <w:t>全风化砂砾岩3-1</w:t>
            </w:r>
          </w:p>
        </w:tc>
        <w:tc>
          <w:tcPr>
            <w:tcW w:w="572" w:type="pct"/>
            <w:vAlign w:val="center"/>
          </w:tcPr>
          <w:p>
            <w:pPr>
              <w:tabs>
                <w:tab w:val="left" w:pos="2292"/>
              </w:tabs>
              <w:adjustRightInd w:val="0"/>
              <w:snapToGrid w:val="0"/>
              <w:jc w:val="center"/>
              <w:rPr>
                <w:color w:val="auto"/>
                <w:sz w:val="21"/>
                <w:szCs w:val="21"/>
                <w:lang w:val="en-GB"/>
              </w:rPr>
            </w:pPr>
            <w:r>
              <w:rPr>
                <w:color w:val="auto"/>
                <w:sz w:val="21"/>
                <w:szCs w:val="21"/>
                <w:lang w:val="en-GB"/>
              </w:rPr>
              <w:t>19.2</w:t>
            </w:r>
          </w:p>
        </w:tc>
        <w:tc>
          <w:tcPr>
            <w:tcW w:w="473" w:type="pct"/>
            <w:shd w:val="clear" w:color="auto" w:fill="auto"/>
            <w:vAlign w:val="center"/>
          </w:tcPr>
          <w:p>
            <w:pPr>
              <w:tabs>
                <w:tab w:val="left" w:pos="2292"/>
              </w:tabs>
              <w:adjustRightInd w:val="0"/>
              <w:snapToGrid w:val="0"/>
              <w:jc w:val="center"/>
              <w:rPr>
                <w:color w:val="auto"/>
                <w:sz w:val="21"/>
                <w:szCs w:val="21"/>
                <w:lang w:val="en-GB"/>
              </w:rPr>
            </w:pPr>
            <w:r>
              <w:rPr>
                <w:color w:val="auto"/>
                <w:sz w:val="21"/>
                <w:szCs w:val="21"/>
                <w:lang w:val="en-GB"/>
              </w:rPr>
              <w:t>*6.45</w:t>
            </w:r>
          </w:p>
        </w:tc>
        <w:tc>
          <w:tcPr>
            <w:tcW w:w="500" w:type="pct"/>
            <w:shd w:val="clear" w:color="auto" w:fill="auto"/>
            <w:vAlign w:val="center"/>
          </w:tcPr>
          <w:p>
            <w:pPr>
              <w:tabs>
                <w:tab w:val="left" w:pos="2292"/>
              </w:tabs>
              <w:adjustRightInd w:val="0"/>
              <w:snapToGrid w:val="0"/>
              <w:jc w:val="center"/>
              <w:rPr>
                <w:color w:val="auto"/>
                <w:sz w:val="21"/>
                <w:szCs w:val="21"/>
                <w:lang w:val="en-GB"/>
              </w:rPr>
            </w:pPr>
            <w:r>
              <w:rPr>
                <w:color w:val="auto"/>
                <w:sz w:val="21"/>
                <w:szCs w:val="21"/>
                <w:lang w:val="en-GB"/>
              </w:rPr>
              <w:t>30</w:t>
            </w:r>
          </w:p>
        </w:tc>
        <w:tc>
          <w:tcPr>
            <w:tcW w:w="614" w:type="pct"/>
            <w:shd w:val="clear" w:color="auto" w:fill="auto"/>
            <w:vAlign w:val="center"/>
          </w:tcPr>
          <w:p>
            <w:pPr>
              <w:adjustRightInd w:val="0"/>
              <w:snapToGrid w:val="0"/>
              <w:jc w:val="center"/>
              <w:rPr>
                <w:color w:val="auto"/>
                <w:sz w:val="21"/>
                <w:szCs w:val="21"/>
              </w:rPr>
            </w:pPr>
            <w:r>
              <w:rPr>
                <w:color w:val="auto"/>
                <w:sz w:val="21"/>
                <w:szCs w:val="21"/>
              </w:rPr>
              <w:t>350</w:t>
            </w:r>
          </w:p>
        </w:tc>
        <w:tc>
          <w:tcPr>
            <w:tcW w:w="582" w:type="pct"/>
            <w:vAlign w:val="center"/>
          </w:tcPr>
          <w:p>
            <w:pPr>
              <w:widowControl/>
              <w:adjustRightInd w:val="0"/>
              <w:snapToGrid w:val="0"/>
              <w:jc w:val="center"/>
              <w:rPr>
                <w:color w:val="auto"/>
                <w:sz w:val="21"/>
                <w:szCs w:val="21"/>
                <w:lang w:val="en-GB"/>
              </w:rPr>
            </w:pPr>
            <w:r>
              <w:rPr>
                <w:color w:val="auto"/>
                <w:sz w:val="21"/>
                <w:szCs w:val="21"/>
                <w:lang w:val="en-GB"/>
              </w:rPr>
              <w:t>*27</w:t>
            </w:r>
          </w:p>
        </w:tc>
        <w:tc>
          <w:tcPr>
            <w:tcW w:w="496" w:type="pct"/>
            <w:vAlign w:val="center"/>
          </w:tcPr>
          <w:p>
            <w:pPr>
              <w:widowControl/>
              <w:adjustRightInd w:val="0"/>
              <w:snapToGrid w:val="0"/>
              <w:jc w:val="center"/>
              <w:rPr>
                <w:color w:val="auto"/>
                <w:sz w:val="21"/>
                <w:szCs w:val="21"/>
                <w:lang w:val="en-GB"/>
              </w:rPr>
            </w:pPr>
            <w:r>
              <w:rPr>
                <w:color w:val="auto"/>
                <w:sz w:val="21"/>
                <w:szCs w:val="21"/>
                <w:lang w:val="en-GB"/>
              </w:rPr>
              <w:t>*16</w:t>
            </w:r>
          </w:p>
        </w:tc>
        <w:tc>
          <w:tcPr>
            <w:tcW w:w="615" w:type="pct"/>
            <w:vAlign w:val="center"/>
          </w:tcPr>
          <w:p>
            <w:pPr>
              <w:widowControl/>
              <w:adjustRightInd w:val="0"/>
              <w:snapToGrid w:val="0"/>
              <w:jc w:val="center"/>
              <w:rPr>
                <w:color w:val="auto"/>
                <w:sz w:val="21"/>
                <w:szCs w:val="21"/>
                <w:lang w:val="en-GB"/>
              </w:rPr>
            </w:pPr>
            <w:r>
              <w:rPr>
                <w:color w:val="auto"/>
                <w:sz w:val="21"/>
                <w:szCs w:val="21"/>
                <w:lang w:val="en-GB"/>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49" w:type="pct"/>
            <w:vAlign w:val="center"/>
          </w:tcPr>
          <w:p>
            <w:pPr>
              <w:adjustRightInd w:val="0"/>
              <w:snapToGrid w:val="0"/>
              <w:jc w:val="center"/>
              <w:rPr>
                <w:color w:val="auto"/>
                <w:sz w:val="21"/>
                <w:szCs w:val="21"/>
              </w:rPr>
            </w:pPr>
            <w:r>
              <w:rPr>
                <w:color w:val="auto"/>
                <w:sz w:val="21"/>
                <w:szCs w:val="21"/>
              </w:rPr>
              <w:t>强风化砂砾岩3-2</w:t>
            </w:r>
          </w:p>
        </w:tc>
        <w:tc>
          <w:tcPr>
            <w:tcW w:w="572" w:type="pct"/>
            <w:vAlign w:val="center"/>
          </w:tcPr>
          <w:p>
            <w:pPr>
              <w:tabs>
                <w:tab w:val="left" w:pos="2292"/>
              </w:tabs>
              <w:adjustRightInd w:val="0"/>
              <w:snapToGrid w:val="0"/>
              <w:jc w:val="center"/>
              <w:rPr>
                <w:color w:val="auto"/>
                <w:sz w:val="21"/>
                <w:szCs w:val="21"/>
              </w:rPr>
            </w:pPr>
            <w:r>
              <w:rPr>
                <w:color w:val="auto"/>
                <w:sz w:val="21"/>
                <w:szCs w:val="21"/>
              </w:rPr>
              <w:t>21.0</w:t>
            </w:r>
          </w:p>
        </w:tc>
        <w:tc>
          <w:tcPr>
            <w:tcW w:w="473" w:type="pct"/>
            <w:vAlign w:val="center"/>
          </w:tcPr>
          <w:p>
            <w:pPr>
              <w:tabs>
                <w:tab w:val="left" w:pos="2292"/>
              </w:tabs>
              <w:adjustRightInd w:val="0"/>
              <w:snapToGrid w:val="0"/>
              <w:jc w:val="center"/>
              <w:rPr>
                <w:color w:val="auto"/>
                <w:sz w:val="21"/>
                <w:szCs w:val="21"/>
              </w:rPr>
            </w:pPr>
            <w:r>
              <w:rPr>
                <w:color w:val="auto"/>
                <w:sz w:val="21"/>
                <w:szCs w:val="21"/>
              </w:rPr>
              <w:t>/</w:t>
            </w:r>
          </w:p>
        </w:tc>
        <w:tc>
          <w:tcPr>
            <w:tcW w:w="500" w:type="pct"/>
            <w:vAlign w:val="center"/>
          </w:tcPr>
          <w:p>
            <w:pPr>
              <w:tabs>
                <w:tab w:val="left" w:pos="2292"/>
              </w:tabs>
              <w:adjustRightInd w:val="0"/>
              <w:snapToGrid w:val="0"/>
              <w:jc w:val="center"/>
              <w:rPr>
                <w:color w:val="auto"/>
                <w:sz w:val="21"/>
                <w:szCs w:val="21"/>
              </w:rPr>
            </w:pPr>
            <w:r>
              <w:rPr>
                <w:color w:val="auto"/>
                <w:sz w:val="21"/>
                <w:szCs w:val="21"/>
              </w:rPr>
              <w:t>80</w:t>
            </w:r>
          </w:p>
        </w:tc>
        <w:tc>
          <w:tcPr>
            <w:tcW w:w="614" w:type="pct"/>
            <w:vAlign w:val="center"/>
          </w:tcPr>
          <w:p>
            <w:pPr>
              <w:adjustRightInd w:val="0"/>
              <w:snapToGrid w:val="0"/>
              <w:jc w:val="center"/>
              <w:rPr>
                <w:color w:val="auto"/>
                <w:sz w:val="21"/>
                <w:szCs w:val="21"/>
              </w:rPr>
            </w:pPr>
            <w:r>
              <w:rPr>
                <w:color w:val="auto"/>
                <w:sz w:val="21"/>
                <w:szCs w:val="21"/>
              </w:rPr>
              <w:t>550</w:t>
            </w:r>
          </w:p>
        </w:tc>
        <w:tc>
          <w:tcPr>
            <w:tcW w:w="582" w:type="pct"/>
            <w:vAlign w:val="center"/>
          </w:tcPr>
          <w:p>
            <w:pPr>
              <w:widowControl/>
              <w:adjustRightInd w:val="0"/>
              <w:snapToGrid w:val="0"/>
              <w:jc w:val="center"/>
              <w:rPr>
                <w:color w:val="auto"/>
                <w:sz w:val="21"/>
                <w:szCs w:val="21"/>
              </w:rPr>
            </w:pPr>
            <w:r>
              <w:rPr>
                <w:color w:val="auto"/>
                <w:sz w:val="21"/>
                <w:szCs w:val="21"/>
                <w:lang w:val="en-GB"/>
              </w:rPr>
              <w:t>*</w:t>
            </w:r>
            <w:r>
              <w:rPr>
                <w:color w:val="auto"/>
                <w:sz w:val="21"/>
                <w:szCs w:val="21"/>
              </w:rPr>
              <w:t>28</w:t>
            </w:r>
          </w:p>
        </w:tc>
        <w:tc>
          <w:tcPr>
            <w:tcW w:w="496" w:type="pct"/>
            <w:vAlign w:val="center"/>
          </w:tcPr>
          <w:p>
            <w:pPr>
              <w:widowControl/>
              <w:adjustRightInd w:val="0"/>
              <w:snapToGrid w:val="0"/>
              <w:jc w:val="center"/>
              <w:rPr>
                <w:color w:val="auto"/>
                <w:sz w:val="21"/>
                <w:szCs w:val="21"/>
              </w:rPr>
            </w:pPr>
            <w:r>
              <w:rPr>
                <w:color w:val="auto"/>
                <w:sz w:val="21"/>
                <w:szCs w:val="21"/>
                <w:lang w:val="en-GB"/>
              </w:rPr>
              <w:t>*</w:t>
            </w:r>
            <w:r>
              <w:rPr>
                <w:color w:val="auto"/>
                <w:sz w:val="21"/>
                <w:szCs w:val="21"/>
              </w:rPr>
              <w:t>20</w:t>
            </w:r>
          </w:p>
        </w:tc>
        <w:tc>
          <w:tcPr>
            <w:tcW w:w="615" w:type="pct"/>
            <w:vAlign w:val="center"/>
          </w:tcPr>
          <w:p>
            <w:pPr>
              <w:widowControl/>
              <w:adjustRightInd w:val="0"/>
              <w:snapToGrid w:val="0"/>
              <w:jc w:val="center"/>
              <w:rPr>
                <w:color w:val="auto"/>
                <w:sz w:val="21"/>
                <w:szCs w:val="21"/>
                <w:lang w:val="en-GB"/>
              </w:rPr>
            </w:pPr>
            <w:r>
              <w:rPr>
                <w:color w:val="auto"/>
                <w:sz w:val="21"/>
                <w:szCs w:val="21"/>
                <w:lang w:val="en-GB"/>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49" w:type="pct"/>
            <w:vAlign w:val="center"/>
          </w:tcPr>
          <w:p>
            <w:pPr>
              <w:adjustRightInd w:val="0"/>
              <w:snapToGrid w:val="0"/>
              <w:jc w:val="center"/>
              <w:rPr>
                <w:color w:val="auto"/>
                <w:sz w:val="21"/>
                <w:szCs w:val="21"/>
              </w:rPr>
            </w:pPr>
            <w:r>
              <w:rPr>
                <w:color w:val="auto"/>
                <w:sz w:val="21"/>
                <w:szCs w:val="21"/>
              </w:rPr>
              <w:t>中风化砂砾岩3-3</w:t>
            </w:r>
          </w:p>
        </w:tc>
        <w:tc>
          <w:tcPr>
            <w:tcW w:w="572" w:type="pct"/>
            <w:vAlign w:val="center"/>
          </w:tcPr>
          <w:p>
            <w:pPr>
              <w:tabs>
                <w:tab w:val="left" w:pos="2292"/>
              </w:tabs>
              <w:adjustRightInd w:val="0"/>
              <w:snapToGrid w:val="0"/>
              <w:jc w:val="center"/>
              <w:rPr>
                <w:color w:val="auto"/>
                <w:sz w:val="21"/>
                <w:szCs w:val="21"/>
              </w:rPr>
            </w:pPr>
            <w:r>
              <w:rPr>
                <w:color w:val="auto"/>
                <w:sz w:val="21"/>
                <w:szCs w:val="21"/>
              </w:rPr>
              <w:t>22.0</w:t>
            </w:r>
          </w:p>
        </w:tc>
        <w:tc>
          <w:tcPr>
            <w:tcW w:w="473" w:type="pct"/>
            <w:vAlign w:val="center"/>
          </w:tcPr>
          <w:p>
            <w:pPr>
              <w:tabs>
                <w:tab w:val="left" w:pos="2292"/>
              </w:tabs>
              <w:adjustRightInd w:val="0"/>
              <w:snapToGrid w:val="0"/>
              <w:jc w:val="center"/>
              <w:rPr>
                <w:color w:val="auto"/>
                <w:sz w:val="21"/>
                <w:szCs w:val="21"/>
              </w:rPr>
            </w:pPr>
            <w:r>
              <w:rPr>
                <w:color w:val="auto"/>
                <w:sz w:val="21"/>
                <w:szCs w:val="21"/>
              </w:rPr>
              <w:t>/</w:t>
            </w:r>
          </w:p>
        </w:tc>
        <w:tc>
          <w:tcPr>
            <w:tcW w:w="500" w:type="pct"/>
            <w:vAlign w:val="center"/>
          </w:tcPr>
          <w:p>
            <w:pPr>
              <w:widowControl/>
              <w:adjustRightInd w:val="0"/>
              <w:snapToGrid w:val="0"/>
              <w:jc w:val="center"/>
              <w:rPr>
                <w:color w:val="auto"/>
                <w:sz w:val="21"/>
                <w:szCs w:val="21"/>
              </w:rPr>
            </w:pPr>
            <w:r>
              <w:rPr>
                <w:color w:val="auto"/>
                <w:sz w:val="21"/>
                <w:szCs w:val="21"/>
              </w:rPr>
              <w:t>120</w:t>
            </w:r>
          </w:p>
        </w:tc>
        <w:tc>
          <w:tcPr>
            <w:tcW w:w="1692" w:type="pct"/>
            <w:gridSpan w:val="3"/>
            <w:vAlign w:val="center"/>
          </w:tcPr>
          <w:p>
            <w:pPr>
              <w:widowControl/>
              <w:adjustRightInd w:val="0"/>
              <w:snapToGrid w:val="0"/>
              <w:jc w:val="center"/>
              <w:rPr>
                <w:color w:val="auto"/>
                <w:sz w:val="21"/>
                <w:szCs w:val="21"/>
              </w:rPr>
            </w:pPr>
            <w:r>
              <w:rPr>
                <w:color w:val="auto"/>
                <w:sz w:val="21"/>
                <w:szCs w:val="21"/>
              </w:rPr>
              <w:t>f</w:t>
            </w:r>
            <w:r>
              <w:rPr>
                <w:color w:val="auto"/>
                <w:sz w:val="21"/>
                <w:szCs w:val="21"/>
                <w:vertAlign w:val="subscript"/>
              </w:rPr>
              <w:t>rk</w:t>
            </w:r>
            <w:r>
              <w:rPr>
                <w:color w:val="auto"/>
                <w:sz w:val="21"/>
                <w:szCs w:val="21"/>
              </w:rPr>
              <w:t>= 7MPa（天然状态）</w:t>
            </w:r>
          </w:p>
        </w:tc>
        <w:tc>
          <w:tcPr>
            <w:tcW w:w="615" w:type="pct"/>
            <w:vAlign w:val="center"/>
          </w:tcPr>
          <w:p>
            <w:pPr>
              <w:widowControl/>
              <w:adjustRightInd w:val="0"/>
              <w:snapToGrid w:val="0"/>
              <w:jc w:val="center"/>
              <w:rPr>
                <w:color w:val="auto"/>
                <w:sz w:val="21"/>
                <w:szCs w:val="21"/>
                <w:lang w:val="en-GB"/>
              </w:rPr>
            </w:pPr>
            <w:r>
              <w:rPr>
                <w:color w:val="auto"/>
                <w:sz w:val="21"/>
                <w:szCs w:val="21"/>
                <w:lang w:val="en-GB"/>
              </w:rPr>
              <w:t>*0.5</w:t>
            </w:r>
          </w:p>
        </w:tc>
      </w:tr>
    </w:tbl>
    <w:p>
      <w:pPr>
        <w:spacing w:line="360" w:lineRule="auto"/>
        <w:ind w:firstLine="480" w:firstLineChars="200"/>
        <w:rPr>
          <w:color w:val="auto"/>
          <w:sz w:val="24"/>
          <w:szCs w:val="24"/>
        </w:rPr>
      </w:pPr>
      <w:r>
        <w:rPr>
          <w:rFonts w:hAnsi="宋体"/>
          <w:color w:val="auto"/>
          <w:sz w:val="24"/>
          <w:szCs w:val="24"/>
        </w:rPr>
        <w:t>注：当基础砌置于不同地层之上或下卧层性质变化较大时，应考虑不均匀沉降对建</w:t>
      </w:r>
      <w:r>
        <w:rPr>
          <w:rFonts w:hint="eastAsia"/>
          <w:color w:val="auto"/>
          <w:sz w:val="24"/>
          <w:szCs w:val="24"/>
        </w:rPr>
        <w:t>（</w:t>
      </w:r>
      <w:r>
        <w:rPr>
          <w:rFonts w:hAnsi="宋体"/>
          <w:color w:val="auto"/>
          <w:sz w:val="24"/>
          <w:szCs w:val="24"/>
        </w:rPr>
        <w:t>构</w:t>
      </w:r>
      <w:r>
        <w:rPr>
          <w:rFonts w:hint="eastAsia"/>
          <w:color w:val="auto"/>
          <w:sz w:val="24"/>
          <w:szCs w:val="24"/>
        </w:rPr>
        <w:t>）</w:t>
      </w:r>
      <w:r>
        <w:rPr>
          <w:rFonts w:hAnsi="宋体"/>
          <w:color w:val="auto"/>
          <w:sz w:val="24"/>
          <w:szCs w:val="24"/>
        </w:rPr>
        <w:t>筑物的影响</w:t>
      </w:r>
      <w:r>
        <w:rPr>
          <w:rFonts w:hint="eastAsia" w:hAnsi="宋体"/>
          <w:color w:val="auto"/>
          <w:sz w:val="24"/>
          <w:szCs w:val="24"/>
        </w:rPr>
        <w:t>；</w:t>
      </w:r>
      <w:r>
        <w:rPr>
          <w:rFonts w:hAnsi="宋体"/>
          <w:color w:val="auto"/>
          <w:sz w:val="24"/>
          <w:szCs w:val="24"/>
        </w:rPr>
        <w:t>抗剪强度为直接快剪指标。</w:t>
      </w:r>
    </w:p>
    <w:p>
      <w:pPr>
        <w:pStyle w:val="5"/>
        <w:rPr>
          <w:color w:val="auto"/>
        </w:rPr>
      </w:pPr>
      <w:r>
        <w:rPr>
          <w:rFonts w:hint="eastAsia"/>
          <w:color w:val="auto"/>
        </w:rPr>
        <w:t>5.2.3.2地下水污染途径分析</w:t>
      </w:r>
    </w:p>
    <w:p>
      <w:pPr>
        <w:spacing w:line="360" w:lineRule="auto"/>
        <w:ind w:firstLine="480" w:firstLineChars="200"/>
        <w:rPr>
          <w:color w:val="auto"/>
          <w:sz w:val="24"/>
          <w:szCs w:val="24"/>
        </w:rPr>
      </w:pPr>
      <w:r>
        <w:rPr>
          <w:rFonts w:hint="eastAsia"/>
          <w:color w:val="auto"/>
          <w:sz w:val="24"/>
          <w:szCs w:val="24"/>
        </w:rPr>
        <w:t>地下水污染途径是指污染物从污染源进入到地下水中所经过的路径。研究地下水的污染途径有助于制定正确的地下水污染防治措施。按照水力学上的特点分类，规划区内污染类型主要包括间歇入渗型和连续入渗型两种类型。地下水污染途径大致可分为间歇入渗型、连续入渗型、越流型和径流型等四类。</w:t>
      </w:r>
    </w:p>
    <w:p>
      <w:pPr>
        <w:spacing w:line="360" w:lineRule="auto"/>
        <w:ind w:firstLine="480" w:firstLineChars="200"/>
        <w:rPr>
          <w:color w:val="auto"/>
          <w:sz w:val="24"/>
          <w:szCs w:val="24"/>
        </w:rPr>
      </w:pPr>
      <w:r>
        <w:rPr>
          <w:rFonts w:hint="eastAsia"/>
          <w:color w:val="auto"/>
          <w:sz w:val="24"/>
          <w:szCs w:val="24"/>
        </w:rPr>
        <w:t>间歇入渗型其特点是污染物通过大气降水或灌溉水的淋滤，使固体废物、表层土壤或地层中的有毒或有害物质周期性（灌溉旱田、降雨时）从污染源通过包气带土层渗入含水层。这种渗入一般是呈非饱水状态的淋雨状渗流形式，或者呈短时间的饱水状态连续渗流形式，规划区范围内存在间歇性入渗污染的污染源主要为固体废物以及生活垃圾等。此类污染，无论在其范围或浓度上，均可能有明显的季节性变化，受污染的对象主要是浅层地下水。</w:t>
      </w:r>
    </w:p>
    <w:p>
      <w:pPr>
        <w:spacing w:line="360" w:lineRule="auto"/>
        <w:ind w:firstLine="480" w:firstLineChars="200"/>
        <w:rPr>
          <w:color w:val="auto"/>
          <w:sz w:val="24"/>
          <w:szCs w:val="24"/>
        </w:rPr>
      </w:pPr>
      <w:r>
        <w:rPr>
          <w:rFonts w:hint="eastAsia"/>
          <w:color w:val="auto"/>
          <w:sz w:val="24"/>
          <w:szCs w:val="24"/>
        </w:rPr>
        <w:t>连续入渗型特点是污染物随各种液体废弃物不断地经包气带渗入含水层，这种情况下或者包气带完全饱水，呈连续入渗的形式，或者是包气带上部的表土层完全饱水呈连续渗流形式，而其下部（下包气带）呈非饱水的淋雨状的渗流形式渗入含水层。可能存在连续型污水渗入的污染源主要是水质净化厂废水。根据对规划区地质及水文地质条件分析，项目区表层分布有一层连续的粉质黏土、粉土人工填土层，厚度较大（层厚6.10~13.40m），渗透性较小，透水性较差，且各存在地下水污染风险的区域，均采用合理的工程防渗措施，能够有效防护上部污染物向含水层中的迀移，项目区不存在大面积危险废液或固体废物储存区域，故项目区面状连续型污染现象不明显，主要为点源或线源间歇性或连续型污染。</w:t>
      </w:r>
    </w:p>
    <w:p>
      <w:pPr>
        <w:spacing w:line="360" w:lineRule="auto"/>
        <w:jc w:val="center"/>
        <w:rPr>
          <w:color w:val="auto"/>
          <w:sz w:val="24"/>
          <w:szCs w:val="24"/>
        </w:rPr>
      </w:pPr>
      <w:r>
        <w:rPr>
          <w:rFonts w:hint="eastAsia"/>
          <w:color w:val="auto"/>
          <w:sz w:val="16"/>
          <w:szCs w:val="16"/>
        </w:rPr>
        <w:drawing>
          <wp:inline distT="0" distB="0" distL="0" distR="0">
            <wp:extent cx="5183505" cy="1782445"/>
            <wp:effectExtent l="19050" t="0" r="0" b="0"/>
            <wp:docPr id="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
                    <pic:cNvPicPr>
                      <a:picLocks noChangeAspect="1" noChangeArrowheads="1"/>
                    </pic:cNvPicPr>
                  </pic:nvPicPr>
                  <pic:blipFill>
                    <a:blip r:embed="rId68" cstate="print"/>
                    <a:srcRect/>
                    <a:stretch>
                      <a:fillRect/>
                    </a:stretch>
                  </pic:blipFill>
                  <pic:spPr>
                    <a:xfrm>
                      <a:off x="0" y="0"/>
                      <a:ext cx="5184000" cy="1782881"/>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图5-2-8   地下水间歇入渗型和连续入渗型简图</w:t>
      </w:r>
    </w:p>
    <w:p>
      <w:pPr>
        <w:pStyle w:val="5"/>
        <w:rPr>
          <w:color w:val="auto"/>
        </w:rPr>
      </w:pPr>
      <w:r>
        <w:rPr>
          <w:rFonts w:hint="eastAsia"/>
          <w:color w:val="auto"/>
        </w:rPr>
        <w:t>5.2.3.2预测范围</w:t>
      </w:r>
    </w:p>
    <w:p>
      <w:pPr>
        <w:spacing w:line="360" w:lineRule="auto"/>
        <w:ind w:firstLine="480" w:firstLineChars="200"/>
        <w:jc w:val="left"/>
        <w:rPr>
          <w:color w:val="auto"/>
          <w:sz w:val="24"/>
          <w:szCs w:val="24"/>
        </w:rPr>
      </w:pPr>
      <w:r>
        <w:rPr>
          <w:rFonts w:hint="eastAsia"/>
          <w:color w:val="auto"/>
          <w:sz w:val="24"/>
          <w:szCs w:val="24"/>
        </w:rPr>
        <w:t>地下水环境影响预测范围与调查评价范围一致：项目地下水环境影响评价工作等级为二级，根据《环境影响评价技术导则 地下水环境》（HJ610-2016）中的有关规定，重点区域为项目场址，同时调查项目周边6km</w:t>
      </w:r>
      <w:r>
        <w:rPr>
          <w:rFonts w:hint="eastAsia"/>
          <w:color w:val="auto"/>
          <w:sz w:val="24"/>
          <w:szCs w:val="24"/>
          <w:vertAlign w:val="superscript"/>
        </w:rPr>
        <w:t>2</w:t>
      </w:r>
      <w:r>
        <w:rPr>
          <w:rFonts w:hint="eastAsia"/>
          <w:color w:val="auto"/>
          <w:sz w:val="24"/>
          <w:szCs w:val="24"/>
        </w:rPr>
        <w:t>范围的地下水利用和污染物排放情况。</w:t>
      </w:r>
    </w:p>
    <w:p>
      <w:pPr>
        <w:pStyle w:val="5"/>
        <w:rPr>
          <w:color w:val="auto"/>
        </w:rPr>
      </w:pPr>
      <w:r>
        <w:rPr>
          <w:rFonts w:hint="eastAsia"/>
          <w:color w:val="auto"/>
        </w:rPr>
        <w:t>5.2.3.3预测层位</w:t>
      </w:r>
    </w:p>
    <w:p>
      <w:pPr>
        <w:spacing w:line="360" w:lineRule="auto"/>
        <w:ind w:firstLine="480" w:firstLineChars="200"/>
        <w:jc w:val="left"/>
        <w:rPr>
          <w:color w:val="auto"/>
          <w:sz w:val="24"/>
          <w:szCs w:val="24"/>
        </w:rPr>
      </w:pPr>
      <w:r>
        <w:rPr>
          <w:rFonts w:hint="eastAsia"/>
          <w:color w:val="auto"/>
          <w:sz w:val="24"/>
          <w:szCs w:val="24"/>
        </w:rPr>
        <w:t>根据《环境影响评价技术导则 地下水环境》（HJ610-2016），预测层位应以潜水含水层或污染物直接进入的含水层为主，兼顾与其水力联系密切且具有饮用水开发利用价值的含水层。</w:t>
      </w:r>
    </w:p>
    <w:p>
      <w:pPr>
        <w:spacing w:line="360" w:lineRule="auto"/>
        <w:ind w:firstLine="480" w:firstLineChars="200"/>
        <w:jc w:val="left"/>
        <w:rPr>
          <w:color w:val="auto"/>
          <w:sz w:val="24"/>
          <w:szCs w:val="24"/>
        </w:rPr>
      </w:pPr>
      <w:r>
        <w:rPr>
          <w:rFonts w:hint="eastAsia"/>
          <w:color w:val="auto"/>
          <w:sz w:val="24"/>
          <w:szCs w:val="24"/>
        </w:rPr>
        <w:t>根据《五华河东绿色生态工业小镇水质净化厂一期工程（油新水质净化厂）岩土工程勘察报告》（核工业鹰潭工程勘察院，2019.1.21）、《五华河东绿色生态工业小镇水质净化厂一期工程提升扩容岩土工程勘察报告》（核工业鹰潭工程勘察院，2020.6.8），场地地下水类型属潜水，稍具承压性，根据其赋存方式分为第四系土层孔隙潜水、基岩裂隙水。 第四系土层孔隙潜水在拟建场地内主要赋存的地层为淤泥质土2-1、粉质粘土2-2，均为弱透水性地层，富水性差；基岩裂隙水主要赋存于砂砾岩的全风化、强风化和中风化层中，为弱透水性地层。本次揭露基岩较破碎，地下水沿裂隙流通，水流量较小，基岩裂隙水与上层地下水联通性一般，互为补给。</w:t>
      </w:r>
    </w:p>
    <w:p>
      <w:pPr>
        <w:spacing w:line="360" w:lineRule="auto"/>
        <w:ind w:firstLine="480" w:firstLineChars="200"/>
        <w:jc w:val="left"/>
        <w:rPr>
          <w:color w:val="auto"/>
          <w:sz w:val="24"/>
          <w:szCs w:val="24"/>
        </w:rPr>
      </w:pPr>
      <w:r>
        <w:rPr>
          <w:rFonts w:hint="eastAsia"/>
          <w:color w:val="auto"/>
          <w:sz w:val="24"/>
          <w:szCs w:val="24"/>
        </w:rPr>
        <w:t>根据《广东省地下水环境功能区划》（粤办函[2009]459号），项目所在区域的浅层地下水属于韩江及粤东诸河梅州五华分散式开发利用区，地下水类型为孔隙水，水质类别为《地下水质量标准》（GB/T 14848-2017）的III类水。本项目地下水评价范围内无生活供水水源地准保护区、无热水、矿泉水、温泉等特殊地下水源保护区，也不属于补给径流区，也无分散居民饮用水源等其他环境敏感区，因此项目所在区域属于地下水环境不敏感区。</w:t>
      </w:r>
    </w:p>
    <w:p>
      <w:pPr>
        <w:spacing w:line="360" w:lineRule="auto"/>
        <w:ind w:firstLine="480" w:firstLineChars="200"/>
        <w:jc w:val="left"/>
        <w:rPr>
          <w:color w:val="auto"/>
          <w:sz w:val="24"/>
          <w:szCs w:val="24"/>
        </w:rPr>
      </w:pPr>
      <w:r>
        <w:rPr>
          <w:rFonts w:hint="eastAsia"/>
          <w:color w:val="auto"/>
          <w:sz w:val="24"/>
          <w:szCs w:val="24"/>
        </w:rPr>
        <w:t>本项目可能影响到的地下水含水层为地面以下第一个含水层即潜水层，因此选择潜水层作为预测对象。本项目潜水层为第四系土层孔隙潜水、基岩裂隙水，附存于淤泥质土、粉质黏土、砂砾岩中。</w:t>
      </w:r>
    </w:p>
    <w:p>
      <w:pPr>
        <w:pStyle w:val="5"/>
        <w:rPr>
          <w:color w:val="auto"/>
        </w:rPr>
      </w:pPr>
      <w:r>
        <w:rPr>
          <w:rFonts w:hint="eastAsia"/>
          <w:color w:val="auto"/>
        </w:rPr>
        <w:t>5.2.3.4预测时段</w:t>
      </w:r>
    </w:p>
    <w:p>
      <w:pPr>
        <w:spacing w:line="360" w:lineRule="auto"/>
        <w:ind w:firstLine="480" w:firstLineChars="200"/>
        <w:jc w:val="left"/>
        <w:rPr>
          <w:color w:val="auto"/>
          <w:sz w:val="24"/>
          <w:szCs w:val="24"/>
        </w:rPr>
      </w:pPr>
      <w:r>
        <w:rPr>
          <w:rFonts w:hint="eastAsia"/>
          <w:color w:val="auto"/>
          <w:sz w:val="24"/>
          <w:szCs w:val="24"/>
        </w:rPr>
        <w:t>预测时段按发生非正常状况后100天、1000天、10000天分别进行预测。</w:t>
      </w:r>
    </w:p>
    <w:p>
      <w:pPr>
        <w:pStyle w:val="5"/>
        <w:rPr>
          <w:color w:val="auto"/>
        </w:rPr>
      </w:pPr>
      <w:r>
        <w:rPr>
          <w:rFonts w:hint="eastAsia"/>
          <w:color w:val="auto"/>
        </w:rPr>
        <w:t>5.2.3.5预测因子</w:t>
      </w:r>
    </w:p>
    <w:p>
      <w:pPr>
        <w:spacing w:line="360" w:lineRule="auto"/>
        <w:ind w:firstLine="480" w:firstLineChars="200"/>
        <w:jc w:val="left"/>
        <w:rPr>
          <w:color w:val="auto"/>
          <w:sz w:val="24"/>
          <w:szCs w:val="24"/>
        </w:rPr>
      </w:pPr>
      <w:r>
        <w:rPr>
          <w:rFonts w:hint="eastAsia"/>
          <w:color w:val="auto"/>
          <w:sz w:val="24"/>
          <w:szCs w:val="24"/>
        </w:rPr>
        <w:t>本项目进水主要污染物有COD</w:t>
      </w:r>
      <w:r>
        <w:rPr>
          <w:rFonts w:hint="eastAsia"/>
          <w:color w:val="auto"/>
          <w:sz w:val="24"/>
          <w:szCs w:val="24"/>
          <w:vertAlign w:val="subscript"/>
        </w:rPr>
        <w:t>Cr</w:t>
      </w:r>
      <w:r>
        <w:rPr>
          <w:rFonts w:hint="eastAsia"/>
          <w:color w:val="auto"/>
          <w:sz w:val="24"/>
          <w:szCs w:val="24"/>
        </w:rPr>
        <w:t>、BOD</w:t>
      </w:r>
      <w:r>
        <w:rPr>
          <w:rFonts w:hint="eastAsia"/>
          <w:color w:val="auto"/>
          <w:sz w:val="24"/>
          <w:szCs w:val="24"/>
          <w:vertAlign w:val="subscript"/>
        </w:rPr>
        <w:t>5</w:t>
      </w:r>
      <w:r>
        <w:rPr>
          <w:rFonts w:hint="eastAsia"/>
          <w:color w:val="auto"/>
          <w:sz w:val="24"/>
          <w:szCs w:val="24"/>
        </w:rPr>
        <w:t>、SS、NH</w:t>
      </w:r>
      <w:r>
        <w:rPr>
          <w:rFonts w:hint="eastAsia"/>
          <w:color w:val="auto"/>
          <w:sz w:val="24"/>
          <w:szCs w:val="24"/>
          <w:vertAlign w:val="subscript"/>
        </w:rPr>
        <w:t>3</w:t>
      </w:r>
      <w:r>
        <w:rPr>
          <w:rFonts w:hint="eastAsia"/>
          <w:color w:val="auto"/>
          <w:sz w:val="24"/>
          <w:szCs w:val="24"/>
        </w:rPr>
        <w:t>-N、TN、TP等，本次评价选择COD</w:t>
      </w:r>
      <w:r>
        <w:rPr>
          <w:rFonts w:hint="eastAsia"/>
          <w:color w:val="auto"/>
          <w:sz w:val="24"/>
          <w:szCs w:val="24"/>
          <w:vertAlign w:val="subscript"/>
        </w:rPr>
        <w:t>Cr</w:t>
      </w:r>
      <w:r>
        <w:rPr>
          <w:rFonts w:hint="eastAsia"/>
          <w:color w:val="auto"/>
          <w:sz w:val="24"/>
          <w:szCs w:val="24"/>
        </w:rPr>
        <w:t>作为预测评价因子。</w:t>
      </w:r>
    </w:p>
    <w:p>
      <w:pPr>
        <w:pStyle w:val="5"/>
        <w:rPr>
          <w:color w:val="auto"/>
        </w:rPr>
      </w:pPr>
      <w:r>
        <w:rPr>
          <w:rFonts w:hint="eastAsia"/>
          <w:color w:val="auto"/>
        </w:rPr>
        <w:t>5.2.3.6情景设置</w:t>
      </w:r>
    </w:p>
    <w:p>
      <w:pPr>
        <w:spacing w:line="360" w:lineRule="auto"/>
        <w:ind w:firstLine="482" w:firstLineChars="200"/>
        <w:jc w:val="left"/>
        <w:rPr>
          <w:b/>
          <w:color w:val="auto"/>
          <w:sz w:val="24"/>
          <w:szCs w:val="24"/>
        </w:rPr>
      </w:pPr>
      <w:r>
        <w:rPr>
          <w:rFonts w:hint="eastAsia"/>
          <w:b/>
          <w:color w:val="auto"/>
          <w:sz w:val="24"/>
          <w:szCs w:val="24"/>
        </w:rPr>
        <w:t>1、正常情况</w:t>
      </w:r>
    </w:p>
    <w:p>
      <w:pPr>
        <w:spacing w:line="360" w:lineRule="auto"/>
        <w:ind w:firstLine="480" w:firstLineChars="200"/>
        <w:jc w:val="left"/>
        <w:rPr>
          <w:color w:val="auto"/>
          <w:sz w:val="24"/>
          <w:szCs w:val="24"/>
        </w:rPr>
      </w:pPr>
      <w:r>
        <w:rPr>
          <w:rFonts w:hint="eastAsia"/>
          <w:color w:val="auto"/>
          <w:sz w:val="24"/>
          <w:szCs w:val="24"/>
        </w:rPr>
        <w:t>本项目在施工阶段严格按照相应规范要求施工，根据厂区各生产、生活功能单元可能产生污染的地区，划分为重点防渗区、一般防渗区和简单防渗区，按照分区做好相应的防渗措施，并在运营期加强管理。根据防渗方案，一般生活办公区域采用抗渗混凝土施工，厚度大于50mm，防渗层的渗透系数均小于10</w:t>
      </w:r>
      <w:r>
        <w:rPr>
          <w:rFonts w:hint="eastAsia"/>
          <w:color w:val="auto"/>
          <w:sz w:val="24"/>
          <w:szCs w:val="24"/>
          <w:vertAlign w:val="superscript"/>
        </w:rPr>
        <w:t>-7</w:t>
      </w:r>
      <w:r>
        <w:rPr>
          <w:rFonts w:hint="eastAsia"/>
          <w:color w:val="auto"/>
          <w:sz w:val="24"/>
          <w:szCs w:val="24"/>
        </w:rPr>
        <w:t>cm/s，对涉及废水集中收集处理的污水处理系统，地基均采用黏土衬层铺设夯实，并采用抗渗等级较高的混凝土施工，上部刷防水砂浆，防渗系数需达到10</w:t>
      </w:r>
      <w:r>
        <w:rPr>
          <w:rFonts w:hint="eastAsia"/>
          <w:color w:val="auto"/>
          <w:sz w:val="24"/>
          <w:szCs w:val="24"/>
          <w:vertAlign w:val="superscript"/>
        </w:rPr>
        <w:t>-10</w:t>
      </w:r>
      <w:r>
        <w:rPr>
          <w:rFonts w:hint="eastAsia"/>
          <w:color w:val="auto"/>
          <w:sz w:val="24"/>
          <w:szCs w:val="24"/>
        </w:rPr>
        <w:t>cm/s以下。</w:t>
      </w:r>
    </w:p>
    <w:p>
      <w:pPr>
        <w:spacing w:line="360" w:lineRule="auto"/>
        <w:ind w:firstLine="480" w:firstLineChars="200"/>
        <w:jc w:val="left"/>
        <w:rPr>
          <w:color w:val="auto"/>
          <w:sz w:val="24"/>
          <w:szCs w:val="24"/>
        </w:rPr>
      </w:pPr>
      <w:r>
        <w:rPr>
          <w:rFonts w:hint="eastAsia"/>
          <w:color w:val="auto"/>
          <w:sz w:val="24"/>
          <w:szCs w:val="24"/>
        </w:rPr>
        <w:t>严格按上述措施防渗处理后，污染物从源头得到有效控制，没有污染地下水的通道，污染物渗入污染地下水的情况不会发生。正常状况下，《环境影响评价技术导则 地下水环境》（HJ610-2016）明确，依据GB16889、GB18597、GB18598、GB18599、GB/T50934进行地下水污染防渗的建设项目，可不进行正常状况情景下的预测。本次工程将严格按照《石油化工工程防渗技术规范》（GB/T 50934-2013）进行分区防渗，因此不进行正常状况情景下的地下水污染预测。</w:t>
      </w:r>
    </w:p>
    <w:p>
      <w:pPr>
        <w:spacing w:line="360" w:lineRule="auto"/>
        <w:ind w:firstLine="482" w:firstLineChars="200"/>
        <w:jc w:val="left"/>
        <w:rPr>
          <w:b/>
          <w:color w:val="auto"/>
          <w:sz w:val="24"/>
          <w:szCs w:val="24"/>
        </w:rPr>
      </w:pPr>
      <w:r>
        <w:rPr>
          <w:rFonts w:hint="eastAsia"/>
          <w:b/>
          <w:color w:val="auto"/>
          <w:sz w:val="24"/>
          <w:szCs w:val="24"/>
        </w:rPr>
        <w:t>2、非正常情况</w:t>
      </w:r>
    </w:p>
    <w:p>
      <w:pPr>
        <w:spacing w:line="360" w:lineRule="auto"/>
        <w:ind w:firstLine="480" w:firstLineChars="200"/>
        <w:jc w:val="left"/>
        <w:rPr>
          <w:color w:val="auto"/>
          <w:sz w:val="24"/>
          <w:szCs w:val="24"/>
        </w:rPr>
      </w:pPr>
      <w:r>
        <w:rPr>
          <w:rFonts w:hint="eastAsia"/>
          <w:color w:val="auto"/>
          <w:sz w:val="24"/>
          <w:szCs w:val="24"/>
        </w:rPr>
        <w:t>（1）情景设定</w:t>
      </w:r>
    </w:p>
    <w:p>
      <w:pPr>
        <w:spacing w:line="360" w:lineRule="auto"/>
        <w:ind w:firstLine="480" w:firstLineChars="200"/>
        <w:jc w:val="left"/>
        <w:rPr>
          <w:color w:val="auto"/>
          <w:sz w:val="24"/>
          <w:szCs w:val="24"/>
        </w:rPr>
      </w:pPr>
      <w:r>
        <w:rPr>
          <w:rFonts w:hint="eastAsia"/>
          <w:color w:val="auto"/>
          <w:sz w:val="24"/>
          <w:szCs w:val="24"/>
        </w:rPr>
        <w:t>根据拟建场地水文地质勘察成果，项目区主要含水层为第四系土层孔隙潜水、基岩裂隙水，富水性差，本次非正常工况预测，以第四系土层孔隙潜水、基岩裂隙水含水层作为预测含水层。根据项目污水管网规划、污水管网连接口分布以及周边敏感点分布情况为依据，本评价选取了1个点位进行非正常工况预测分析，假定地下水防渗层发生破裂后长时间未进行处理，污染物连续不断渗入地下水含水层系统中。</w:t>
      </w:r>
    </w:p>
    <w:p>
      <w:pPr>
        <w:spacing w:line="360" w:lineRule="auto"/>
        <w:ind w:firstLine="480" w:firstLineChars="200"/>
        <w:jc w:val="left"/>
        <w:rPr>
          <w:color w:val="auto"/>
          <w:sz w:val="24"/>
          <w:szCs w:val="24"/>
        </w:rPr>
      </w:pPr>
      <w:r>
        <w:rPr>
          <w:rFonts w:hint="eastAsia"/>
          <w:color w:val="auto"/>
          <w:sz w:val="24"/>
          <w:szCs w:val="24"/>
        </w:rPr>
        <w:t>项目区域地下水防渗层出现破裂，污水连续不断渗入地下水含水层系统。假定污染物在管道或污水处理系统泄漏后，在较小的尺度内，含水层厚度、含水层介质等基本不发生变化。将本次计算概化为半无限含水层中的一维弥散问题：在半无限含水层的始端连续稳定的渗漏浓度为C</w:t>
      </w:r>
      <w:r>
        <w:rPr>
          <w:rFonts w:hint="eastAsia"/>
          <w:color w:val="auto"/>
          <w:sz w:val="24"/>
          <w:szCs w:val="24"/>
          <w:vertAlign w:val="subscript"/>
        </w:rPr>
        <w:t>0</w:t>
      </w:r>
      <w:r>
        <w:rPr>
          <w:rFonts w:hint="eastAsia"/>
          <w:color w:val="auto"/>
          <w:sz w:val="24"/>
          <w:szCs w:val="24"/>
        </w:rPr>
        <w:t>的污染物，假定含水层污染物初始浓度处为0，渗流是稳定均匀流，含水层中无源汇项，上述问题的数学模型可表示为：</w:t>
      </w:r>
    </w:p>
    <w:p>
      <w:pPr>
        <w:spacing w:line="360" w:lineRule="auto"/>
        <w:jc w:val="center"/>
        <w:rPr>
          <w:color w:val="auto"/>
          <w:sz w:val="24"/>
          <w:szCs w:val="24"/>
        </w:rPr>
      </w:pPr>
      <w:r>
        <w:rPr>
          <w:rFonts w:hint="eastAsia"/>
          <w:color w:val="auto"/>
        </w:rPr>
        <w:drawing>
          <wp:inline distT="0" distB="0" distL="0" distR="0">
            <wp:extent cx="2590165" cy="503555"/>
            <wp:effectExtent l="19050" t="0" r="466" b="0"/>
            <wp:docPr id="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
                    <pic:cNvPicPr>
                      <a:picLocks noChangeAspect="1" noChangeArrowheads="1"/>
                    </pic:cNvPicPr>
                  </pic:nvPicPr>
                  <pic:blipFill>
                    <a:blip r:embed="rId69" cstate="print"/>
                    <a:srcRect/>
                    <a:stretch>
                      <a:fillRect/>
                    </a:stretch>
                  </pic:blipFill>
                  <pic:spPr>
                    <a:xfrm>
                      <a:off x="0" y="0"/>
                      <a:ext cx="2590334" cy="504000"/>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式中：x—距注入点的距离，m;</w:t>
      </w:r>
    </w:p>
    <w:p>
      <w:pPr>
        <w:spacing w:line="360" w:lineRule="auto"/>
        <w:ind w:firstLine="480" w:firstLineChars="200"/>
        <w:jc w:val="left"/>
        <w:rPr>
          <w:color w:val="auto"/>
          <w:sz w:val="24"/>
          <w:szCs w:val="24"/>
        </w:rPr>
      </w:pPr>
      <w:r>
        <w:rPr>
          <w:rFonts w:hint="eastAsia"/>
          <w:color w:val="auto"/>
          <w:sz w:val="24"/>
          <w:szCs w:val="24"/>
        </w:rPr>
        <w:t>t—时间，d;</w:t>
      </w:r>
    </w:p>
    <w:p>
      <w:pPr>
        <w:spacing w:line="360" w:lineRule="auto"/>
        <w:ind w:firstLine="480" w:firstLineChars="200"/>
        <w:jc w:val="left"/>
        <w:rPr>
          <w:color w:val="auto"/>
          <w:sz w:val="24"/>
          <w:szCs w:val="24"/>
        </w:rPr>
      </w:pPr>
      <w:r>
        <w:rPr>
          <w:rFonts w:hint="eastAsia"/>
          <w:color w:val="auto"/>
          <w:sz w:val="24"/>
          <w:szCs w:val="24"/>
        </w:rPr>
        <w:t>C（x,t）—t时刻点x处污染物浓度,g/L；</w:t>
      </w:r>
    </w:p>
    <w:p>
      <w:pPr>
        <w:spacing w:line="360" w:lineRule="auto"/>
        <w:ind w:firstLine="480" w:firstLineChars="200"/>
        <w:jc w:val="left"/>
        <w:rPr>
          <w:color w:val="auto"/>
          <w:sz w:val="24"/>
          <w:szCs w:val="24"/>
        </w:rPr>
      </w:pPr>
      <w:r>
        <w:rPr>
          <w:rFonts w:hint="eastAsia"/>
          <w:color w:val="auto"/>
          <w:sz w:val="24"/>
          <w:szCs w:val="24"/>
        </w:rPr>
        <w:t>C</w:t>
      </w:r>
      <w:r>
        <w:rPr>
          <w:rFonts w:hint="eastAsia"/>
          <w:color w:val="auto"/>
          <w:sz w:val="24"/>
          <w:szCs w:val="24"/>
          <w:vertAlign w:val="subscript"/>
        </w:rPr>
        <w:t>0</w:t>
      </w:r>
      <w:r>
        <w:rPr>
          <w:rFonts w:hint="eastAsia"/>
          <w:color w:val="auto"/>
          <w:sz w:val="24"/>
          <w:szCs w:val="24"/>
        </w:rPr>
        <w:t>—注入的示踪剂浓度，mg/L；</w:t>
      </w:r>
    </w:p>
    <w:p>
      <w:pPr>
        <w:spacing w:line="360" w:lineRule="auto"/>
        <w:ind w:firstLine="480" w:firstLineChars="200"/>
        <w:jc w:val="left"/>
        <w:rPr>
          <w:color w:val="auto"/>
          <w:sz w:val="24"/>
          <w:szCs w:val="24"/>
        </w:rPr>
      </w:pPr>
      <w:r>
        <w:rPr>
          <w:rFonts w:hint="eastAsia"/>
          <w:color w:val="auto"/>
          <w:sz w:val="24"/>
          <w:szCs w:val="24"/>
        </w:rPr>
        <w:t>u—水流速度，m/d；</w:t>
      </w:r>
    </w:p>
    <w:p>
      <w:pPr>
        <w:spacing w:line="360" w:lineRule="auto"/>
        <w:ind w:firstLine="480" w:firstLineChars="200"/>
        <w:jc w:val="left"/>
        <w:rPr>
          <w:color w:val="auto"/>
          <w:sz w:val="24"/>
          <w:szCs w:val="24"/>
        </w:rPr>
      </w:pPr>
      <w:r>
        <w:rPr>
          <w:rFonts w:hint="eastAsia"/>
          <w:color w:val="auto"/>
          <w:sz w:val="24"/>
          <w:szCs w:val="24"/>
        </w:rPr>
        <w:t>D</w:t>
      </w:r>
      <w:r>
        <w:rPr>
          <w:rFonts w:hint="eastAsia"/>
          <w:color w:val="auto"/>
          <w:sz w:val="24"/>
          <w:szCs w:val="24"/>
          <w:vertAlign w:val="subscript"/>
        </w:rPr>
        <w:t>L</w:t>
      </w:r>
      <w:r>
        <w:rPr>
          <w:rFonts w:hint="eastAsia"/>
          <w:color w:val="auto"/>
          <w:sz w:val="24"/>
          <w:szCs w:val="24"/>
        </w:rPr>
        <w:t>—纵向弥散系数，m</w:t>
      </w:r>
      <w:r>
        <w:rPr>
          <w:rFonts w:hint="eastAsia"/>
          <w:color w:val="auto"/>
          <w:sz w:val="24"/>
          <w:szCs w:val="24"/>
          <w:vertAlign w:val="superscript"/>
        </w:rPr>
        <w:t>2</w:t>
      </w:r>
      <w:r>
        <w:rPr>
          <w:rFonts w:hint="eastAsia"/>
          <w:color w:val="auto"/>
          <w:sz w:val="24"/>
          <w:szCs w:val="24"/>
        </w:rPr>
        <w:t>/d;</w:t>
      </w:r>
    </w:p>
    <w:p>
      <w:pPr>
        <w:spacing w:line="360" w:lineRule="auto"/>
        <w:ind w:firstLine="480" w:firstLineChars="200"/>
        <w:jc w:val="left"/>
        <w:rPr>
          <w:color w:val="auto"/>
          <w:sz w:val="24"/>
          <w:szCs w:val="24"/>
        </w:rPr>
      </w:pPr>
      <w:r>
        <w:rPr>
          <w:rFonts w:hint="eastAsia"/>
          <w:color w:val="auto"/>
          <w:sz w:val="24"/>
          <w:szCs w:val="24"/>
        </w:rPr>
        <w:t>erfc（）—余误差函数。</w:t>
      </w:r>
    </w:p>
    <w:p>
      <w:pPr>
        <w:spacing w:line="360" w:lineRule="auto"/>
        <w:ind w:firstLine="480" w:firstLineChars="200"/>
        <w:jc w:val="left"/>
        <w:rPr>
          <w:color w:val="auto"/>
          <w:sz w:val="24"/>
          <w:szCs w:val="24"/>
        </w:rPr>
      </w:pPr>
      <w:r>
        <w:rPr>
          <w:rFonts w:hint="eastAsia"/>
          <w:color w:val="auto"/>
          <w:sz w:val="24"/>
          <w:szCs w:val="24"/>
        </w:rPr>
        <w:t>（2）参数确定：</w:t>
      </w:r>
    </w:p>
    <w:p>
      <w:pPr>
        <w:spacing w:line="360" w:lineRule="auto"/>
        <w:ind w:firstLine="480" w:firstLineChars="200"/>
        <w:jc w:val="left"/>
        <w:rPr>
          <w:color w:val="auto"/>
          <w:sz w:val="24"/>
          <w:szCs w:val="24"/>
        </w:rPr>
      </w:pPr>
      <w:r>
        <w:rPr>
          <w:rFonts w:hint="eastAsia"/>
          <w:color w:val="auto"/>
          <w:sz w:val="24"/>
          <w:szCs w:val="24"/>
        </w:rPr>
        <w:t>①污染物初始浓度C</w:t>
      </w:r>
      <w:r>
        <w:rPr>
          <w:rFonts w:hint="eastAsia"/>
          <w:color w:val="auto"/>
          <w:sz w:val="24"/>
          <w:szCs w:val="24"/>
          <w:vertAlign w:val="subscript"/>
        </w:rPr>
        <w:t>0</w:t>
      </w:r>
    </w:p>
    <w:p>
      <w:pPr>
        <w:spacing w:line="360" w:lineRule="auto"/>
        <w:ind w:firstLine="480" w:firstLineChars="200"/>
        <w:jc w:val="left"/>
        <w:rPr>
          <w:color w:val="auto"/>
          <w:sz w:val="24"/>
          <w:szCs w:val="24"/>
        </w:rPr>
      </w:pPr>
      <w:r>
        <w:rPr>
          <w:rFonts w:hint="eastAsia"/>
          <w:color w:val="auto"/>
          <w:sz w:val="24"/>
          <w:szCs w:val="24"/>
        </w:rPr>
        <w:t>由前述章节原水进水水质情况，确定本次污染物COD</w:t>
      </w:r>
      <w:r>
        <w:rPr>
          <w:rFonts w:hint="eastAsia"/>
          <w:color w:val="auto"/>
          <w:sz w:val="24"/>
          <w:szCs w:val="24"/>
          <w:vertAlign w:val="subscript"/>
        </w:rPr>
        <w:t>Cr</w:t>
      </w:r>
      <w:r>
        <w:rPr>
          <w:rFonts w:hint="eastAsia"/>
          <w:color w:val="auto"/>
          <w:sz w:val="24"/>
          <w:szCs w:val="24"/>
        </w:rPr>
        <w:t>初始浓度为500mg/L。</w:t>
      </w:r>
    </w:p>
    <w:p>
      <w:pPr>
        <w:spacing w:line="360" w:lineRule="auto"/>
        <w:ind w:firstLine="480" w:firstLineChars="200"/>
        <w:jc w:val="left"/>
        <w:rPr>
          <w:color w:val="auto"/>
          <w:sz w:val="24"/>
          <w:szCs w:val="24"/>
        </w:rPr>
      </w:pPr>
      <w:r>
        <w:rPr>
          <w:rFonts w:hint="eastAsia"/>
          <w:color w:val="auto"/>
          <w:sz w:val="24"/>
          <w:szCs w:val="24"/>
        </w:rPr>
        <w:t>②水流速度u</w:t>
      </w:r>
    </w:p>
    <w:p>
      <w:pPr>
        <w:spacing w:line="360" w:lineRule="auto"/>
        <w:ind w:firstLine="480" w:firstLineChars="200"/>
        <w:jc w:val="left"/>
        <w:rPr>
          <w:color w:val="auto"/>
          <w:sz w:val="24"/>
          <w:szCs w:val="24"/>
        </w:rPr>
      </w:pPr>
      <w:r>
        <w:rPr>
          <w:rFonts w:hint="eastAsia"/>
          <w:color w:val="auto"/>
          <w:sz w:val="24"/>
          <w:szCs w:val="24"/>
        </w:rPr>
        <w:t>水流速度可由下式确定：</w:t>
      </w:r>
    </w:p>
    <w:p>
      <w:pPr>
        <w:spacing w:line="360" w:lineRule="auto"/>
        <w:jc w:val="center"/>
        <w:rPr>
          <w:color w:val="auto"/>
          <w:sz w:val="24"/>
          <w:szCs w:val="24"/>
        </w:rPr>
      </w:pPr>
      <w:r>
        <w:rPr>
          <w:rFonts w:hint="eastAsia"/>
          <w:color w:val="auto"/>
          <w:sz w:val="24"/>
          <w:szCs w:val="24"/>
        </w:rPr>
        <w:t>u=v/n，v=Ki</w:t>
      </w:r>
    </w:p>
    <w:p>
      <w:pPr>
        <w:spacing w:line="360" w:lineRule="auto"/>
        <w:ind w:firstLine="480" w:firstLineChars="200"/>
        <w:jc w:val="left"/>
        <w:rPr>
          <w:color w:val="auto"/>
          <w:sz w:val="24"/>
          <w:szCs w:val="24"/>
        </w:rPr>
      </w:pPr>
      <w:r>
        <w:rPr>
          <w:rFonts w:hint="eastAsia"/>
          <w:color w:val="auto"/>
          <w:sz w:val="24"/>
          <w:szCs w:val="24"/>
        </w:rPr>
        <w:t>式中：v—地下水渗流速度，m/d；</w:t>
      </w:r>
    </w:p>
    <w:p>
      <w:pPr>
        <w:spacing w:line="360" w:lineRule="auto"/>
        <w:ind w:firstLine="480" w:firstLineChars="200"/>
        <w:jc w:val="left"/>
        <w:rPr>
          <w:color w:val="auto"/>
          <w:sz w:val="24"/>
          <w:szCs w:val="24"/>
        </w:rPr>
      </w:pPr>
      <w:r>
        <w:rPr>
          <w:rFonts w:hint="eastAsia"/>
          <w:color w:val="auto"/>
          <w:sz w:val="24"/>
          <w:szCs w:val="24"/>
        </w:rPr>
        <w:t>n—孔隙度；</w:t>
      </w:r>
    </w:p>
    <w:p>
      <w:pPr>
        <w:spacing w:line="360" w:lineRule="auto"/>
        <w:ind w:firstLine="480" w:firstLineChars="200"/>
        <w:jc w:val="left"/>
        <w:rPr>
          <w:color w:val="auto"/>
          <w:sz w:val="24"/>
          <w:szCs w:val="24"/>
        </w:rPr>
      </w:pPr>
      <w:r>
        <w:rPr>
          <w:rFonts w:hint="eastAsia"/>
          <w:color w:val="auto"/>
          <w:sz w:val="24"/>
          <w:szCs w:val="24"/>
        </w:rPr>
        <w:t>i—水力坡度；</w:t>
      </w:r>
    </w:p>
    <w:p>
      <w:pPr>
        <w:spacing w:line="360" w:lineRule="auto"/>
        <w:ind w:firstLine="480" w:firstLineChars="200"/>
        <w:jc w:val="left"/>
        <w:rPr>
          <w:color w:val="auto"/>
          <w:sz w:val="24"/>
          <w:szCs w:val="24"/>
        </w:rPr>
      </w:pPr>
      <w:r>
        <w:rPr>
          <w:rFonts w:hint="eastAsia"/>
          <w:color w:val="auto"/>
          <w:sz w:val="24"/>
          <w:szCs w:val="24"/>
        </w:rPr>
        <w:t>K—渗透系数，m/d。</w:t>
      </w:r>
    </w:p>
    <w:p>
      <w:pPr>
        <w:spacing w:line="360" w:lineRule="auto"/>
        <w:ind w:firstLine="480" w:firstLineChars="200"/>
        <w:jc w:val="left"/>
        <w:rPr>
          <w:color w:val="auto"/>
          <w:sz w:val="24"/>
          <w:szCs w:val="24"/>
        </w:rPr>
      </w:pPr>
      <w:r>
        <w:rPr>
          <w:rFonts w:hint="eastAsia"/>
          <w:color w:val="auto"/>
          <w:sz w:val="24"/>
          <w:szCs w:val="24"/>
        </w:rPr>
        <w:t>项目所在区域地下水含水层土质主要为淤泥质土、粉质黏土、砂砾岩，根据《五华河东绿色生态工业小镇水质净化厂一期工程（油新水质净化厂）岩土工程勘察报告》（核工业鹰潭工程勘察院，2019.1.21）、《五华河东绿色生态工业小镇水质净化厂一期工程提升扩容岩土工程勘察报告》（核工业鹰潭工程勘察院，2020.6.8），淤泥质土、粉质粘土、全风化砂砾岩、强风化砂砾岩、中风化砂砾岩渗透系数分别为0.00062、0.0068、1.0、0.9、0.5，因地下水含水层土质分布不均且渗透系数相差较大，极值不能代表所有地层属性，故本评价取其平均值0.48；根据岩土工程勘察报告中《土层物理力学性质统计表》，选址地块淤泥质土、粉质粘土、全风化砂砾岩孔隙度平均值分别为0.544、0.459、0.42，本评价取其平均值0.474；根据岩土工程勘察报告中《勘探点一览表》，计算得出勘探区域水力坡度约为0.012。根据上述参数，计算得出水流速度u约为0.012m/d。</w:t>
      </w:r>
    </w:p>
    <w:p>
      <w:pPr>
        <w:spacing w:line="360" w:lineRule="auto"/>
        <w:ind w:firstLine="480" w:firstLineChars="200"/>
        <w:jc w:val="left"/>
        <w:rPr>
          <w:color w:val="auto"/>
          <w:sz w:val="24"/>
          <w:szCs w:val="24"/>
        </w:rPr>
      </w:pPr>
      <w:r>
        <w:rPr>
          <w:rFonts w:hint="eastAsia"/>
          <w:color w:val="auto"/>
          <w:sz w:val="24"/>
          <w:szCs w:val="24"/>
        </w:rPr>
        <w:t>③纵向弥散系数D</w:t>
      </w:r>
      <w:r>
        <w:rPr>
          <w:rFonts w:hint="eastAsia"/>
          <w:color w:val="auto"/>
          <w:sz w:val="24"/>
          <w:szCs w:val="24"/>
          <w:vertAlign w:val="subscript"/>
        </w:rPr>
        <w:t>L</w:t>
      </w:r>
    </w:p>
    <w:p>
      <w:pPr>
        <w:spacing w:line="360" w:lineRule="auto"/>
        <w:ind w:firstLine="480" w:firstLineChars="200"/>
        <w:jc w:val="left"/>
        <w:rPr>
          <w:color w:val="auto"/>
          <w:sz w:val="24"/>
          <w:szCs w:val="24"/>
        </w:rPr>
      </w:pPr>
      <w:r>
        <w:rPr>
          <w:rFonts w:hint="eastAsia"/>
          <w:color w:val="auto"/>
          <w:sz w:val="24"/>
          <w:szCs w:val="24"/>
        </w:rPr>
        <w:t>根据《地下水污染——数学模型和数值方法》（孙讷正，地质出版社），纵向弥散系数D</w:t>
      </w:r>
      <w:r>
        <w:rPr>
          <w:rFonts w:hint="eastAsia"/>
          <w:color w:val="auto"/>
          <w:sz w:val="24"/>
          <w:szCs w:val="24"/>
          <w:vertAlign w:val="subscript"/>
        </w:rPr>
        <w:t>L</w:t>
      </w:r>
      <w:r>
        <w:rPr>
          <w:rFonts w:hint="eastAsia"/>
          <w:color w:val="auto"/>
          <w:sz w:val="24"/>
          <w:szCs w:val="24"/>
        </w:rPr>
        <w:t>可以表示为下列形式：</w:t>
      </w:r>
    </w:p>
    <w:p>
      <w:pPr>
        <w:spacing w:line="360" w:lineRule="auto"/>
        <w:jc w:val="center"/>
        <w:rPr>
          <w:color w:val="auto"/>
          <w:sz w:val="24"/>
          <w:szCs w:val="24"/>
        </w:rPr>
      </w:pPr>
      <w:r>
        <w:rPr>
          <w:rFonts w:hint="eastAsia"/>
          <w:color w:val="auto"/>
          <w:sz w:val="24"/>
          <w:szCs w:val="24"/>
        </w:rPr>
        <w:drawing>
          <wp:inline distT="0" distB="0" distL="0" distR="0">
            <wp:extent cx="827405" cy="240030"/>
            <wp:effectExtent l="19050" t="0" r="0" b="0"/>
            <wp:docPr id="3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5"/>
                    <pic:cNvPicPr>
                      <a:picLocks noChangeAspect="1" noChangeArrowheads="1"/>
                    </pic:cNvPicPr>
                  </pic:nvPicPr>
                  <pic:blipFill>
                    <a:blip r:embed="rId70" cstate="print"/>
                    <a:srcRect/>
                    <a:stretch>
                      <a:fillRect/>
                    </a:stretch>
                  </pic:blipFill>
                  <pic:spPr>
                    <a:xfrm>
                      <a:off x="0" y="0"/>
                      <a:ext cx="828000" cy="240621"/>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其中，α</w:t>
      </w:r>
      <w:r>
        <w:rPr>
          <w:rFonts w:hint="eastAsia"/>
          <w:color w:val="auto"/>
          <w:sz w:val="24"/>
          <w:szCs w:val="24"/>
          <w:vertAlign w:val="subscript"/>
        </w:rPr>
        <w:t>L</w:t>
      </w:r>
      <w:r>
        <w:rPr>
          <w:rFonts w:hint="eastAsia"/>
          <w:color w:val="auto"/>
          <w:sz w:val="24"/>
          <w:szCs w:val="24"/>
        </w:rPr>
        <w:t>称为纵向弥散度；</w:t>
      </w:r>
      <w:r>
        <w:rPr>
          <w:rFonts w:hint="eastAsia"/>
          <w:color w:val="auto"/>
          <w:sz w:val="24"/>
          <w:szCs w:val="24"/>
        </w:rPr>
        <w:sym w:font="Symbol" w:char="F060"/>
      </w:r>
      <w:r>
        <w:rPr>
          <w:rFonts w:hint="eastAsia"/>
          <w:color w:val="auto"/>
          <w:sz w:val="24"/>
          <w:szCs w:val="24"/>
        </w:rPr>
        <w:t>V是平均流速；m是待定的指数。根据《地下水污染——数学模型和数值方法》（孙讷正，地质出版社），室内试验α</w:t>
      </w:r>
      <w:r>
        <w:rPr>
          <w:rFonts w:hint="eastAsia"/>
          <w:color w:val="auto"/>
          <w:sz w:val="24"/>
          <w:szCs w:val="24"/>
          <w:vertAlign w:val="subscript"/>
        </w:rPr>
        <w:t>L</w:t>
      </w:r>
      <w:r>
        <w:rPr>
          <w:rFonts w:hint="eastAsia"/>
          <w:color w:val="auto"/>
          <w:sz w:val="24"/>
          <w:szCs w:val="24"/>
        </w:rPr>
        <w:t>的变化范围为3.96×10</w:t>
      </w:r>
      <w:r>
        <w:rPr>
          <w:rFonts w:hint="eastAsia"/>
          <w:color w:val="auto"/>
          <w:sz w:val="24"/>
          <w:szCs w:val="24"/>
          <w:vertAlign w:val="superscript"/>
        </w:rPr>
        <w:t>-3</w:t>
      </w:r>
      <w:r>
        <w:rPr>
          <w:rFonts w:hint="eastAsia"/>
          <w:color w:val="auto"/>
          <w:sz w:val="24"/>
          <w:szCs w:val="24"/>
        </w:rPr>
        <w:t>~7.07×10</w:t>
      </w:r>
      <w:r>
        <w:rPr>
          <w:rFonts w:hint="eastAsia"/>
          <w:color w:val="auto"/>
          <w:sz w:val="24"/>
          <w:szCs w:val="24"/>
          <w:vertAlign w:val="superscript"/>
        </w:rPr>
        <w:t>-2</w:t>
      </w:r>
      <w:r>
        <w:rPr>
          <w:rFonts w:hint="eastAsia"/>
          <w:color w:val="auto"/>
          <w:sz w:val="24"/>
          <w:szCs w:val="24"/>
        </w:rPr>
        <w:t>，m值的变化范围是1.07~1.1，野外试验确定的α</w:t>
      </w:r>
      <w:r>
        <w:rPr>
          <w:rFonts w:hint="eastAsia"/>
          <w:color w:val="auto"/>
          <w:sz w:val="24"/>
          <w:szCs w:val="24"/>
          <w:vertAlign w:val="subscript"/>
        </w:rPr>
        <w:t>L</w:t>
      </w:r>
      <w:r>
        <w:rPr>
          <w:rFonts w:hint="eastAsia"/>
          <w:color w:val="auto"/>
          <w:sz w:val="24"/>
          <w:szCs w:val="24"/>
        </w:rPr>
        <w:t>会比室内试验的结果大几个数量级，作者认为这是由于野外的多孔介质具有较大的均匀度系数所造成的，此外，另一种解释是在野外的试验尺度比室内试验大得多，因而多孔介质的宏观不均质性起了作用，造成了物质输运过程中附加的弥散。</w:t>
      </w:r>
    </w:p>
    <w:p>
      <w:pPr>
        <w:spacing w:line="360" w:lineRule="auto"/>
        <w:ind w:firstLine="480" w:firstLineChars="200"/>
        <w:jc w:val="left"/>
        <w:rPr>
          <w:color w:val="auto"/>
          <w:sz w:val="24"/>
          <w:szCs w:val="24"/>
        </w:rPr>
      </w:pPr>
      <w:r>
        <w:rPr>
          <w:rFonts w:hint="eastAsia"/>
          <w:color w:val="auto"/>
          <w:sz w:val="24"/>
          <w:szCs w:val="24"/>
        </w:rPr>
        <w:t>室内试验与野外试验α</w:t>
      </w:r>
      <w:r>
        <w:rPr>
          <w:rFonts w:hint="eastAsia"/>
          <w:color w:val="auto"/>
          <w:sz w:val="24"/>
          <w:szCs w:val="24"/>
          <w:vertAlign w:val="subscript"/>
        </w:rPr>
        <w:t>L</w:t>
      </w:r>
      <w:r>
        <w:rPr>
          <w:rFonts w:hint="eastAsia"/>
          <w:color w:val="auto"/>
          <w:sz w:val="24"/>
          <w:szCs w:val="24"/>
        </w:rPr>
        <w:t>取值相差较大，考虑到室内试验为理想状态，本评价使用野外试验数据进行系数估算。根据《地下水污染——数学模型和数值方法》（孙讷正，地质出版社），Klotz等人利用单井抽水、多井观测做了野外试验，所得到的m值均为1.05，α</w:t>
      </w:r>
      <w:r>
        <w:rPr>
          <w:rFonts w:hint="eastAsia"/>
          <w:color w:val="auto"/>
          <w:sz w:val="24"/>
          <w:szCs w:val="24"/>
          <w:vertAlign w:val="subscript"/>
        </w:rPr>
        <w:t>L</w:t>
      </w:r>
      <w:r>
        <w:rPr>
          <w:rFonts w:hint="eastAsia"/>
          <w:color w:val="auto"/>
          <w:sz w:val="24"/>
          <w:szCs w:val="24"/>
        </w:rPr>
        <w:t>的值达到5m。根据以上公式及参数，计算得出本项目纵向弥散系数D</w:t>
      </w:r>
      <w:r>
        <w:rPr>
          <w:rFonts w:hint="eastAsia"/>
          <w:color w:val="auto"/>
          <w:sz w:val="24"/>
          <w:szCs w:val="24"/>
          <w:vertAlign w:val="subscript"/>
        </w:rPr>
        <w:t>L</w:t>
      </w:r>
      <w:r>
        <w:rPr>
          <w:rFonts w:hint="eastAsia"/>
          <w:color w:val="auto"/>
          <w:sz w:val="24"/>
          <w:szCs w:val="24"/>
        </w:rPr>
        <w:t>为0.048。</w:t>
      </w:r>
    </w:p>
    <w:p>
      <w:pPr>
        <w:spacing w:line="360" w:lineRule="auto"/>
        <w:ind w:firstLine="480" w:firstLineChars="200"/>
        <w:jc w:val="left"/>
        <w:rPr>
          <w:color w:val="auto"/>
          <w:sz w:val="24"/>
          <w:szCs w:val="24"/>
        </w:rPr>
      </w:pPr>
      <w:r>
        <w:rPr>
          <w:rFonts w:hint="eastAsia"/>
          <w:color w:val="auto"/>
          <w:sz w:val="24"/>
          <w:szCs w:val="24"/>
        </w:rPr>
        <w:t>（3）计算结果</w:t>
      </w:r>
    </w:p>
    <w:p>
      <w:pPr>
        <w:spacing w:line="360" w:lineRule="auto"/>
        <w:ind w:firstLine="480" w:firstLineChars="200"/>
        <w:jc w:val="left"/>
        <w:rPr>
          <w:color w:val="auto"/>
          <w:sz w:val="24"/>
          <w:szCs w:val="24"/>
        </w:rPr>
      </w:pPr>
      <w:r>
        <w:rPr>
          <w:rFonts w:hint="eastAsia"/>
          <w:color w:val="auto"/>
          <w:sz w:val="24"/>
          <w:szCs w:val="24"/>
        </w:rPr>
        <w:t>根据上述参数，经模型分别预测计算得到长时间泄漏情境下，原水进入含水层后100d、1000d、10000d各污染物的浓度分布情况，见表5-2-25所示。</w:t>
      </w:r>
    </w:p>
    <w:p>
      <w:pPr>
        <w:spacing w:line="360" w:lineRule="auto"/>
        <w:jc w:val="center"/>
        <w:rPr>
          <w:b/>
          <w:color w:val="auto"/>
          <w:sz w:val="24"/>
          <w:szCs w:val="24"/>
        </w:rPr>
      </w:pPr>
      <w:r>
        <w:rPr>
          <w:rFonts w:hint="eastAsia"/>
          <w:b/>
          <w:color w:val="auto"/>
          <w:sz w:val="24"/>
          <w:szCs w:val="24"/>
        </w:rPr>
        <w:t>表5-2-25   污染物运移浓度计算表（COD）</w:t>
      </w:r>
    </w:p>
    <w:tbl>
      <w:tblPr>
        <w:tblStyle w:val="29"/>
        <w:tblW w:w="7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207"/>
        <w:gridCol w:w="226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vAlign w:val="center"/>
          </w:tcPr>
          <w:p>
            <w:pPr>
              <w:jc w:val="center"/>
              <w:rPr>
                <w:b/>
                <w:color w:val="auto"/>
                <w:sz w:val="21"/>
                <w:szCs w:val="21"/>
              </w:rPr>
            </w:pPr>
            <w:r>
              <w:rPr>
                <w:rFonts w:hint="eastAsia"/>
                <w:b/>
                <w:color w:val="auto"/>
                <w:sz w:val="21"/>
                <w:szCs w:val="21"/>
              </w:rPr>
              <w:t>距离（m）</w:t>
            </w:r>
          </w:p>
        </w:tc>
        <w:tc>
          <w:tcPr>
            <w:tcW w:w="6590" w:type="dxa"/>
            <w:gridSpan w:val="3"/>
            <w:vAlign w:val="center"/>
          </w:tcPr>
          <w:p>
            <w:pPr>
              <w:jc w:val="center"/>
              <w:rPr>
                <w:b/>
                <w:color w:val="auto"/>
                <w:sz w:val="21"/>
                <w:szCs w:val="21"/>
              </w:rPr>
            </w:pPr>
            <w:r>
              <w:rPr>
                <w:rFonts w:hint="eastAsia"/>
                <w:b/>
                <w:color w:val="auto"/>
                <w:sz w:val="21"/>
                <w:szCs w:val="21"/>
              </w:rPr>
              <w:t>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jc w:val="center"/>
              <w:rPr>
                <w:b/>
                <w:color w:val="auto"/>
                <w:sz w:val="21"/>
                <w:szCs w:val="21"/>
              </w:rPr>
            </w:pPr>
          </w:p>
        </w:tc>
        <w:tc>
          <w:tcPr>
            <w:tcW w:w="2207" w:type="dxa"/>
            <w:vAlign w:val="center"/>
          </w:tcPr>
          <w:p>
            <w:pPr>
              <w:jc w:val="center"/>
              <w:rPr>
                <w:b/>
                <w:color w:val="auto"/>
                <w:sz w:val="21"/>
                <w:szCs w:val="21"/>
              </w:rPr>
            </w:pPr>
            <w:r>
              <w:rPr>
                <w:b/>
                <w:color w:val="auto"/>
                <w:sz w:val="21"/>
                <w:szCs w:val="21"/>
              </w:rPr>
              <w:t>100d</w:t>
            </w:r>
          </w:p>
        </w:tc>
        <w:tc>
          <w:tcPr>
            <w:tcW w:w="2268" w:type="dxa"/>
            <w:vAlign w:val="center"/>
          </w:tcPr>
          <w:p>
            <w:pPr>
              <w:jc w:val="center"/>
              <w:rPr>
                <w:b/>
                <w:color w:val="auto"/>
                <w:sz w:val="21"/>
                <w:szCs w:val="21"/>
              </w:rPr>
            </w:pPr>
            <w:r>
              <w:rPr>
                <w:b/>
                <w:color w:val="auto"/>
                <w:sz w:val="21"/>
                <w:szCs w:val="21"/>
              </w:rPr>
              <w:t>1000d</w:t>
            </w:r>
          </w:p>
        </w:tc>
        <w:tc>
          <w:tcPr>
            <w:tcW w:w="2115" w:type="dxa"/>
            <w:vAlign w:val="center"/>
          </w:tcPr>
          <w:p>
            <w:pPr>
              <w:jc w:val="center"/>
              <w:rPr>
                <w:b/>
                <w:color w:val="auto"/>
                <w:sz w:val="21"/>
                <w:szCs w:val="21"/>
              </w:rPr>
            </w:pPr>
            <w:r>
              <w:rPr>
                <w:b/>
                <w:color w:val="auto"/>
                <w:sz w:val="21"/>
                <w:szCs w:val="21"/>
              </w:rPr>
              <w:t>10000d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0</w:t>
            </w:r>
          </w:p>
        </w:tc>
        <w:tc>
          <w:tcPr>
            <w:tcW w:w="2207" w:type="dxa"/>
            <w:vAlign w:val="center"/>
          </w:tcPr>
          <w:p>
            <w:pPr>
              <w:jc w:val="center"/>
              <w:rPr>
                <w:color w:val="auto"/>
                <w:sz w:val="21"/>
                <w:szCs w:val="21"/>
              </w:rPr>
            </w:pPr>
            <w:r>
              <w:rPr>
                <w:color w:val="auto"/>
                <w:sz w:val="21"/>
                <w:szCs w:val="21"/>
              </w:rPr>
              <w:t>500</w:t>
            </w:r>
          </w:p>
        </w:tc>
        <w:tc>
          <w:tcPr>
            <w:tcW w:w="2268" w:type="dxa"/>
            <w:vAlign w:val="center"/>
          </w:tcPr>
          <w:p>
            <w:pPr>
              <w:jc w:val="center"/>
              <w:rPr>
                <w:color w:val="auto"/>
                <w:sz w:val="21"/>
                <w:szCs w:val="21"/>
              </w:rPr>
            </w:pPr>
            <w:r>
              <w:rPr>
                <w:color w:val="auto"/>
                <w:sz w:val="21"/>
                <w:szCs w:val="21"/>
              </w:rPr>
              <w:t>500</w:t>
            </w:r>
          </w:p>
        </w:tc>
        <w:tc>
          <w:tcPr>
            <w:tcW w:w="2115" w:type="dxa"/>
            <w:vAlign w:val="center"/>
          </w:tcPr>
          <w:p>
            <w:pPr>
              <w:jc w:val="center"/>
              <w:rPr>
                <w:color w:val="auto"/>
                <w:sz w:val="21"/>
                <w:szCs w:val="21"/>
              </w:rPr>
            </w:pPr>
            <w:r>
              <w:rPr>
                <w:color w:val="auto"/>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10</w:t>
            </w:r>
          </w:p>
        </w:tc>
        <w:tc>
          <w:tcPr>
            <w:tcW w:w="2207" w:type="dxa"/>
            <w:vAlign w:val="center"/>
          </w:tcPr>
          <w:p>
            <w:pPr>
              <w:jc w:val="center"/>
              <w:rPr>
                <w:color w:val="auto"/>
                <w:sz w:val="21"/>
                <w:szCs w:val="21"/>
              </w:rPr>
            </w:pPr>
            <w:r>
              <w:rPr>
                <w:color w:val="auto"/>
                <w:sz w:val="21"/>
                <w:szCs w:val="21"/>
              </w:rPr>
              <w:t>2.042933</w:t>
            </w:r>
          </w:p>
        </w:tc>
        <w:tc>
          <w:tcPr>
            <w:tcW w:w="2268" w:type="dxa"/>
            <w:vAlign w:val="center"/>
          </w:tcPr>
          <w:p>
            <w:pPr>
              <w:jc w:val="center"/>
              <w:rPr>
                <w:color w:val="auto"/>
                <w:sz w:val="21"/>
                <w:szCs w:val="21"/>
              </w:rPr>
            </w:pPr>
            <w:r>
              <w:rPr>
                <w:color w:val="auto"/>
                <w:sz w:val="21"/>
                <w:szCs w:val="21"/>
              </w:rPr>
              <w:t>365.7986</w:t>
            </w:r>
          </w:p>
        </w:tc>
        <w:tc>
          <w:tcPr>
            <w:tcW w:w="2115" w:type="dxa"/>
            <w:vAlign w:val="center"/>
          </w:tcPr>
          <w:p>
            <w:pPr>
              <w:jc w:val="center"/>
              <w:rPr>
                <w:color w:val="auto"/>
                <w:sz w:val="21"/>
                <w:szCs w:val="21"/>
              </w:rPr>
            </w:pPr>
            <w:r>
              <w:rPr>
                <w:color w:val="auto"/>
                <w:sz w:val="21"/>
                <w:szCs w:val="21"/>
              </w:rPr>
              <w:t>499.9866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20</w:t>
            </w:r>
          </w:p>
        </w:tc>
        <w:tc>
          <w:tcPr>
            <w:tcW w:w="2207" w:type="dxa"/>
            <w:vAlign w:val="center"/>
          </w:tcPr>
          <w:p>
            <w:pPr>
              <w:jc w:val="center"/>
              <w:rPr>
                <w:color w:val="auto"/>
                <w:sz w:val="21"/>
                <w:szCs w:val="21"/>
              </w:rPr>
            </w:pPr>
            <w:r>
              <w:rPr>
                <w:color w:val="auto"/>
                <w:sz w:val="21"/>
                <w:szCs w:val="21"/>
              </w:rPr>
              <w:t>6.165988E-07</w:t>
            </w:r>
          </w:p>
        </w:tc>
        <w:tc>
          <w:tcPr>
            <w:tcW w:w="2268" w:type="dxa"/>
            <w:vAlign w:val="center"/>
          </w:tcPr>
          <w:p>
            <w:pPr>
              <w:jc w:val="center"/>
              <w:rPr>
                <w:color w:val="auto"/>
                <w:sz w:val="21"/>
                <w:szCs w:val="21"/>
              </w:rPr>
            </w:pPr>
            <w:r>
              <w:rPr>
                <w:color w:val="auto"/>
                <w:sz w:val="21"/>
                <w:szCs w:val="21"/>
              </w:rPr>
              <w:t>144.0321</w:t>
            </w:r>
          </w:p>
        </w:tc>
        <w:tc>
          <w:tcPr>
            <w:tcW w:w="2115" w:type="dxa"/>
            <w:vAlign w:val="center"/>
          </w:tcPr>
          <w:p>
            <w:pPr>
              <w:jc w:val="center"/>
              <w:rPr>
                <w:color w:val="auto"/>
                <w:sz w:val="21"/>
                <w:szCs w:val="21"/>
              </w:rPr>
            </w:pPr>
            <w:r>
              <w:rPr>
                <w:color w:val="auto"/>
                <w:sz w:val="21"/>
                <w:szCs w:val="21"/>
              </w:rPr>
              <w:t>499.9191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30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24.75439</w:t>
            </w:r>
          </w:p>
        </w:tc>
        <w:tc>
          <w:tcPr>
            <w:tcW w:w="2115" w:type="dxa"/>
            <w:vAlign w:val="center"/>
          </w:tcPr>
          <w:p>
            <w:pPr>
              <w:jc w:val="center"/>
              <w:rPr>
                <w:color w:val="auto"/>
                <w:sz w:val="21"/>
                <w:szCs w:val="21"/>
              </w:rPr>
            </w:pPr>
            <w:r>
              <w:rPr>
                <w:color w:val="auto"/>
                <w:sz w:val="21"/>
                <w:szCs w:val="21"/>
              </w:rPr>
              <w:t>499.6651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40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1.680914</w:t>
            </w:r>
          </w:p>
        </w:tc>
        <w:tc>
          <w:tcPr>
            <w:tcW w:w="2115" w:type="dxa"/>
            <w:vAlign w:val="center"/>
          </w:tcPr>
          <w:p>
            <w:pPr>
              <w:jc w:val="center"/>
              <w:rPr>
                <w:color w:val="auto"/>
                <w:sz w:val="21"/>
                <w:szCs w:val="21"/>
              </w:rPr>
            </w:pPr>
            <w:r>
              <w:rPr>
                <w:color w:val="auto"/>
                <w:sz w:val="21"/>
                <w:szCs w:val="21"/>
              </w:rPr>
              <w:t>498.8779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50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0.04305241</w:t>
            </w:r>
          </w:p>
        </w:tc>
        <w:tc>
          <w:tcPr>
            <w:tcW w:w="2115" w:type="dxa"/>
            <w:vAlign w:val="center"/>
          </w:tcPr>
          <w:p>
            <w:pPr>
              <w:jc w:val="center"/>
              <w:rPr>
                <w:color w:val="auto"/>
                <w:sz w:val="21"/>
                <w:szCs w:val="21"/>
              </w:rPr>
            </w:pPr>
            <w:r>
              <w:rPr>
                <w:color w:val="auto"/>
                <w:sz w:val="21"/>
                <w:szCs w:val="21"/>
              </w:rPr>
              <w:t>496.7864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60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0.0004182048</w:t>
            </w:r>
          </w:p>
        </w:tc>
        <w:tc>
          <w:tcPr>
            <w:tcW w:w="2115" w:type="dxa"/>
            <w:vAlign w:val="center"/>
          </w:tcPr>
          <w:p>
            <w:pPr>
              <w:jc w:val="center"/>
              <w:rPr>
                <w:color w:val="auto"/>
                <w:sz w:val="21"/>
                <w:szCs w:val="21"/>
              </w:rPr>
            </w:pPr>
            <w:r>
              <w:rPr>
                <w:color w:val="auto"/>
                <w:sz w:val="21"/>
                <w:szCs w:val="21"/>
              </w:rPr>
              <w:t>491.9359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70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1.914906E-06</w:t>
            </w:r>
          </w:p>
        </w:tc>
        <w:tc>
          <w:tcPr>
            <w:tcW w:w="2115" w:type="dxa"/>
            <w:vAlign w:val="center"/>
          </w:tcPr>
          <w:p>
            <w:pPr>
              <w:jc w:val="center"/>
              <w:rPr>
                <w:color w:val="auto"/>
                <w:sz w:val="21"/>
                <w:szCs w:val="21"/>
              </w:rPr>
            </w:pPr>
            <w:r>
              <w:rPr>
                <w:color w:val="auto"/>
                <w:sz w:val="21"/>
                <w:szCs w:val="21"/>
              </w:rPr>
              <w:t>482.016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80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9.848788E-10</w:t>
            </w:r>
          </w:p>
        </w:tc>
        <w:tc>
          <w:tcPr>
            <w:tcW w:w="2115" w:type="dxa"/>
            <w:vAlign w:val="center"/>
          </w:tcPr>
          <w:p>
            <w:pPr>
              <w:jc w:val="center"/>
              <w:rPr>
                <w:color w:val="auto"/>
                <w:sz w:val="21"/>
                <w:szCs w:val="21"/>
              </w:rPr>
            </w:pPr>
            <w:r>
              <w:rPr>
                <w:color w:val="auto"/>
                <w:sz w:val="21"/>
                <w:szCs w:val="21"/>
              </w:rPr>
              <w:t>464.015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90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4.440892E-13</w:t>
            </w:r>
          </w:p>
        </w:tc>
        <w:tc>
          <w:tcPr>
            <w:tcW w:w="2115" w:type="dxa"/>
            <w:vAlign w:val="center"/>
          </w:tcPr>
          <w:p>
            <w:pPr>
              <w:jc w:val="center"/>
              <w:rPr>
                <w:color w:val="auto"/>
                <w:sz w:val="21"/>
                <w:szCs w:val="21"/>
              </w:rPr>
            </w:pPr>
            <w:r>
              <w:rPr>
                <w:color w:val="auto"/>
                <w:sz w:val="21"/>
                <w:szCs w:val="21"/>
              </w:rPr>
              <w:t>434.9135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100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394.673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120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277.2881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140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129.6512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160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49.17644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180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13.20185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200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2.455834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220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0.3122392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240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0.02688805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260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0.001558592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280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6.055073E-05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300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1.57163E-06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320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2.718953E-08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340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3.378131E-10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360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2.553513E-12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jc w:val="center"/>
              <w:rPr>
                <w:color w:val="auto"/>
                <w:sz w:val="21"/>
                <w:szCs w:val="21"/>
              </w:rPr>
            </w:pPr>
            <w:r>
              <w:rPr>
                <w:color w:val="auto"/>
                <w:sz w:val="21"/>
                <w:szCs w:val="21"/>
              </w:rPr>
              <w:t>380</w:t>
            </w:r>
            <w:r>
              <w:rPr>
                <w:rFonts w:hint="eastAsia"/>
                <w:color w:val="auto"/>
                <w:sz w:val="21"/>
                <w:szCs w:val="21"/>
              </w:rPr>
              <w:t>~2450</w:t>
            </w:r>
          </w:p>
        </w:tc>
        <w:tc>
          <w:tcPr>
            <w:tcW w:w="2207" w:type="dxa"/>
            <w:vAlign w:val="center"/>
          </w:tcPr>
          <w:p>
            <w:pPr>
              <w:jc w:val="center"/>
              <w:rPr>
                <w:color w:val="auto"/>
                <w:sz w:val="21"/>
                <w:szCs w:val="21"/>
              </w:rPr>
            </w:pPr>
            <w:r>
              <w:rPr>
                <w:color w:val="auto"/>
                <w:sz w:val="21"/>
                <w:szCs w:val="21"/>
              </w:rPr>
              <w:t>0</w:t>
            </w:r>
          </w:p>
        </w:tc>
        <w:tc>
          <w:tcPr>
            <w:tcW w:w="2268" w:type="dxa"/>
            <w:vAlign w:val="center"/>
          </w:tcPr>
          <w:p>
            <w:pPr>
              <w:jc w:val="center"/>
              <w:rPr>
                <w:color w:val="auto"/>
                <w:sz w:val="21"/>
                <w:szCs w:val="21"/>
              </w:rPr>
            </w:pPr>
            <w:r>
              <w:rPr>
                <w:color w:val="auto"/>
                <w:sz w:val="21"/>
                <w:szCs w:val="21"/>
              </w:rPr>
              <w:t>0</w:t>
            </w:r>
          </w:p>
        </w:tc>
        <w:tc>
          <w:tcPr>
            <w:tcW w:w="2115" w:type="dxa"/>
            <w:vAlign w:val="center"/>
          </w:tcPr>
          <w:p>
            <w:pPr>
              <w:jc w:val="center"/>
              <w:rPr>
                <w:color w:val="auto"/>
                <w:sz w:val="21"/>
                <w:szCs w:val="21"/>
              </w:rPr>
            </w:pPr>
            <w:r>
              <w:rPr>
                <w:color w:val="auto"/>
                <w:sz w:val="21"/>
                <w:szCs w:val="21"/>
              </w:rPr>
              <w:t>0</w:t>
            </w:r>
          </w:p>
        </w:tc>
      </w:tr>
    </w:tbl>
    <w:p>
      <w:pPr>
        <w:spacing w:line="360" w:lineRule="auto"/>
        <w:ind w:firstLine="480" w:firstLineChars="200"/>
        <w:jc w:val="left"/>
        <w:rPr>
          <w:color w:val="auto"/>
          <w:sz w:val="24"/>
          <w:szCs w:val="24"/>
        </w:rPr>
      </w:pPr>
      <w:r>
        <w:rPr>
          <w:rFonts w:hint="eastAsia"/>
          <w:color w:val="auto"/>
          <w:sz w:val="24"/>
          <w:szCs w:val="24"/>
        </w:rPr>
        <w:t>由上表可以看出，污水收集/处理系统污染物泄漏后，100天后，距泄漏点10m范围内COD出现超标；1000天后，距泄漏点40m范围内COD出现超标现象；10000天后，距泄漏点200m范围内COD出现超标。可见，随着时间延续，地下水中污染物浓度逐步升高，且影响范围增大。由于项目所在地潜水层渗透性相对较弱，即使发生泄漏，污染范围也十分有限，为防止非正常情况造成的污染物泄露污染地下水情况的发生，建议建设单位加强污水处理系统巡视，同时在污水收集/处理系统下游设置地下水常规监测井，定时取样观测污染源周边地下水质量，以杜绝防渗层破坏后出现的长时间泄露情景的发生，做到早发现、早反应。</w:t>
      </w:r>
    </w:p>
    <w:p>
      <w:pPr>
        <w:pStyle w:val="5"/>
        <w:rPr>
          <w:color w:val="auto"/>
        </w:rPr>
      </w:pPr>
      <w:r>
        <w:rPr>
          <w:rFonts w:hint="eastAsia"/>
          <w:color w:val="auto"/>
        </w:rPr>
        <w:t>5.2.3.7小结</w:t>
      </w:r>
    </w:p>
    <w:p>
      <w:pPr>
        <w:spacing w:line="360" w:lineRule="auto"/>
        <w:ind w:firstLine="480" w:firstLineChars="200"/>
        <w:jc w:val="left"/>
        <w:rPr>
          <w:color w:val="auto"/>
          <w:sz w:val="24"/>
          <w:szCs w:val="24"/>
        </w:rPr>
      </w:pPr>
      <w:r>
        <w:rPr>
          <w:rFonts w:hint="eastAsia"/>
          <w:color w:val="auto"/>
          <w:sz w:val="24"/>
          <w:szCs w:val="24"/>
        </w:rPr>
        <w:t>在正常防渗体系条件下，项目建设基本不会对周边地下水环境产生影响；在非正常工况下，有可能对局部地区地下水环境产生影响，造成地下水中特征指标超标现象，因此必须采取有效措施杜绝事故工况的发生。</w:t>
      </w:r>
    </w:p>
    <w:p>
      <w:pPr>
        <w:pStyle w:val="4"/>
        <w:rPr>
          <w:color w:val="auto"/>
        </w:rPr>
      </w:pPr>
      <w:bookmarkStart w:id="145" w:name="_Toc26276865"/>
      <w:r>
        <w:rPr>
          <w:rFonts w:hint="eastAsia"/>
          <w:color w:val="auto"/>
        </w:rPr>
        <w:t>5.2.4运营期声环境影响分析</w:t>
      </w:r>
      <w:bookmarkEnd w:id="145"/>
    </w:p>
    <w:p>
      <w:pPr>
        <w:spacing w:line="360" w:lineRule="auto"/>
        <w:ind w:firstLine="480" w:firstLineChars="200"/>
        <w:rPr>
          <w:color w:val="auto"/>
          <w:sz w:val="24"/>
          <w:szCs w:val="24"/>
        </w:rPr>
      </w:pPr>
      <w:r>
        <w:rPr>
          <w:color w:val="auto"/>
          <w:sz w:val="24"/>
          <w:szCs w:val="24"/>
        </w:rPr>
        <w:t>本项目噪声主要为水质净化厂设备运行时产生的噪声，噪声源主要为曝气鼓风机、各类水泵等，其声源在75~85dB（A）之间，属于中低频噪声。</w:t>
      </w:r>
    </w:p>
    <w:p>
      <w:pPr>
        <w:pStyle w:val="10"/>
        <w:spacing w:after="0"/>
        <w:ind w:left="0" w:leftChars="0" w:firstLine="480"/>
        <w:rPr>
          <w:rFonts w:ascii="Times New Roman" w:hAnsi="Times New Roman" w:cs="Times New Roman"/>
          <w:bCs/>
          <w:color w:val="auto"/>
        </w:rPr>
      </w:pPr>
      <w:r>
        <w:rPr>
          <w:rFonts w:ascii="Times New Roman" w:cs="Times New Roman"/>
          <w:bCs/>
          <w:color w:val="auto"/>
        </w:rPr>
        <w:t>根据《环境影响评价技术导则</w:t>
      </w:r>
      <w:r>
        <w:rPr>
          <w:rFonts w:ascii="Times New Roman" w:hAnsi="Times New Roman" w:cs="Times New Roman"/>
          <w:bCs/>
          <w:color w:val="auto"/>
        </w:rPr>
        <w:t xml:space="preserve"> </w:t>
      </w:r>
      <w:r>
        <w:rPr>
          <w:rFonts w:ascii="Times New Roman" w:cs="Times New Roman"/>
          <w:bCs/>
          <w:color w:val="auto"/>
        </w:rPr>
        <w:t>声环境》</w:t>
      </w:r>
      <w:r>
        <w:rPr>
          <w:rFonts w:ascii="Times New Roman" w:hAnsi="Times New Roman" w:cs="Times New Roman"/>
          <w:bCs/>
          <w:color w:val="auto"/>
        </w:rPr>
        <w:t>(HJ2.4-2009)</w:t>
      </w:r>
      <w:r>
        <w:rPr>
          <w:rFonts w:ascii="Times New Roman" w:cs="Times New Roman"/>
          <w:bCs/>
          <w:color w:val="auto"/>
        </w:rPr>
        <w:t>推荐的方法，在用倍频带声压级计算噪声传播衰减有困难时，可用</w:t>
      </w:r>
      <w:r>
        <w:rPr>
          <w:rFonts w:ascii="Times New Roman" w:hAnsi="Times New Roman" w:cs="Times New Roman"/>
          <w:bCs/>
          <w:color w:val="auto"/>
        </w:rPr>
        <w:t>A</w:t>
      </w:r>
      <w:r>
        <w:rPr>
          <w:rFonts w:ascii="Times New Roman" w:cs="Times New Roman"/>
          <w:bCs/>
          <w:color w:val="auto"/>
        </w:rPr>
        <w:t>声级计算噪声影响，分析如下：</w:t>
      </w:r>
    </w:p>
    <w:p>
      <w:pPr>
        <w:pStyle w:val="10"/>
        <w:spacing w:after="0"/>
        <w:ind w:left="0" w:leftChars="0" w:firstLine="480"/>
        <w:rPr>
          <w:rFonts w:ascii="Times New Roman" w:hAnsi="Times New Roman" w:cs="Times New Roman"/>
          <w:bCs/>
          <w:color w:val="auto"/>
        </w:rPr>
      </w:pPr>
      <w:r>
        <w:rPr>
          <w:rFonts w:ascii="Times New Roman" w:cs="Times New Roman"/>
          <w:bCs/>
          <w:color w:val="auto"/>
        </w:rPr>
        <w:t>（</w:t>
      </w:r>
      <w:r>
        <w:rPr>
          <w:rFonts w:ascii="Times New Roman" w:hAnsi="Times New Roman" w:cs="Times New Roman"/>
          <w:bCs/>
          <w:color w:val="auto"/>
        </w:rPr>
        <w:t>1</w:t>
      </w:r>
      <w:r>
        <w:rPr>
          <w:rFonts w:ascii="Times New Roman" w:cs="Times New Roman"/>
          <w:bCs/>
          <w:color w:val="auto"/>
        </w:rPr>
        <w:t>）计算某一室内声源靠近围护结构处产生的</w:t>
      </w:r>
      <w:r>
        <w:rPr>
          <w:rFonts w:ascii="Times New Roman" w:hAnsi="Times New Roman" w:cs="Times New Roman"/>
          <w:bCs/>
          <w:color w:val="auto"/>
        </w:rPr>
        <w:t>A</w:t>
      </w:r>
      <w:r>
        <w:rPr>
          <w:rFonts w:ascii="Times New Roman" w:cs="Times New Roman"/>
          <w:bCs/>
          <w:color w:val="auto"/>
        </w:rPr>
        <w:t>声压级</w:t>
      </w:r>
      <w:r>
        <w:rPr>
          <w:rFonts w:ascii="Times New Roman" w:hAnsi="Times New Roman" w:cs="Times New Roman"/>
          <w:bCs/>
          <w:color w:val="auto"/>
        </w:rPr>
        <w:t>L</w:t>
      </w:r>
      <w:r>
        <w:rPr>
          <w:rFonts w:ascii="Times New Roman" w:hAnsi="Times New Roman" w:cs="Times New Roman"/>
          <w:bCs/>
          <w:color w:val="auto"/>
          <w:vertAlign w:val="subscript"/>
        </w:rPr>
        <w:t>p1</w:t>
      </w:r>
      <w:r>
        <w:rPr>
          <w:rFonts w:ascii="Times New Roman" w:cs="Times New Roman"/>
          <w:bCs/>
          <w:color w:val="auto"/>
        </w:rPr>
        <w:t>：</w:t>
      </w:r>
    </w:p>
    <w:p>
      <w:pPr>
        <w:pStyle w:val="10"/>
        <w:spacing w:after="0"/>
        <w:ind w:left="0" w:leftChars="0" w:firstLine="0" w:firstLineChars="0"/>
        <w:jc w:val="center"/>
        <w:rPr>
          <w:rFonts w:ascii="Times New Roman" w:hAnsi="Times New Roman" w:cs="Times New Roman"/>
          <w:bCs/>
          <w:color w:val="auto"/>
        </w:rPr>
      </w:pPr>
      <w:r>
        <w:rPr>
          <w:rFonts w:ascii="Times New Roman" w:hAnsi="Times New Roman" w:cs="Times New Roman"/>
          <w:bCs/>
          <w:color w:val="auto"/>
        </w:rPr>
        <w:drawing>
          <wp:inline distT="0" distB="0" distL="0" distR="0">
            <wp:extent cx="1794510" cy="422910"/>
            <wp:effectExtent l="19050" t="0" r="0" b="0"/>
            <wp:docPr id="7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
                    <pic:cNvPicPr>
                      <a:picLocks noChangeAspect="1" noChangeArrowheads="1"/>
                    </pic:cNvPicPr>
                  </pic:nvPicPr>
                  <pic:blipFill>
                    <a:blip r:embed="rId71" cstate="print"/>
                    <a:srcRect/>
                    <a:stretch>
                      <a:fillRect/>
                    </a:stretch>
                  </pic:blipFill>
                  <pic:spPr>
                    <a:xfrm>
                      <a:off x="0" y="0"/>
                      <a:ext cx="1794510" cy="422910"/>
                    </a:xfrm>
                    <a:prstGeom prst="rect">
                      <a:avLst/>
                    </a:prstGeom>
                    <a:noFill/>
                    <a:ln w="9525">
                      <a:noFill/>
                      <a:miter lim="800000"/>
                      <a:headEnd/>
                      <a:tailEnd/>
                    </a:ln>
                  </pic:spPr>
                </pic:pic>
              </a:graphicData>
            </a:graphic>
          </wp:inline>
        </w:drawing>
      </w:r>
    </w:p>
    <w:p>
      <w:pPr>
        <w:pStyle w:val="10"/>
        <w:spacing w:after="0"/>
        <w:ind w:left="0" w:leftChars="0" w:firstLine="480"/>
        <w:jc w:val="left"/>
        <w:rPr>
          <w:rFonts w:ascii="Times New Roman" w:hAnsi="Times New Roman" w:cs="Times New Roman"/>
          <w:bCs/>
          <w:color w:val="auto"/>
        </w:rPr>
      </w:pPr>
      <w:r>
        <w:rPr>
          <w:rFonts w:ascii="Times New Roman" w:cs="Times New Roman"/>
          <w:bCs/>
          <w:color w:val="auto"/>
        </w:rPr>
        <w:t>式中：</w:t>
      </w:r>
      <w:r>
        <w:rPr>
          <w:rFonts w:ascii="Times New Roman" w:hAnsi="Times New Roman" w:cs="Times New Roman"/>
          <w:bCs/>
          <w:color w:val="auto"/>
        </w:rPr>
        <w:t>Q</w:t>
      </w:r>
      <w:r>
        <w:rPr>
          <w:rFonts w:ascii="Times New Roman" w:cs="Times New Roman"/>
          <w:bCs/>
          <w:color w:val="auto"/>
        </w:rPr>
        <w:t>－指向性因数：通常对无指向性声源，当声源放在房间中心时，</w:t>
      </w:r>
      <w:r>
        <w:rPr>
          <w:rFonts w:ascii="Times New Roman" w:hAnsi="Times New Roman" w:cs="Times New Roman"/>
          <w:bCs/>
          <w:color w:val="auto"/>
        </w:rPr>
        <w:t>Q=1</w:t>
      </w:r>
      <w:r>
        <w:rPr>
          <w:rFonts w:ascii="Times New Roman" w:cs="Times New Roman"/>
          <w:bCs/>
          <w:color w:val="auto"/>
        </w:rPr>
        <w:t>；当放在一面墙的中心时，</w:t>
      </w:r>
      <w:r>
        <w:rPr>
          <w:rFonts w:ascii="Times New Roman" w:hAnsi="Times New Roman" w:cs="Times New Roman"/>
          <w:bCs/>
          <w:color w:val="auto"/>
        </w:rPr>
        <w:t>Q=2</w:t>
      </w:r>
      <w:r>
        <w:rPr>
          <w:rFonts w:ascii="Times New Roman" w:cs="Times New Roman"/>
          <w:bCs/>
          <w:color w:val="auto"/>
        </w:rPr>
        <w:t>；当放在两面墙夹角时，</w:t>
      </w:r>
      <w:r>
        <w:rPr>
          <w:rFonts w:ascii="Times New Roman" w:hAnsi="Times New Roman" w:cs="Times New Roman"/>
          <w:bCs/>
          <w:color w:val="auto"/>
        </w:rPr>
        <w:t>Q=4</w:t>
      </w:r>
      <w:r>
        <w:rPr>
          <w:rFonts w:ascii="Times New Roman" w:cs="Times New Roman"/>
          <w:bCs/>
          <w:color w:val="auto"/>
        </w:rPr>
        <w:t>；当放在三面墙夹角处时，</w:t>
      </w:r>
      <w:r>
        <w:rPr>
          <w:rFonts w:ascii="Times New Roman" w:hAnsi="Times New Roman" w:cs="Times New Roman"/>
          <w:bCs/>
          <w:color w:val="auto"/>
        </w:rPr>
        <w:t>Q=8</w:t>
      </w:r>
      <w:r>
        <w:rPr>
          <w:rFonts w:ascii="Times New Roman" w:cs="Times New Roman"/>
          <w:bCs/>
          <w:color w:val="auto"/>
        </w:rPr>
        <w:t>。本评价取</w:t>
      </w:r>
      <w:r>
        <w:rPr>
          <w:rFonts w:ascii="Times New Roman" w:hAnsi="Times New Roman" w:cs="Times New Roman"/>
          <w:bCs/>
          <w:color w:val="auto"/>
        </w:rPr>
        <w:t>Q=1</w:t>
      </w:r>
      <w:r>
        <w:rPr>
          <w:rFonts w:ascii="Times New Roman" w:cs="Times New Roman"/>
          <w:bCs/>
          <w:color w:val="auto"/>
        </w:rPr>
        <w:t>。</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R</w:t>
      </w:r>
      <w:r>
        <w:rPr>
          <w:rFonts w:ascii="Times New Roman" w:cs="Times New Roman"/>
          <w:bCs/>
          <w:color w:val="auto"/>
        </w:rPr>
        <w:t>－房间常数：</w:t>
      </w:r>
      <w:r>
        <w:rPr>
          <w:rFonts w:ascii="Times New Roman" w:hAnsi="Times New Roman" w:cs="Times New Roman"/>
          <w:bCs/>
          <w:color w:val="auto"/>
        </w:rPr>
        <w:t>R=Sa/</w:t>
      </w:r>
      <w:r>
        <w:rPr>
          <w:rFonts w:ascii="Times New Roman" w:cs="Times New Roman"/>
          <w:bCs/>
          <w:color w:val="auto"/>
        </w:rPr>
        <w:t>（</w:t>
      </w:r>
      <w:r>
        <w:rPr>
          <w:rFonts w:ascii="Times New Roman" w:hAnsi="Times New Roman" w:cs="Times New Roman"/>
          <w:bCs/>
          <w:color w:val="auto"/>
        </w:rPr>
        <w:t>1-a</w:t>
      </w:r>
      <w:r>
        <w:rPr>
          <w:rFonts w:ascii="Times New Roman" w:cs="Times New Roman"/>
          <w:bCs/>
          <w:color w:val="auto"/>
        </w:rPr>
        <w:t>），</w:t>
      </w:r>
      <w:r>
        <w:rPr>
          <w:rFonts w:ascii="Times New Roman" w:hAnsi="Times New Roman" w:cs="Times New Roman"/>
          <w:bCs/>
          <w:color w:val="auto"/>
        </w:rPr>
        <w:t>S</w:t>
      </w:r>
      <w:r>
        <w:rPr>
          <w:rFonts w:ascii="Times New Roman" w:cs="Times New Roman"/>
          <w:bCs/>
          <w:color w:val="auto"/>
        </w:rPr>
        <w:t>为房间内表面面积，</w:t>
      </w:r>
      <w:r>
        <w:rPr>
          <w:rFonts w:ascii="Times New Roman" w:hAnsi="Times New Roman" w:cs="Times New Roman"/>
          <w:bCs/>
          <w:color w:val="auto"/>
        </w:rPr>
        <w:t>m</w:t>
      </w:r>
      <w:r>
        <w:rPr>
          <w:rFonts w:ascii="Times New Roman" w:hAnsi="Times New Roman" w:cs="Times New Roman"/>
          <w:bCs/>
          <w:color w:val="auto"/>
          <w:vertAlign w:val="superscript"/>
        </w:rPr>
        <w:t>2</w:t>
      </w:r>
      <w:r>
        <w:rPr>
          <w:rFonts w:ascii="Times New Roman" w:cs="Times New Roman"/>
          <w:bCs/>
          <w:color w:val="auto"/>
        </w:rPr>
        <w:t>；</w:t>
      </w:r>
      <w:r>
        <w:rPr>
          <w:rFonts w:ascii="Times New Roman" w:hAnsi="Times New Roman" w:cs="Times New Roman"/>
          <w:bCs/>
          <w:color w:val="auto"/>
        </w:rPr>
        <w:t>a</w:t>
      </w:r>
      <w:r>
        <w:rPr>
          <w:rFonts w:ascii="Times New Roman" w:cs="Times New Roman"/>
          <w:bCs/>
          <w:color w:val="auto"/>
        </w:rPr>
        <w:t>为平均吸声系数，取</w:t>
      </w:r>
      <w:r>
        <w:rPr>
          <w:rFonts w:ascii="Times New Roman" w:hAnsi="Times New Roman" w:cs="Times New Roman"/>
          <w:bCs/>
          <w:color w:val="auto"/>
        </w:rPr>
        <w:t>a=0.3</w:t>
      </w:r>
      <w:r>
        <w:rPr>
          <w:rFonts w:ascii="Times New Roman" w:cs="Times New Roman"/>
          <w:bCs/>
          <w:color w:val="auto"/>
        </w:rPr>
        <w:t>。</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r</w:t>
      </w:r>
      <w:r>
        <w:rPr>
          <w:rFonts w:ascii="Times New Roman" w:cs="Times New Roman"/>
          <w:bCs/>
          <w:color w:val="auto"/>
        </w:rPr>
        <w:t>－声源到靠近围护结构某点处的距离，</w:t>
      </w:r>
      <w:r>
        <w:rPr>
          <w:rFonts w:ascii="Times New Roman" w:hAnsi="Times New Roman" w:cs="Times New Roman"/>
          <w:bCs/>
          <w:color w:val="auto"/>
        </w:rPr>
        <w:t>m</w:t>
      </w:r>
      <w:r>
        <w:rPr>
          <w:rFonts w:ascii="Times New Roman" w:cs="Times New Roman"/>
          <w:bCs/>
          <w:color w:val="auto"/>
        </w:rPr>
        <w:t>。</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Lw</w:t>
      </w:r>
      <w:r>
        <w:rPr>
          <w:rFonts w:ascii="Times New Roman" w:cs="Times New Roman"/>
          <w:bCs/>
          <w:color w:val="auto"/>
        </w:rPr>
        <w:t>为设备的</w:t>
      </w:r>
      <w:r>
        <w:rPr>
          <w:rFonts w:ascii="Times New Roman" w:hAnsi="Times New Roman" w:cs="Times New Roman"/>
          <w:bCs/>
          <w:color w:val="auto"/>
        </w:rPr>
        <w:t>A</w:t>
      </w:r>
      <w:r>
        <w:rPr>
          <w:rFonts w:ascii="Times New Roman" w:cs="Times New Roman"/>
          <w:bCs/>
          <w:color w:val="auto"/>
        </w:rPr>
        <w:t>声功率级。</w:t>
      </w:r>
    </w:p>
    <w:p>
      <w:pPr>
        <w:pStyle w:val="10"/>
        <w:spacing w:after="0"/>
        <w:ind w:left="0" w:leftChars="0" w:firstLine="480"/>
        <w:jc w:val="left"/>
        <w:rPr>
          <w:bCs/>
          <w:color w:val="auto"/>
        </w:rPr>
      </w:pPr>
      <w:r>
        <w:rPr>
          <w:rFonts w:ascii="Times New Roman" w:cs="Times New Roman"/>
          <w:bCs/>
          <w:color w:val="auto"/>
        </w:rPr>
        <w:t>根据上式，求得本项目室内声源靠近围护结构处产生的声压级如下表所示。</w:t>
      </w:r>
    </w:p>
    <w:p>
      <w:pPr>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p>
    <w:p>
      <w:pPr>
        <w:spacing w:line="360" w:lineRule="auto"/>
        <w:jc w:val="center"/>
        <w:rPr>
          <w:color w:val="auto"/>
          <w:sz w:val="24"/>
          <w:szCs w:val="24"/>
        </w:rPr>
      </w:pPr>
      <w:r>
        <w:rPr>
          <w:rFonts w:hint="eastAsia"/>
          <w:b/>
          <w:bCs/>
          <w:color w:val="auto"/>
          <w:sz w:val="24"/>
          <w:szCs w:val="24"/>
        </w:rPr>
        <w:t>表5-26   项目设备靠近围护结构处产生的声压级  单位：dB（A）</w:t>
      </w:r>
    </w:p>
    <w:tbl>
      <w:tblPr>
        <w:tblStyle w:val="28"/>
        <w:tblW w:w="134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74"/>
        <w:gridCol w:w="803"/>
        <w:gridCol w:w="1417"/>
        <w:gridCol w:w="757"/>
        <w:gridCol w:w="709"/>
        <w:gridCol w:w="1134"/>
        <w:gridCol w:w="709"/>
        <w:gridCol w:w="850"/>
        <w:gridCol w:w="709"/>
        <w:gridCol w:w="1984"/>
        <w:gridCol w:w="709"/>
        <w:gridCol w:w="709"/>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b/>
                <w:color w:val="auto"/>
                <w:sz w:val="21"/>
                <w:szCs w:val="21"/>
              </w:rPr>
            </w:pPr>
            <w:r>
              <w:rPr>
                <w:rFonts w:hAnsi="宋体"/>
                <w:b/>
                <w:color w:val="auto"/>
                <w:sz w:val="21"/>
                <w:szCs w:val="21"/>
              </w:rPr>
              <w:t>单体</w:t>
            </w:r>
          </w:p>
        </w:tc>
        <w:tc>
          <w:tcPr>
            <w:tcW w:w="874" w:type="dxa"/>
            <w:vAlign w:val="center"/>
          </w:tcPr>
          <w:p>
            <w:pPr>
              <w:jc w:val="center"/>
              <w:rPr>
                <w:rFonts w:hAnsi="宋体"/>
                <w:b/>
                <w:color w:val="auto"/>
                <w:sz w:val="21"/>
                <w:szCs w:val="21"/>
              </w:rPr>
            </w:pPr>
            <w:r>
              <w:rPr>
                <w:rFonts w:hint="eastAsia" w:hAnsi="宋体"/>
                <w:b/>
                <w:color w:val="auto"/>
                <w:sz w:val="21"/>
                <w:szCs w:val="21"/>
              </w:rPr>
              <w:t>S（m</w:t>
            </w:r>
            <w:r>
              <w:rPr>
                <w:rFonts w:hint="eastAsia" w:hAnsi="宋体"/>
                <w:b/>
                <w:color w:val="auto"/>
                <w:sz w:val="21"/>
                <w:szCs w:val="21"/>
                <w:vertAlign w:val="superscript"/>
              </w:rPr>
              <w:t>2</w:t>
            </w:r>
            <w:r>
              <w:rPr>
                <w:rFonts w:hint="eastAsia" w:hAnsi="宋体"/>
                <w:b/>
                <w:color w:val="auto"/>
                <w:sz w:val="21"/>
                <w:szCs w:val="21"/>
              </w:rPr>
              <w:t>）</w:t>
            </w:r>
          </w:p>
        </w:tc>
        <w:tc>
          <w:tcPr>
            <w:tcW w:w="803" w:type="dxa"/>
            <w:vAlign w:val="center"/>
          </w:tcPr>
          <w:p>
            <w:pPr>
              <w:jc w:val="center"/>
              <w:rPr>
                <w:rFonts w:hAnsi="宋体"/>
                <w:b/>
                <w:color w:val="auto"/>
                <w:sz w:val="21"/>
                <w:szCs w:val="21"/>
              </w:rPr>
            </w:pPr>
            <w:r>
              <w:rPr>
                <w:rFonts w:hAnsi="宋体"/>
                <w:b/>
                <w:color w:val="auto"/>
                <w:sz w:val="21"/>
                <w:szCs w:val="21"/>
              </w:rPr>
              <w:t>r</w:t>
            </w:r>
            <w:r>
              <w:rPr>
                <w:rFonts w:hint="eastAsia" w:hAnsi="宋体"/>
                <w:b/>
                <w:color w:val="auto"/>
                <w:sz w:val="21"/>
                <w:szCs w:val="21"/>
              </w:rPr>
              <w:t>（m）</w:t>
            </w:r>
          </w:p>
        </w:tc>
        <w:tc>
          <w:tcPr>
            <w:tcW w:w="1417" w:type="dxa"/>
            <w:vAlign w:val="center"/>
          </w:tcPr>
          <w:p>
            <w:pPr>
              <w:jc w:val="center"/>
              <w:rPr>
                <w:b/>
                <w:color w:val="auto"/>
                <w:sz w:val="21"/>
                <w:szCs w:val="21"/>
              </w:rPr>
            </w:pPr>
            <w:r>
              <w:rPr>
                <w:rFonts w:hAnsi="宋体"/>
                <w:b/>
                <w:color w:val="auto"/>
                <w:sz w:val="21"/>
                <w:szCs w:val="21"/>
              </w:rPr>
              <w:t>设备名称</w:t>
            </w:r>
          </w:p>
        </w:tc>
        <w:tc>
          <w:tcPr>
            <w:tcW w:w="757" w:type="dxa"/>
            <w:vAlign w:val="center"/>
          </w:tcPr>
          <w:p>
            <w:pPr>
              <w:jc w:val="center"/>
              <w:rPr>
                <w:b/>
                <w:color w:val="auto"/>
                <w:sz w:val="21"/>
                <w:szCs w:val="21"/>
              </w:rPr>
            </w:pPr>
            <w:r>
              <w:rPr>
                <w:rFonts w:hAnsi="宋体"/>
                <w:b/>
                <w:color w:val="auto"/>
                <w:sz w:val="21"/>
                <w:szCs w:val="21"/>
              </w:rPr>
              <w:t>数量</w:t>
            </w:r>
          </w:p>
        </w:tc>
        <w:tc>
          <w:tcPr>
            <w:tcW w:w="709" w:type="dxa"/>
            <w:vAlign w:val="center"/>
          </w:tcPr>
          <w:p>
            <w:pPr>
              <w:jc w:val="center"/>
              <w:rPr>
                <w:rFonts w:hAnsi="宋体"/>
                <w:b/>
                <w:color w:val="auto"/>
                <w:sz w:val="21"/>
                <w:szCs w:val="21"/>
              </w:rPr>
            </w:pPr>
            <w:r>
              <w:rPr>
                <w:rFonts w:hint="eastAsia" w:hAnsi="宋体"/>
                <w:b/>
                <w:color w:val="auto"/>
                <w:sz w:val="21"/>
                <w:szCs w:val="21"/>
              </w:rPr>
              <w:t>噪声源强</w:t>
            </w:r>
          </w:p>
        </w:tc>
        <w:tc>
          <w:tcPr>
            <w:tcW w:w="1134" w:type="dxa"/>
            <w:vAlign w:val="center"/>
          </w:tcPr>
          <w:p>
            <w:pPr>
              <w:jc w:val="center"/>
              <w:rPr>
                <w:rFonts w:hAnsi="宋体"/>
                <w:b/>
                <w:color w:val="auto"/>
                <w:sz w:val="21"/>
                <w:szCs w:val="21"/>
              </w:rPr>
            </w:pPr>
            <w:r>
              <w:rPr>
                <w:rFonts w:hint="eastAsia" w:hAnsi="宋体"/>
                <w:b/>
                <w:color w:val="auto"/>
                <w:sz w:val="21"/>
                <w:szCs w:val="21"/>
              </w:rPr>
              <w:t>围护结构声压级</w:t>
            </w:r>
          </w:p>
        </w:tc>
        <w:tc>
          <w:tcPr>
            <w:tcW w:w="709" w:type="dxa"/>
            <w:vAlign w:val="center"/>
          </w:tcPr>
          <w:p>
            <w:pPr>
              <w:jc w:val="center"/>
              <w:rPr>
                <w:b/>
                <w:color w:val="auto"/>
                <w:sz w:val="21"/>
                <w:szCs w:val="21"/>
              </w:rPr>
            </w:pPr>
            <w:r>
              <w:rPr>
                <w:rFonts w:hAnsi="宋体"/>
                <w:b/>
                <w:color w:val="auto"/>
                <w:sz w:val="21"/>
                <w:szCs w:val="21"/>
              </w:rPr>
              <w:t>单体</w:t>
            </w:r>
          </w:p>
        </w:tc>
        <w:tc>
          <w:tcPr>
            <w:tcW w:w="850" w:type="dxa"/>
            <w:vAlign w:val="center"/>
          </w:tcPr>
          <w:p>
            <w:pPr>
              <w:jc w:val="center"/>
              <w:rPr>
                <w:rFonts w:hAnsi="宋体"/>
                <w:b/>
                <w:color w:val="auto"/>
                <w:sz w:val="21"/>
                <w:szCs w:val="21"/>
              </w:rPr>
            </w:pPr>
            <w:r>
              <w:rPr>
                <w:rFonts w:hint="eastAsia" w:hAnsi="宋体"/>
                <w:b/>
                <w:color w:val="auto"/>
                <w:sz w:val="21"/>
                <w:szCs w:val="21"/>
              </w:rPr>
              <w:t>S（m</w:t>
            </w:r>
            <w:r>
              <w:rPr>
                <w:rFonts w:hint="eastAsia" w:hAnsi="宋体"/>
                <w:b/>
                <w:color w:val="auto"/>
                <w:sz w:val="21"/>
                <w:szCs w:val="21"/>
                <w:vertAlign w:val="superscript"/>
              </w:rPr>
              <w:t>2</w:t>
            </w:r>
            <w:r>
              <w:rPr>
                <w:rFonts w:hint="eastAsia" w:hAnsi="宋体"/>
                <w:b/>
                <w:color w:val="auto"/>
                <w:sz w:val="21"/>
                <w:szCs w:val="21"/>
              </w:rPr>
              <w:t>）</w:t>
            </w:r>
          </w:p>
        </w:tc>
        <w:tc>
          <w:tcPr>
            <w:tcW w:w="709" w:type="dxa"/>
            <w:vAlign w:val="center"/>
          </w:tcPr>
          <w:p>
            <w:pPr>
              <w:jc w:val="center"/>
              <w:rPr>
                <w:rFonts w:hAnsi="宋体"/>
                <w:b/>
                <w:color w:val="auto"/>
                <w:sz w:val="21"/>
                <w:szCs w:val="21"/>
              </w:rPr>
            </w:pPr>
            <w:r>
              <w:rPr>
                <w:rFonts w:hAnsi="宋体"/>
                <w:b/>
                <w:color w:val="auto"/>
                <w:sz w:val="21"/>
                <w:szCs w:val="21"/>
              </w:rPr>
              <w:t>r</w:t>
            </w:r>
            <w:r>
              <w:rPr>
                <w:rFonts w:hint="eastAsia" w:hAnsi="宋体"/>
                <w:b/>
                <w:color w:val="auto"/>
                <w:sz w:val="21"/>
                <w:szCs w:val="21"/>
              </w:rPr>
              <w:t>（m）</w:t>
            </w:r>
          </w:p>
        </w:tc>
        <w:tc>
          <w:tcPr>
            <w:tcW w:w="1984" w:type="dxa"/>
            <w:vAlign w:val="center"/>
          </w:tcPr>
          <w:p>
            <w:pPr>
              <w:jc w:val="center"/>
              <w:rPr>
                <w:b/>
                <w:color w:val="auto"/>
                <w:sz w:val="21"/>
                <w:szCs w:val="21"/>
              </w:rPr>
            </w:pPr>
            <w:r>
              <w:rPr>
                <w:rFonts w:hAnsi="宋体"/>
                <w:b/>
                <w:color w:val="auto"/>
                <w:sz w:val="21"/>
                <w:szCs w:val="21"/>
              </w:rPr>
              <w:t>设备名称</w:t>
            </w:r>
          </w:p>
        </w:tc>
        <w:tc>
          <w:tcPr>
            <w:tcW w:w="709" w:type="dxa"/>
            <w:vAlign w:val="center"/>
          </w:tcPr>
          <w:p>
            <w:pPr>
              <w:jc w:val="center"/>
              <w:rPr>
                <w:b/>
                <w:color w:val="auto"/>
                <w:sz w:val="21"/>
                <w:szCs w:val="21"/>
              </w:rPr>
            </w:pPr>
            <w:r>
              <w:rPr>
                <w:rFonts w:hAnsi="宋体"/>
                <w:b/>
                <w:color w:val="auto"/>
                <w:sz w:val="21"/>
                <w:szCs w:val="21"/>
              </w:rPr>
              <w:t>数量</w:t>
            </w:r>
          </w:p>
        </w:tc>
        <w:tc>
          <w:tcPr>
            <w:tcW w:w="709" w:type="dxa"/>
            <w:vAlign w:val="center"/>
          </w:tcPr>
          <w:p>
            <w:pPr>
              <w:jc w:val="center"/>
              <w:rPr>
                <w:rFonts w:hAnsi="宋体"/>
                <w:b/>
                <w:color w:val="auto"/>
                <w:sz w:val="21"/>
                <w:szCs w:val="21"/>
              </w:rPr>
            </w:pPr>
            <w:r>
              <w:rPr>
                <w:rFonts w:hint="eastAsia" w:hAnsi="宋体"/>
                <w:b/>
                <w:color w:val="auto"/>
                <w:sz w:val="21"/>
                <w:szCs w:val="21"/>
              </w:rPr>
              <w:t>噪声源强</w:t>
            </w:r>
          </w:p>
        </w:tc>
        <w:tc>
          <w:tcPr>
            <w:tcW w:w="1121" w:type="dxa"/>
            <w:vAlign w:val="center"/>
          </w:tcPr>
          <w:p>
            <w:pPr>
              <w:jc w:val="center"/>
              <w:rPr>
                <w:rFonts w:hAnsi="宋体"/>
                <w:b/>
                <w:color w:val="auto"/>
                <w:sz w:val="21"/>
                <w:szCs w:val="21"/>
              </w:rPr>
            </w:pPr>
            <w:r>
              <w:rPr>
                <w:rFonts w:hint="eastAsia" w:hAnsi="宋体"/>
                <w:b/>
                <w:color w:val="auto"/>
                <w:sz w:val="21"/>
                <w:szCs w:val="21"/>
              </w:rPr>
              <w:t>围护结构声压级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粗格栅及进水泵房</w:t>
            </w:r>
          </w:p>
        </w:tc>
        <w:tc>
          <w:tcPr>
            <w:tcW w:w="874" w:type="dxa"/>
            <w:vMerge w:val="restart"/>
            <w:vAlign w:val="center"/>
          </w:tcPr>
          <w:p>
            <w:pPr>
              <w:jc w:val="center"/>
              <w:rPr>
                <w:rFonts w:hAnsi="宋体"/>
                <w:color w:val="auto"/>
                <w:sz w:val="21"/>
                <w:szCs w:val="21"/>
              </w:rPr>
            </w:pPr>
            <w:r>
              <w:rPr>
                <w:color w:val="auto"/>
                <w:kern w:val="0"/>
                <w:sz w:val="21"/>
                <w:szCs w:val="21"/>
              </w:rPr>
              <w:t>1008</w:t>
            </w:r>
          </w:p>
        </w:tc>
        <w:tc>
          <w:tcPr>
            <w:tcW w:w="803" w:type="dxa"/>
            <w:vMerge w:val="restart"/>
            <w:vAlign w:val="center"/>
          </w:tcPr>
          <w:p>
            <w:pPr>
              <w:jc w:val="center"/>
              <w:rPr>
                <w:rFonts w:hAnsi="宋体"/>
                <w:color w:val="auto"/>
                <w:sz w:val="21"/>
                <w:szCs w:val="21"/>
              </w:rPr>
            </w:pPr>
            <w:r>
              <w:rPr>
                <w:color w:val="auto"/>
                <w:kern w:val="0"/>
                <w:sz w:val="21"/>
                <w:szCs w:val="21"/>
              </w:rPr>
              <w:t>6</w:t>
            </w:r>
          </w:p>
        </w:tc>
        <w:tc>
          <w:tcPr>
            <w:tcW w:w="1417" w:type="dxa"/>
            <w:vAlign w:val="center"/>
          </w:tcPr>
          <w:p>
            <w:pPr>
              <w:jc w:val="center"/>
              <w:rPr>
                <w:color w:val="auto"/>
                <w:sz w:val="21"/>
                <w:szCs w:val="21"/>
              </w:rPr>
            </w:pPr>
            <w:r>
              <w:rPr>
                <w:rFonts w:hAnsi="宋体"/>
                <w:color w:val="auto"/>
                <w:sz w:val="21"/>
                <w:szCs w:val="21"/>
              </w:rPr>
              <w:t>螺旋输送压榨机</w:t>
            </w:r>
          </w:p>
        </w:tc>
        <w:tc>
          <w:tcPr>
            <w:tcW w:w="757" w:type="dxa"/>
            <w:vAlign w:val="center"/>
          </w:tcPr>
          <w:p>
            <w:pPr>
              <w:jc w:val="center"/>
              <w:rPr>
                <w:color w:val="auto"/>
                <w:sz w:val="21"/>
                <w:szCs w:val="21"/>
              </w:rPr>
            </w:pPr>
            <w:r>
              <w:rPr>
                <w:color w:val="auto"/>
                <w:sz w:val="21"/>
                <w:szCs w:val="21"/>
              </w:rPr>
              <w:t>1</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jc w:val="center"/>
              <w:rPr>
                <w:rFonts w:hAnsi="宋体"/>
                <w:color w:val="auto"/>
                <w:sz w:val="21"/>
                <w:szCs w:val="21"/>
              </w:rPr>
            </w:pPr>
            <w:r>
              <w:rPr>
                <w:rFonts w:hint="eastAsia" w:hAnsi="宋体"/>
                <w:color w:val="auto"/>
                <w:sz w:val="21"/>
                <w:szCs w:val="21"/>
              </w:rPr>
              <w:t>55.6</w:t>
            </w:r>
          </w:p>
        </w:tc>
        <w:tc>
          <w:tcPr>
            <w:tcW w:w="709" w:type="dxa"/>
            <w:vMerge w:val="restart"/>
            <w:vAlign w:val="center"/>
          </w:tcPr>
          <w:p>
            <w:pPr>
              <w:jc w:val="center"/>
              <w:rPr>
                <w:color w:val="auto"/>
                <w:sz w:val="21"/>
                <w:szCs w:val="21"/>
              </w:rPr>
            </w:pPr>
            <w:r>
              <w:rPr>
                <w:rFonts w:hAnsi="宋体"/>
                <w:color w:val="auto"/>
                <w:sz w:val="21"/>
                <w:szCs w:val="21"/>
              </w:rPr>
              <w:t>污泥脱水机房</w:t>
            </w:r>
          </w:p>
        </w:tc>
        <w:tc>
          <w:tcPr>
            <w:tcW w:w="850" w:type="dxa"/>
            <w:vMerge w:val="restart"/>
            <w:vAlign w:val="center"/>
          </w:tcPr>
          <w:p>
            <w:pPr>
              <w:jc w:val="center"/>
              <w:rPr>
                <w:rFonts w:hAnsi="宋体"/>
                <w:color w:val="auto"/>
                <w:sz w:val="21"/>
                <w:szCs w:val="21"/>
              </w:rPr>
            </w:pPr>
            <w:r>
              <w:rPr>
                <w:color w:val="auto"/>
                <w:kern w:val="0"/>
                <w:sz w:val="21"/>
                <w:szCs w:val="21"/>
              </w:rPr>
              <w:t>2664</w:t>
            </w:r>
          </w:p>
        </w:tc>
        <w:tc>
          <w:tcPr>
            <w:tcW w:w="709" w:type="dxa"/>
            <w:vMerge w:val="restart"/>
            <w:vAlign w:val="center"/>
          </w:tcPr>
          <w:p>
            <w:pPr>
              <w:jc w:val="center"/>
              <w:rPr>
                <w:rFonts w:hAnsi="宋体"/>
                <w:color w:val="auto"/>
                <w:sz w:val="21"/>
                <w:szCs w:val="21"/>
              </w:rPr>
            </w:pPr>
            <w:r>
              <w:rPr>
                <w:color w:val="auto"/>
                <w:kern w:val="0"/>
                <w:sz w:val="21"/>
                <w:szCs w:val="21"/>
              </w:rPr>
              <w:t>15</w:t>
            </w:r>
          </w:p>
        </w:tc>
        <w:tc>
          <w:tcPr>
            <w:tcW w:w="1984" w:type="dxa"/>
            <w:vAlign w:val="center"/>
          </w:tcPr>
          <w:p>
            <w:pPr>
              <w:jc w:val="center"/>
              <w:rPr>
                <w:color w:val="auto"/>
                <w:sz w:val="21"/>
                <w:szCs w:val="21"/>
              </w:rPr>
            </w:pPr>
            <w:r>
              <w:rPr>
                <w:rFonts w:hAnsi="宋体"/>
                <w:color w:val="auto"/>
                <w:sz w:val="21"/>
                <w:szCs w:val="21"/>
              </w:rPr>
              <w:t>隔膜压滤机</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潜水离心泵</w:t>
            </w:r>
          </w:p>
        </w:tc>
        <w:tc>
          <w:tcPr>
            <w:tcW w:w="757" w:type="dxa"/>
            <w:vAlign w:val="center"/>
          </w:tcPr>
          <w:p>
            <w:pPr>
              <w:jc w:val="center"/>
              <w:rPr>
                <w:color w:val="auto"/>
                <w:sz w:val="21"/>
                <w:szCs w:val="21"/>
              </w:rPr>
            </w:pPr>
            <w:r>
              <w:rPr>
                <w:rFonts w:hint="eastAsia"/>
                <w:color w:val="auto"/>
                <w:sz w:val="21"/>
                <w:szCs w:val="21"/>
              </w:rPr>
              <w:t>2套</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60.6</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进料螺杆泵</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细格栅及曝气沉砂池</w:t>
            </w:r>
          </w:p>
        </w:tc>
        <w:tc>
          <w:tcPr>
            <w:tcW w:w="874" w:type="dxa"/>
            <w:vMerge w:val="restart"/>
            <w:vAlign w:val="center"/>
          </w:tcPr>
          <w:p>
            <w:pPr>
              <w:jc w:val="center"/>
              <w:rPr>
                <w:rFonts w:hAnsi="宋体"/>
                <w:color w:val="auto"/>
                <w:sz w:val="21"/>
                <w:szCs w:val="21"/>
              </w:rPr>
            </w:pPr>
            <w:r>
              <w:rPr>
                <w:color w:val="auto"/>
                <w:kern w:val="0"/>
                <w:sz w:val="21"/>
                <w:szCs w:val="21"/>
              </w:rPr>
              <w:t>1560</w:t>
            </w:r>
          </w:p>
        </w:tc>
        <w:tc>
          <w:tcPr>
            <w:tcW w:w="803" w:type="dxa"/>
            <w:vMerge w:val="restart"/>
            <w:vAlign w:val="center"/>
          </w:tcPr>
          <w:p>
            <w:pPr>
              <w:jc w:val="center"/>
              <w:rPr>
                <w:rFonts w:hAnsi="宋体"/>
                <w:color w:val="auto"/>
                <w:sz w:val="21"/>
                <w:szCs w:val="21"/>
              </w:rPr>
            </w:pPr>
            <w:r>
              <w:rPr>
                <w:color w:val="auto"/>
                <w:kern w:val="0"/>
                <w:sz w:val="21"/>
                <w:szCs w:val="21"/>
              </w:rPr>
              <w:t>5.5</w:t>
            </w:r>
          </w:p>
        </w:tc>
        <w:tc>
          <w:tcPr>
            <w:tcW w:w="1417" w:type="dxa"/>
            <w:vAlign w:val="center"/>
          </w:tcPr>
          <w:p>
            <w:pPr>
              <w:jc w:val="center"/>
              <w:rPr>
                <w:color w:val="auto"/>
                <w:sz w:val="21"/>
                <w:szCs w:val="21"/>
              </w:rPr>
            </w:pPr>
            <w:r>
              <w:rPr>
                <w:rFonts w:hAnsi="宋体"/>
                <w:color w:val="auto"/>
                <w:sz w:val="21"/>
                <w:szCs w:val="21"/>
              </w:rPr>
              <w:t>无轴螺旋输送压榨机</w:t>
            </w:r>
          </w:p>
        </w:tc>
        <w:tc>
          <w:tcPr>
            <w:tcW w:w="75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jc w:val="center"/>
              <w:rPr>
                <w:color w:val="auto"/>
                <w:sz w:val="21"/>
                <w:szCs w:val="21"/>
              </w:rPr>
            </w:pPr>
            <w:r>
              <w:rPr>
                <w:rFonts w:hint="eastAsia"/>
                <w:color w:val="auto"/>
                <w:sz w:val="21"/>
                <w:szCs w:val="21"/>
              </w:rPr>
              <w:t>54.4</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保压螺杆泵</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转子吸砂泵</w:t>
            </w:r>
          </w:p>
        </w:tc>
        <w:tc>
          <w:tcPr>
            <w:tcW w:w="757"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59.4</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压榨用多级离心泵</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罗茨鼓风机</w:t>
            </w:r>
          </w:p>
        </w:tc>
        <w:tc>
          <w:tcPr>
            <w:tcW w:w="75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85</w:t>
            </w:r>
          </w:p>
        </w:tc>
        <w:tc>
          <w:tcPr>
            <w:tcW w:w="1134" w:type="dxa"/>
            <w:vAlign w:val="center"/>
          </w:tcPr>
          <w:p>
            <w:pPr>
              <w:jc w:val="center"/>
              <w:rPr>
                <w:color w:val="auto"/>
                <w:sz w:val="21"/>
                <w:szCs w:val="21"/>
              </w:rPr>
            </w:pPr>
            <w:r>
              <w:rPr>
                <w:rFonts w:hint="eastAsia"/>
                <w:color w:val="auto"/>
                <w:sz w:val="21"/>
                <w:szCs w:val="21"/>
              </w:rPr>
              <w:t>64.4</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高压冲洗泵</w:t>
            </w:r>
          </w:p>
        </w:tc>
        <w:tc>
          <w:tcPr>
            <w:tcW w:w="709" w:type="dxa"/>
            <w:vAlign w:val="center"/>
          </w:tcPr>
          <w:p>
            <w:pPr>
              <w:jc w:val="center"/>
              <w:rPr>
                <w:color w:val="auto"/>
                <w:sz w:val="21"/>
                <w:szCs w:val="21"/>
              </w:rPr>
            </w:pPr>
            <w:r>
              <w:rPr>
                <w:rFonts w:hint="eastAsia"/>
                <w:color w:val="auto"/>
                <w:sz w:val="21"/>
                <w:szCs w:val="21"/>
              </w:rPr>
              <w:t>1套</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Ansi="宋体"/>
                <w:color w:val="auto"/>
                <w:sz w:val="21"/>
                <w:szCs w:val="21"/>
              </w:rPr>
              <w:t>应急沉淀池</w:t>
            </w:r>
          </w:p>
        </w:tc>
        <w:tc>
          <w:tcPr>
            <w:tcW w:w="874" w:type="dxa"/>
            <w:vAlign w:val="center"/>
          </w:tcPr>
          <w:p>
            <w:pPr>
              <w:jc w:val="center"/>
              <w:rPr>
                <w:rFonts w:hAnsi="宋体"/>
                <w:color w:val="auto"/>
                <w:sz w:val="21"/>
                <w:szCs w:val="21"/>
              </w:rPr>
            </w:pPr>
            <w:r>
              <w:rPr>
                <w:color w:val="auto"/>
                <w:kern w:val="0"/>
                <w:sz w:val="21"/>
                <w:szCs w:val="21"/>
              </w:rPr>
              <w:t>1836</w:t>
            </w:r>
          </w:p>
        </w:tc>
        <w:tc>
          <w:tcPr>
            <w:tcW w:w="803" w:type="dxa"/>
            <w:vAlign w:val="center"/>
          </w:tcPr>
          <w:p>
            <w:pPr>
              <w:jc w:val="center"/>
              <w:rPr>
                <w:rFonts w:hAnsi="宋体"/>
                <w:color w:val="auto"/>
                <w:sz w:val="21"/>
                <w:szCs w:val="21"/>
              </w:rPr>
            </w:pPr>
            <w:r>
              <w:rPr>
                <w:color w:val="auto"/>
                <w:kern w:val="0"/>
                <w:sz w:val="21"/>
                <w:szCs w:val="21"/>
              </w:rPr>
              <w:t>6</w:t>
            </w:r>
          </w:p>
        </w:tc>
        <w:tc>
          <w:tcPr>
            <w:tcW w:w="1417" w:type="dxa"/>
            <w:vAlign w:val="center"/>
          </w:tcPr>
          <w:p>
            <w:pPr>
              <w:jc w:val="center"/>
              <w:rPr>
                <w:color w:val="auto"/>
                <w:sz w:val="21"/>
                <w:szCs w:val="21"/>
              </w:rPr>
            </w:pPr>
            <w:r>
              <w:rPr>
                <w:rFonts w:hAnsi="宋体"/>
                <w:color w:val="auto"/>
                <w:sz w:val="21"/>
                <w:szCs w:val="21"/>
              </w:rPr>
              <w:t>初沉污泥转子泵</w:t>
            </w:r>
          </w:p>
        </w:tc>
        <w:tc>
          <w:tcPr>
            <w:tcW w:w="757" w:type="dxa"/>
            <w:vAlign w:val="center"/>
          </w:tcPr>
          <w:p>
            <w:pPr>
              <w:jc w:val="center"/>
              <w:rPr>
                <w:color w:val="auto"/>
                <w:sz w:val="21"/>
                <w:szCs w:val="21"/>
              </w:rPr>
            </w:pPr>
            <w:r>
              <w:rPr>
                <w:rFonts w:hint="eastAsia"/>
                <w:color w:val="auto"/>
                <w:sz w:val="21"/>
                <w:szCs w:val="21"/>
              </w:rPr>
              <w:t>1套</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58.6</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空压机</w:t>
            </w:r>
          </w:p>
        </w:tc>
        <w:tc>
          <w:tcPr>
            <w:tcW w:w="709" w:type="dxa"/>
            <w:vAlign w:val="center"/>
          </w:tcPr>
          <w:p>
            <w:pPr>
              <w:jc w:val="center"/>
              <w:rPr>
                <w:color w:val="auto"/>
                <w:sz w:val="21"/>
                <w:szCs w:val="21"/>
              </w:rPr>
            </w:pPr>
            <w:r>
              <w:rPr>
                <w:rFonts w:hint="eastAsia"/>
                <w:color w:val="auto"/>
                <w:sz w:val="21"/>
                <w:szCs w:val="21"/>
              </w:rPr>
              <w:t>2套</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生物反应池</w:t>
            </w:r>
          </w:p>
        </w:tc>
        <w:tc>
          <w:tcPr>
            <w:tcW w:w="874" w:type="dxa"/>
            <w:vMerge w:val="restart"/>
            <w:vAlign w:val="center"/>
          </w:tcPr>
          <w:p>
            <w:pPr>
              <w:jc w:val="center"/>
              <w:rPr>
                <w:rFonts w:hAnsi="宋体"/>
                <w:color w:val="auto"/>
                <w:sz w:val="21"/>
                <w:szCs w:val="21"/>
              </w:rPr>
            </w:pPr>
            <w:r>
              <w:rPr>
                <w:color w:val="auto"/>
                <w:kern w:val="0"/>
                <w:sz w:val="21"/>
                <w:szCs w:val="21"/>
              </w:rPr>
              <w:t>7202.5</w:t>
            </w:r>
          </w:p>
        </w:tc>
        <w:tc>
          <w:tcPr>
            <w:tcW w:w="803" w:type="dxa"/>
            <w:vMerge w:val="restart"/>
            <w:vAlign w:val="center"/>
          </w:tcPr>
          <w:p>
            <w:pPr>
              <w:jc w:val="center"/>
              <w:rPr>
                <w:rFonts w:hAnsi="宋体"/>
                <w:color w:val="auto"/>
                <w:sz w:val="21"/>
                <w:szCs w:val="21"/>
              </w:rPr>
            </w:pPr>
            <w:r>
              <w:rPr>
                <w:color w:val="auto"/>
                <w:kern w:val="0"/>
                <w:sz w:val="21"/>
                <w:szCs w:val="21"/>
              </w:rPr>
              <w:t>21.25</w:t>
            </w:r>
          </w:p>
        </w:tc>
        <w:tc>
          <w:tcPr>
            <w:tcW w:w="1417" w:type="dxa"/>
            <w:vAlign w:val="center"/>
          </w:tcPr>
          <w:p>
            <w:pPr>
              <w:jc w:val="center"/>
              <w:rPr>
                <w:color w:val="auto"/>
                <w:sz w:val="21"/>
                <w:szCs w:val="21"/>
              </w:rPr>
            </w:pPr>
            <w:r>
              <w:rPr>
                <w:rFonts w:hAnsi="宋体"/>
                <w:color w:val="auto"/>
                <w:sz w:val="21"/>
                <w:szCs w:val="21"/>
              </w:rPr>
              <w:t>垂直水翼搅拌机</w:t>
            </w:r>
          </w:p>
        </w:tc>
        <w:tc>
          <w:tcPr>
            <w:tcW w:w="757" w:type="dxa"/>
            <w:vAlign w:val="center"/>
          </w:tcPr>
          <w:p>
            <w:pPr>
              <w:jc w:val="center"/>
              <w:rPr>
                <w:color w:val="auto"/>
                <w:sz w:val="21"/>
                <w:szCs w:val="21"/>
              </w:rPr>
            </w:pPr>
            <w:r>
              <w:rPr>
                <w:color w:val="auto"/>
                <w:sz w:val="21"/>
                <w:szCs w:val="21"/>
              </w:rPr>
              <w:t>6</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jc w:val="center"/>
              <w:rPr>
                <w:color w:val="auto"/>
                <w:sz w:val="21"/>
                <w:szCs w:val="21"/>
              </w:rPr>
            </w:pPr>
            <w:r>
              <w:rPr>
                <w:rFonts w:hint="eastAsia"/>
                <w:color w:val="auto"/>
                <w:sz w:val="21"/>
                <w:szCs w:val="21"/>
              </w:rPr>
              <w:t>46.7</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存水泵</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内回流泵</w:t>
            </w:r>
          </w:p>
        </w:tc>
        <w:tc>
          <w:tcPr>
            <w:tcW w:w="757" w:type="dxa"/>
            <w:vAlign w:val="center"/>
          </w:tcPr>
          <w:p>
            <w:pPr>
              <w:jc w:val="center"/>
              <w:rPr>
                <w:color w:val="auto"/>
                <w:sz w:val="21"/>
                <w:szCs w:val="21"/>
              </w:rPr>
            </w:pPr>
            <w:r>
              <w:rPr>
                <w:rFonts w:hint="eastAsia"/>
                <w:color w:val="auto"/>
                <w:sz w:val="21"/>
                <w:szCs w:val="21"/>
              </w:rPr>
              <w:t>4台</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51.7</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加药稀释水泵</w:t>
            </w:r>
          </w:p>
        </w:tc>
        <w:tc>
          <w:tcPr>
            <w:tcW w:w="709"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Ansi="宋体"/>
                <w:color w:val="auto"/>
                <w:sz w:val="21"/>
                <w:szCs w:val="21"/>
              </w:rPr>
              <w:t>二沉池</w:t>
            </w:r>
          </w:p>
        </w:tc>
        <w:tc>
          <w:tcPr>
            <w:tcW w:w="874" w:type="dxa"/>
            <w:vAlign w:val="center"/>
          </w:tcPr>
          <w:p>
            <w:pPr>
              <w:jc w:val="center"/>
              <w:rPr>
                <w:rFonts w:hAnsi="宋体"/>
                <w:color w:val="auto"/>
                <w:sz w:val="21"/>
                <w:szCs w:val="21"/>
              </w:rPr>
            </w:pPr>
            <w:r>
              <w:rPr>
                <w:color w:val="auto"/>
                <w:kern w:val="0"/>
                <w:sz w:val="21"/>
                <w:szCs w:val="21"/>
              </w:rPr>
              <w:t>2520</w:t>
            </w:r>
          </w:p>
        </w:tc>
        <w:tc>
          <w:tcPr>
            <w:tcW w:w="803" w:type="dxa"/>
            <w:vAlign w:val="center"/>
          </w:tcPr>
          <w:p>
            <w:pPr>
              <w:jc w:val="center"/>
              <w:rPr>
                <w:rFonts w:hAnsi="宋体"/>
                <w:color w:val="auto"/>
                <w:sz w:val="21"/>
                <w:szCs w:val="21"/>
              </w:rPr>
            </w:pPr>
            <w:r>
              <w:rPr>
                <w:color w:val="auto"/>
                <w:kern w:val="0"/>
                <w:sz w:val="21"/>
                <w:szCs w:val="21"/>
              </w:rPr>
              <w:t>15</w:t>
            </w:r>
          </w:p>
        </w:tc>
        <w:tc>
          <w:tcPr>
            <w:tcW w:w="1417" w:type="dxa"/>
            <w:vAlign w:val="center"/>
          </w:tcPr>
          <w:p>
            <w:pPr>
              <w:jc w:val="center"/>
              <w:rPr>
                <w:color w:val="auto"/>
                <w:sz w:val="21"/>
                <w:szCs w:val="21"/>
              </w:rPr>
            </w:pPr>
            <w:r>
              <w:rPr>
                <w:rFonts w:hAnsi="宋体"/>
                <w:color w:val="auto"/>
                <w:sz w:val="21"/>
                <w:szCs w:val="21"/>
              </w:rPr>
              <w:t>中心传动单管吸泥机</w:t>
            </w:r>
          </w:p>
        </w:tc>
        <w:tc>
          <w:tcPr>
            <w:tcW w:w="757" w:type="dxa"/>
            <w:vAlign w:val="center"/>
          </w:tcPr>
          <w:p>
            <w:pPr>
              <w:jc w:val="center"/>
              <w:rPr>
                <w:color w:val="auto"/>
                <w:sz w:val="21"/>
                <w:szCs w:val="21"/>
              </w:rPr>
            </w:pPr>
            <w:r>
              <w:rPr>
                <w:color w:val="auto"/>
                <w:sz w:val="21"/>
                <w:szCs w:val="21"/>
              </w:rPr>
              <w:t>2</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jc w:val="center"/>
              <w:rPr>
                <w:color w:val="auto"/>
                <w:sz w:val="21"/>
                <w:szCs w:val="21"/>
              </w:rPr>
            </w:pPr>
            <w:r>
              <w:rPr>
                <w:rFonts w:hint="eastAsia"/>
                <w:color w:val="auto"/>
                <w:sz w:val="21"/>
                <w:szCs w:val="21"/>
              </w:rPr>
              <w:t>51.1</w:t>
            </w:r>
          </w:p>
        </w:tc>
        <w:tc>
          <w:tcPr>
            <w:tcW w:w="709" w:type="dxa"/>
            <w:vMerge w:val="continue"/>
            <w:vAlign w:val="center"/>
          </w:tcPr>
          <w:p>
            <w:pPr>
              <w:jc w:val="center"/>
              <w:rPr>
                <w:color w:val="auto"/>
                <w:sz w:val="21"/>
                <w:szCs w:val="21"/>
              </w:rPr>
            </w:pPr>
          </w:p>
        </w:tc>
        <w:tc>
          <w:tcPr>
            <w:tcW w:w="850" w:type="dxa"/>
            <w:vMerge w:val="continue"/>
            <w:vAlign w:val="center"/>
          </w:tcPr>
          <w:p>
            <w:pPr>
              <w:adjustRightInd w:val="0"/>
              <w:snapToGrid w:val="0"/>
              <w:jc w:val="center"/>
              <w:rPr>
                <w:rFonts w:hAnsi="宋体"/>
                <w:color w:val="auto"/>
                <w:sz w:val="21"/>
                <w:szCs w:val="21"/>
              </w:rPr>
            </w:pPr>
          </w:p>
        </w:tc>
        <w:tc>
          <w:tcPr>
            <w:tcW w:w="709" w:type="dxa"/>
            <w:vMerge w:val="continue"/>
            <w:vAlign w:val="center"/>
          </w:tcPr>
          <w:p>
            <w:pPr>
              <w:adjustRightInd w:val="0"/>
              <w:snapToGrid w:val="0"/>
              <w:jc w:val="center"/>
              <w:rPr>
                <w:rFonts w:hAnsi="宋体"/>
                <w:color w:val="auto"/>
                <w:sz w:val="21"/>
                <w:szCs w:val="21"/>
              </w:rPr>
            </w:pPr>
          </w:p>
        </w:tc>
        <w:tc>
          <w:tcPr>
            <w:tcW w:w="1984" w:type="dxa"/>
            <w:vAlign w:val="center"/>
          </w:tcPr>
          <w:p>
            <w:pPr>
              <w:adjustRightInd w:val="0"/>
              <w:snapToGrid w:val="0"/>
              <w:jc w:val="center"/>
              <w:rPr>
                <w:color w:val="auto"/>
                <w:sz w:val="21"/>
                <w:szCs w:val="21"/>
              </w:rPr>
            </w:pPr>
            <w:r>
              <w:rPr>
                <w:rFonts w:hAnsi="宋体"/>
                <w:color w:val="auto"/>
                <w:sz w:val="21"/>
                <w:szCs w:val="21"/>
              </w:rPr>
              <w:t>絮凝投加泵</w:t>
            </w:r>
          </w:p>
        </w:tc>
        <w:tc>
          <w:tcPr>
            <w:tcW w:w="709" w:type="dxa"/>
            <w:vAlign w:val="center"/>
          </w:tcPr>
          <w:p>
            <w:pPr>
              <w:adjustRightInd w:val="0"/>
              <w:snapToGrid w:val="0"/>
              <w:jc w:val="center"/>
              <w:rPr>
                <w:color w:val="auto"/>
                <w:sz w:val="21"/>
                <w:szCs w:val="21"/>
              </w:rPr>
            </w:pPr>
            <w:r>
              <w:rPr>
                <w:rFonts w:hint="eastAsia"/>
                <w:color w:val="auto"/>
                <w:sz w:val="21"/>
                <w:szCs w:val="21"/>
              </w:rPr>
              <w:t>1台</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中间提升泵房</w:t>
            </w:r>
          </w:p>
        </w:tc>
        <w:tc>
          <w:tcPr>
            <w:tcW w:w="874" w:type="dxa"/>
            <w:vAlign w:val="center"/>
          </w:tcPr>
          <w:p>
            <w:pPr>
              <w:adjustRightInd w:val="0"/>
              <w:snapToGrid w:val="0"/>
              <w:jc w:val="center"/>
              <w:rPr>
                <w:color w:val="auto"/>
                <w:sz w:val="21"/>
                <w:szCs w:val="21"/>
              </w:rPr>
            </w:pPr>
            <w:r>
              <w:rPr>
                <w:color w:val="auto"/>
                <w:kern w:val="0"/>
                <w:sz w:val="21"/>
                <w:szCs w:val="21"/>
              </w:rPr>
              <w:t>5736</w:t>
            </w:r>
          </w:p>
        </w:tc>
        <w:tc>
          <w:tcPr>
            <w:tcW w:w="803" w:type="dxa"/>
            <w:vAlign w:val="center"/>
          </w:tcPr>
          <w:p>
            <w:pPr>
              <w:adjustRightInd w:val="0"/>
              <w:snapToGrid w:val="0"/>
              <w:jc w:val="center"/>
              <w:rPr>
                <w:color w:val="auto"/>
                <w:sz w:val="21"/>
                <w:szCs w:val="21"/>
              </w:rPr>
            </w:pPr>
            <w:r>
              <w:rPr>
                <w:color w:val="auto"/>
                <w:kern w:val="0"/>
                <w:sz w:val="21"/>
                <w:szCs w:val="21"/>
              </w:rPr>
              <w:t>19</w:t>
            </w:r>
          </w:p>
        </w:tc>
        <w:tc>
          <w:tcPr>
            <w:tcW w:w="1417" w:type="dxa"/>
            <w:vAlign w:val="center"/>
          </w:tcPr>
          <w:p>
            <w:pPr>
              <w:adjustRightInd w:val="0"/>
              <w:snapToGrid w:val="0"/>
              <w:jc w:val="center"/>
              <w:rPr>
                <w:color w:val="auto"/>
                <w:sz w:val="21"/>
                <w:szCs w:val="21"/>
              </w:rPr>
            </w:pPr>
            <w:r>
              <w:rPr>
                <w:rFonts w:hint="eastAsia"/>
                <w:color w:val="auto"/>
                <w:sz w:val="21"/>
                <w:szCs w:val="21"/>
              </w:rPr>
              <w:t>潜水离心泵</w:t>
            </w:r>
          </w:p>
        </w:tc>
        <w:tc>
          <w:tcPr>
            <w:tcW w:w="757" w:type="dxa"/>
            <w:vAlign w:val="center"/>
          </w:tcPr>
          <w:p>
            <w:pPr>
              <w:adjustRightInd w:val="0"/>
              <w:snapToGrid w:val="0"/>
              <w:jc w:val="center"/>
              <w:rPr>
                <w:color w:val="auto"/>
                <w:sz w:val="21"/>
                <w:szCs w:val="21"/>
              </w:rPr>
            </w:pPr>
            <w:r>
              <w:rPr>
                <w:rFonts w:hint="eastAsia"/>
                <w:color w:val="auto"/>
                <w:sz w:val="21"/>
                <w:szCs w:val="21"/>
              </w:rPr>
              <w:t>3套</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continue"/>
            <w:vAlign w:val="center"/>
          </w:tcPr>
          <w:p>
            <w:pPr>
              <w:jc w:val="center"/>
              <w:rPr>
                <w:color w:val="auto"/>
                <w:sz w:val="21"/>
                <w:szCs w:val="21"/>
              </w:rPr>
            </w:pPr>
          </w:p>
        </w:tc>
        <w:tc>
          <w:tcPr>
            <w:tcW w:w="850" w:type="dxa"/>
            <w:vMerge w:val="continue"/>
            <w:vAlign w:val="center"/>
          </w:tcPr>
          <w:p>
            <w:pPr>
              <w:adjustRightInd w:val="0"/>
              <w:snapToGrid w:val="0"/>
              <w:jc w:val="center"/>
              <w:rPr>
                <w:rFonts w:hAnsi="宋体"/>
                <w:color w:val="auto"/>
                <w:sz w:val="21"/>
                <w:szCs w:val="21"/>
              </w:rPr>
            </w:pPr>
          </w:p>
        </w:tc>
        <w:tc>
          <w:tcPr>
            <w:tcW w:w="709" w:type="dxa"/>
            <w:vMerge w:val="continue"/>
            <w:vAlign w:val="center"/>
          </w:tcPr>
          <w:p>
            <w:pPr>
              <w:adjustRightInd w:val="0"/>
              <w:snapToGrid w:val="0"/>
              <w:jc w:val="center"/>
              <w:rPr>
                <w:rFonts w:hAnsi="宋体"/>
                <w:color w:val="auto"/>
                <w:sz w:val="21"/>
                <w:szCs w:val="21"/>
              </w:rPr>
            </w:pPr>
          </w:p>
        </w:tc>
        <w:tc>
          <w:tcPr>
            <w:tcW w:w="1984" w:type="dxa"/>
            <w:vAlign w:val="center"/>
          </w:tcPr>
          <w:p>
            <w:pPr>
              <w:adjustRightInd w:val="0"/>
              <w:snapToGrid w:val="0"/>
              <w:jc w:val="center"/>
              <w:rPr>
                <w:color w:val="auto"/>
                <w:sz w:val="21"/>
                <w:szCs w:val="21"/>
              </w:rPr>
            </w:pPr>
            <w:r>
              <w:rPr>
                <w:rFonts w:hAnsi="宋体"/>
                <w:color w:val="auto"/>
                <w:sz w:val="21"/>
                <w:szCs w:val="21"/>
              </w:rPr>
              <w:t>除臭风机</w:t>
            </w:r>
          </w:p>
        </w:tc>
        <w:tc>
          <w:tcPr>
            <w:tcW w:w="709" w:type="dxa"/>
            <w:vAlign w:val="center"/>
          </w:tcPr>
          <w:p>
            <w:pPr>
              <w:adjustRightInd w:val="0"/>
              <w:snapToGrid w:val="0"/>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adjustRightInd w:val="0"/>
              <w:snapToGrid w:val="0"/>
              <w:jc w:val="center"/>
              <w:rPr>
                <w:color w:val="auto"/>
                <w:sz w:val="21"/>
                <w:szCs w:val="21"/>
              </w:rPr>
            </w:pPr>
            <w:r>
              <w:rPr>
                <w:rFonts w:hint="eastAsia"/>
                <w:color w:val="auto"/>
                <w:sz w:val="21"/>
                <w:szCs w:val="21"/>
              </w:rPr>
              <w:t>85</w:t>
            </w:r>
          </w:p>
        </w:tc>
        <w:tc>
          <w:tcPr>
            <w:tcW w:w="1121" w:type="dxa"/>
            <w:vAlign w:val="center"/>
          </w:tcPr>
          <w:p>
            <w:pPr>
              <w:adjustRightInd w:val="0"/>
              <w:snapToGrid w:val="0"/>
              <w:jc w:val="center"/>
              <w:rPr>
                <w:color w:val="auto"/>
                <w:sz w:val="21"/>
                <w:szCs w:val="21"/>
              </w:rPr>
            </w:pPr>
            <w:r>
              <w:rPr>
                <w:rFonts w:hint="eastAsia"/>
                <w:color w:val="auto"/>
                <w:sz w:val="21"/>
                <w:szCs w:val="21"/>
              </w:rPr>
              <w:t>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int="eastAsia"/>
                <w:color w:val="auto"/>
                <w:sz w:val="21"/>
                <w:szCs w:val="21"/>
              </w:rPr>
              <w:t>反冲洗废水池</w:t>
            </w:r>
          </w:p>
        </w:tc>
        <w:tc>
          <w:tcPr>
            <w:tcW w:w="874" w:type="dxa"/>
            <w:vMerge w:val="restart"/>
            <w:vAlign w:val="center"/>
          </w:tcPr>
          <w:p>
            <w:pPr>
              <w:adjustRightInd w:val="0"/>
              <w:snapToGrid w:val="0"/>
              <w:jc w:val="center"/>
              <w:rPr>
                <w:color w:val="auto"/>
                <w:sz w:val="21"/>
                <w:szCs w:val="21"/>
              </w:rPr>
            </w:pPr>
            <w:r>
              <w:rPr>
                <w:color w:val="auto"/>
                <w:kern w:val="0"/>
                <w:sz w:val="21"/>
                <w:szCs w:val="21"/>
              </w:rPr>
              <w:t>423.9</w:t>
            </w:r>
          </w:p>
        </w:tc>
        <w:tc>
          <w:tcPr>
            <w:tcW w:w="803" w:type="dxa"/>
            <w:vMerge w:val="restart"/>
            <w:vAlign w:val="center"/>
          </w:tcPr>
          <w:p>
            <w:pPr>
              <w:adjustRightInd w:val="0"/>
              <w:snapToGrid w:val="0"/>
              <w:jc w:val="center"/>
              <w:rPr>
                <w:color w:val="auto"/>
                <w:sz w:val="21"/>
                <w:szCs w:val="21"/>
              </w:rPr>
            </w:pPr>
            <w:r>
              <w:rPr>
                <w:color w:val="auto"/>
                <w:kern w:val="0"/>
                <w:sz w:val="21"/>
                <w:szCs w:val="21"/>
              </w:rPr>
              <w:t>4.25</w:t>
            </w:r>
          </w:p>
        </w:tc>
        <w:tc>
          <w:tcPr>
            <w:tcW w:w="1417" w:type="dxa"/>
            <w:vAlign w:val="center"/>
          </w:tcPr>
          <w:p>
            <w:pPr>
              <w:adjustRightInd w:val="0"/>
              <w:snapToGrid w:val="0"/>
              <w:jc w:val="center"/>
              <w:rPr>
                <w:color w:val="auto"/>
                <w:sz w:val="21"/>
                <w:szCs w:val="21"/>
              </w:rPr>
            </w:pPr>
            <w:r>
              <w:rPr>
                <w:rFonts w:hint="eastAsia"/>
                <w:color w:val="auto"/>
                <w:sz w:val="21"/>
                <w:szCs w:val="21"/>
              </w:rPr>
              <w:t>潜水搅拌器</w:t>
            </w:r>
          </w:p>
        </w:tc>
        <w:tc>
          <w:tcPr>
            <w:tcW w:w="757" w:type="dxa"/>
            <w:vAlign w:val="center"/>
          </w:tcPr>
          <w:p>
            <w:pPr>
              <w:adjustRightInd w:val="0"/>
              <w:snapToGrid w:val="0"/>
              <w:jc w:val="center"/>
              <w:rPr>
                <w:color w:val="auto"/>
                <w:sz w:val="21"/>
                <w:szCs w:val="21"/>
              </w:rPr>
            </w:pPr>
            <w:r>
              <w:rPr>
                <w:rFonts w:hint="eastAsia"/>
                <w:color w:val="auto"/>
                <w:sz w:val="21"/>
                <w:szCs w:val="21"/>
              </w:rPr>
              <w:t>2套</w:t>
            </w:r>
          </w:p>
        </w:tc>
        <w:tc>
          <w:tcPr>
            <w:tcW w:w="709" w:type="dxa"/>
            <w:vAlign w:val="center"/>
          </w:tcPr>
          <w:p>
            <w:pPr>
              <w:adjustRightInd w:val="0"/>
              <w:snapToGrid w:val="0"/>
              <w:jc w:val="center"/>
              <w:rPr>
                <w:color w:val="auto"/>
                <w:sz w:val="21"/>
                <w:szCs w:val="21"/>
              </w:rPr>
            </w:pPr>
            <w:r>
              <w:rPr>
                <w:rFonts w:hint="eastAsia"/>
                <w:color w:val="auto"/>
                <w:sz w:val="21"/>
                <w:szCs w:val="21"/>
              </w:rPr>
              <w:t>75</w:t>
            </w:r>
          </w:p>
        </w:tc>
        <w:tc>
          <w:tcPr>
            <w:tcW w:w="1134" w:type="dxa"/>
            <w:vAlign w:val="center"/>
          </w:tcPr>
          <w:p>
            <w:pPr>
              <w:jc w:val="center"/>
              <w:rPr>
                <w:color w:val="auto"/>
                <w:sz w:val="21"/>
                <w:szCs w:val="21"/>
              </w:rPr>
            </w:pPr>
            <w:r>
              <w:rPr>
                <w:rFonts w:hint="eastAsia"/>
                <w:color w:val="auto"/>
                <w:sz w:val="21"/>
                <w:szCs w:val="21"/>
              </w:rPr>
              <w:t>59.2</w:t>
            </w:r>
          </w:p>
        </w:tc>
        <w:tc>
          <w:tcPr>
            <w:tcW w:w="709" w:type="dxa"/>
            <w:vMerge w:val="continue"/>
            <w:vAlign w:val="center"/>
          </w:tcPr>
          <w:p>
            <w:pPr>
              <w:jc w:val="center"/>
              <w:rPr>
                <w:color w:val="auto"/>
                <w:sz w:val="21"/>
                <w:szCs w:val="21"/>
              </w:rPr>
            </w:pPr>
          </w:p>
        </w:tc>
        <w:tc>
          <w:tcPr>
            <w:tcW w:w="850" w:type="dxa"/>
            <w:vMerge w:val="continue"/>
            <w:vAlign w:val="center"/>
          </w:tcPr>
          <w:p>
            <w:pPr>
              <w:adjustRightInd w:val="0"/>
              <w:snapToGrid w:val="0"/>
              <w:jc w:val="center"/>
              <w:rPr>
                <w:rFonts w:hAnsi="宋体"/>
                <w:color w:val="auto"/>
                <w:sz w:val="21"/>
                <w:szCs w:val="21"/>
              </w:rPr>
            </w:pPr>
          </w:p>
        </w:tc>
        <w:tc>
          <w:tcPr>
            <w:tcW w:w="709" w:type="dxa"/>
            <w:vMerge w:val="continue"/>
            <w:vAlign w:val="center"/>
          </w:tcPr>
          <w:p>
            <w:pPr>
              <w:adjustRightInd w:val="0"/>
              <w:snapToGrid w:val="0"/>
              <w:jc w:val="center"/>
              <w:rPr>
                <w:rFonts w:hAnsi="宋体"/>
                <w:color w:val="auto"/>
                <w:sz w:val="21"/>
                <w:szCs w:val="21"/>
              </w:rPr>
            </w:pPr>
          </w:p>
        </w:tc>
        <w:tc>
          <w:tcPr>
            <w:tcW w:w="1984" w:type="dxa"/>
            <w:vAlign w:val="center"/>
          </w:tcPr>
          <w:p>
            <w:pPr>
              <w:adjustRightInd w:val="0"/>
              <w:snapToGrid w:val="0"/>
              <w:jc w:val="center"/>
              <w:rPr>
                <w:color w:val="auto"/>
                <w:sz w:val="21"/>
                <w:szCs w:val="21"/>
              </w:rPr>
            </w:pPr>
            <w:r>
              <w:rPr>
                <w:rFonts w:hAnsi="宋体"/>
                <w:color w:val="auto"/>
                <w:sz w:val="21"/>
                <w:szCs w:val="21"/>
              </w:rPr>
              <w:t>散水泵</w:t>
            </w:r>
          </w:p>
        </w:tc>
        <w:tc>
          <w:tcPr>
            <w:tcW w:w="709" w:type="dxa"/>
            <w:vAlign w:val="center"/>
          </w:tcPr>
          <w:p>
            <w:pPr>
              <w:adjustRightInd w:val="0"/>
              <w:snapToGrid w:val="0"/>
              <w:jc w:val="center"/>
              <w:rPr>
                <w:color w:val="auto"/>
                <w:sz w:val="21"/>
                <w:szCs w:val="21"/>
              </w:rPr>
            </w:pPr>
            <w:r>
              <w:rPr>
                <w:rFonts w:hint="eastAsia"/>
                <w:color w:val="auto"/>
                <w:sz w:val="21"/>
                <w:szCs w:val="21"/>
              </w:rPr>
              <w:t>1台</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adjustRightInd w:val="0"/>
              <w:snapToGrid w:val="0"/>
              <w:jc w:val="center"/>
              <w:rPr>
                <w:color w:val="auto"/>
                <w:sz w:val="21"/>
                <w:szCs w:val="21"/>
              </w:rPr>
            </w:pPr>
          </w:p>
        </w:tc>
        <w:tc>
          <w:tcPr>
            <w:tcW w:w="803" w:type="dxa"/>
            <w:vMerge w:val="continue"/>
            <w:vAlign w:val="center"/>
          </w:tcPr>
          <w:p>
            <w:pPr>
              <w:adjustRightInd w:val="0"/>
              <w:snapToGrid w:val="0"/>
              <w:jc w:val="center"/>
              <w:rPr>
                <w:color w:val="auto"/>
                <w:sz w:val="21"/>
                <w:szCs w:val="21"/>
              </w:rPr>
            </w:pPr>
          </w:p>
        </w:tc>
        <w:tc>
          <w:tcPr>
            <w:tcW w:w="1417" w:type="dxa"/>
            <w:vAlign w:val="center"/>
          </w:tcPr>
          <w:p>
            <w:pPr>
              <w:adjustRightInd w:val="0"/>
              <w:snapToGrid w:val="0"/>
              <w:jc w:val="center"/>
              <w:rPr>
                <w:color w:val="auto"/>
                <w:sz w:val="21"/>
                <w:szCs w:val="21"/>
              </w:rPr>
            </w:pPr>
            <w:r>
              <w:rPr>
                <w:rFonts w:hint="eastAsia"/>
                <w:color w:val="auto"/>
                <w:sz w:val="21"/>
                <w:szCs w:val="21"/>
              </w:rPr>
              <w:t>潜水轴流泵</w:t>
            </w:r>
          </w:p>
        </w:tc>
        <w:tc>
          <w:tcPr>
            <w:tcW w:w="757" w:type="dxa"/>
            <w:vAlign w:val="center"/>
          </w:tcPr>
          <w:p>
            <w:pPr>
              <w:adjustRightInd w:val="0"/>
              <w:snapToGrid w:val="0"/>
              <w:jc w:val="center"/>
              <w:rPr>
                <w:color w:val="auto"/>
                <w:sz w:val="21"/>
                <w:szCs w:val="21"/>
              </w:rPr>
            </w:pPr>
            <w:r>
              <w:rPr>
                <w:rFonts w:hint="eastAsia"/>
                <w:color w:val="auto"/>
                <w:sz w:val="21"/>
                <w:szCs w:val="21"/>
              </w:rPr>
              <w:t>3套</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1134" w:type="dxa"/>
            <w:vAlign w:val="center"/>
          </w:tcPr>
          <w:p>
            <w:pPr>
              <w:adjustRightInd w:val="0"/>
              <w:snapToGrid w:val="0"/>
              <w:jc w:val="center"/>
              <w:rPr>
                <w:color w:val="auto"/>
                <w:sz w:val="21"/>
                <w:szCs w:val="21"/>
              </w:rPr>
            </w:pPr>
            <w:r>
              <w:rPr>
                <w:rFonts w:hint="eastAsia"/>
                <w:color w:val="auto"/>
                <w:sz w:val="21"/>
                <w:szCs w:val="21"/>
              </w:rPr>
              <w:t>64.2</w:t>
            </w:r>
          </w:p>
        </w:tc>
        <w:tc>
          <w:tcPr>
            <w:tcW w:w="709" w:type="dxa"/>
            <w:vMerge w:val="continue"/>
            <w:vAlign w:val="center"/>
          </w:tcPr>
          <w:p>
            <w:pPr>
              <w:adjustRightInd w:val="0"/>
              <w:snapToGrid w:val="0"/>
              <w:jc w:val="center"/>
              <w:rPr>
                <w:color w:val="auto"/>
                <w:sz w:val="21"/>
                <w:szCs w:val="21"/>
              </w:rPr>
            </w:pPr>
          </w:p>
        </w:tc>
        <w:tc>
          <w:tcPr>
            <w:tcW w:w="850" w:type="dxa"/>
            <w:vMerge w:val="continue"/>
            <w:vAlign w:val="center"/>
          </w:tcPr>
          <w:p>
            <w:pPr>
              <w:adjustRightInd w:val="0"/>
              <w:snapToGrid w:val="0"/>
              <w:jc w:val="center"/>
              <w:rPr>
                <w:rFonts w:hAnsi="宋体"/>
                <w:color w:val="auto"/>
                <w:sz w:val="21"/>
                <w:szCs w:val="21"/>
              </w:rPr>
            </w:pPr>
          </w:p>
        </w:tc>
        <w:tc>
          <w:tcPr>
            <w:tcW w:w="709" w:type="dxa"/>
            <w:vMerge w:val="continue"/>
            <w:vAlign w:val="center"/>
          </w:tcPr>
          <w:p>
            <w:pPr>
              <w:adjustRightInd w:val="0"/>
              <w:snapToGrid w:val="0"/>
              <w:jc w:val="center"/>
              <w:rPr>
                <w:rFonts w:hAnsi="宋体"/>
                <w:color w:val="auto"/>
                <w:sz w:val="21"/>
                <w:szCs w:val="21"/>
              </w:rPr>
            </w:pPr>
          </w:p>
        </w:tc>
        <w:tc>
          <w:tcPr>
            <w:tcW w:w="1984" w:type="dxa"/>
            <w:vAlign w:val="center"/>
          </w:tcPr>
          <w:p>
            <w:pPr>
              <w:adjustRightInd w:val="0"/>
              <w:snapToGrid w:val="0"/>
              <w:jc w:val="center"/>
              <w:rPr>
                <w:color w:val="auto"/>
                <w:sz w:val="21"/>
                <w:szCs w:val="21"/>
              </w:rPr>
            </w:pPr>
            <w:r>
              <w:rPr>
                <w:rFonts w:hAnsi="宋体"/>
                <w:color w:val="auto"/>
                <w:sz w:val="21"/>
                <w:szCs w:val="21"/>
              </w:rPr>
              <w:t>循环水泵</w:t>
            </w:r>
          </w:p>
        </w:tc>
        <w:tc>
          <w:tcPr>
            <w:tcW w:w="709" w:type="dxa"/>
            <w:vAlign w:val="center"/>
          </w:tcPr>
          <w:p>
            <w:pPr>
              <w:adjustRightInd w:val="0"/>
              <w:snapToGrid w:val="0"/>
              <w:jc w:val="center"/>
              <w:rPr>
                <w:color w:val="auto"/>
                <w:sz w:val="21"/>
                <w:szCs w:val="21"/>
              </w:rPr>
            </w:pPr>
            <w:r>
              <w:rPr>
                <w:rFonts w:hint="eastAsia"/>
                <w:color w:val="auto"/>
                <w:sz w:val="21"/>
                <w:szCs w:val="21"/>
              </w:rPr>
              <w:t>2台</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jc w:val="center"/>
              <w:rPr>
                <w:color w:val="auto"/>
                <w:sz w:val="21"/>
                <w:szCs w:val="21"/>
              </w:rPr>
            </w:pPr>
            <w:r>
              <w:rPr>
                <w:rFonts w:hint="eastAsia"/>
                <w:color w:val="auto"/>
                <w:sz w:val="21"/>
                <w:szCs w:val="21"/>
              </w:rPr>
              <w:t>曝气生物滤池</w:t>
            </w:r>
          </w:p>
        </w:tc>
        <w:tc>
          <w:tcPr>
            <w:tcW w:w="874" w:type="dxa"/>
            <w:vAlign w:val="center"/>
          </w:tcPr>
          <w:p>
            <w:pPr>
              <w:adjustRightInd w:val="0"/>
              <w:snapToGrid w:val="0"/>
              <w:jc w:val="center"/>
              <w:rPr>
                <w:color w:val="auto"/>
                <w:sz w:val="21"/>
                <w:szCs w:val="21"/>
              </w:rPr>
            </w:pPr>
            <w:r>
              <w:rPr>
                <w:color w:val="auto"/>
                <w:kern w:val="0"/>
                <w:sz w:val="21"/>
                <w:szCs w:val="21"/>
              </w:rPr>
              <w:t>1745</w:t>
            </w:r>
          </w:p>
        </w:tc>
        <w:tc>
          <w:tcPr>
            <w:tcW w:w="803" w:type="dxa"/>
            <w:vAlign w:val="center"/>
          </w:tcPr>
          <w:p>
            <w:pPr>
              <w:adjustRightInd w:val="0"/>
              <w:snapToGrid w:val="0"/>
              <w:jc w:val="center"/>
              <w:rPr>
                <w:color w:val="auto"/>
                <w:sz w:val="21"/>
                <w:szCs w:val="21"/>
              </w:rPr>
            </w:pPr>
            <w:r>
              <w:rPr>
                <w:color w:val="auto"/>
                <w:kern w:val="0"/>
                <w:sz w:val="21"/>
                <w:szCs w:val="21"/>
              </w:rPr>
              <w:t>8.5</w:t>
            </w:r>
          </w:p>
        </w:tc>
        <w:tc>
          <w:tcPr>
            <w:tcW w:w="1417" w:type="dxa"/>
            <w:vAlign w:val="center"/>
          </w:tcPr>
          <w:p>
            <w:pPr>
              <w:adjustRightInd w:val="0"/>
              <w:snapToGrid w:val="0"/>
              <w:jc w:val="center"/>
              <w:rPr>
                <w:color w:val="auto"/>
                <w:sz w:val="21"/>
                <w:szCs w:val="21"/>
              </w:rPr>
            </w:pPr>
            <w:r>
              <w:rPr>
                <w:rFonts w:hint="eastAsia"/>
                <w:color w:val="auto"/>
                <w:sz w:val="21"/>
                <w:szCs w:val="21"/>
              </w:rPr>
              <w:t>曝气罗茨风机</w:t>
            </w:r>
          </w:p>
        </w:tc>
        <w:tc>
          <w:tcPr>
            <w:tcW w:w="757" w:type="dxa"/>
            <w:vAlign w:val="center"/>
          </w:tcPr>
          <w:p>
            <w:pPr>
              <w:adjustRightInd w:val="0"/>
              <w:snapToGrid w:val="0"/>
              <w:jc w:val="center"/>
              <w:rPr>
                <w:color w:val="auto"/>
                <w:sz w:val="21"/>
                <w:szCs w:val="21"/>
              </w:rPr>
            </w:pPr>
            <w:r>
              <w:rPr>
                <w:rFonts w:hint="eastAsia"/>
                <w:color w:val="auto"/>
                <w:sz w:val="21"/>
                <w:szCs w:val="21"/>
              </w:rPr>
              <w:t>4套</w:t>
            </w:r>
          </w:p>
        </w:tc>
        <w:tc>
          <w:tcPr>
            <w:tcW w:w="709" w:type="dxa"/>
            <w:vAlign w:val="center"/>
          </w:tcPr>
          <w:p>
            <w:pPr>
              <w:adjustRightInd w:val="0"/>
              <w:snapToGrid w:val="0"/>
              <w:jc w:val="center"/>
              <w:rPr>
                <w:color w:val="auto"/>
                <w:sz w:val="21"/>
                <w:szCs w:val="21"/>
              </w:rPr>
            </w:pPr>
            <w:r>
              <w:rPr>
                <w:rFonts w:hint="eastAsia"/>
                <w:color w:val="auto"/>
                <w:sz w:val="21"/>
                <w:szCs w:val="21"/>
              </w:rPr>
              <w:t>85</w:t>
            </w:r>
          </w:p>
        </w:tc>
        <w:tc>
          <w:tcPr>
            <w:tcW w:w="1134" w:type="dxa"/>
            <w:vAlign w:val="center"/>
          </w:tcPr>
          <w:p>
            <w:pPr>
              <w:jc w:val="center"/>
              <w:rPr>
                <w:rFonts w:hAnsi="宋体"/>
                <w:color w:val="auto"/>
                <w:sz w:val="21"/>
                <w:szCs w:val="21"/>
              </w:rPr>
            </w:pPr>
            <w:r>
              <w:rPr>
                <w:rFonts w:hint="eastAsia" w:hAnsi="宋体"/>
                <w:color w:val="auto"/>
                <w:sz w:val="21"/>
                <w:szCs w:val="21"/>
              </w:rPr>
              <w:t>63.1</w:t>
            </w:r>
          </w:p>
        </w:tc>
        <w:tc>
          <w:tcPr>
            <w:tcW w:w="709" w:type="dxa"/>
            <w:vMerge w:val="restart"/>
            <w:vAlign w:val="center"/>
          </w:tcPr>
          <w:p>
            <w:pPr>
              <w:jc w:val="center"/>
              <w:rPr>
                <w:color w:val="auto"/>
                <w:sz w:val="21"/>
                <w:szCs w:val="21"/>
              </w:rPr>
            </w:pPr>
            <w:r>
              <w:rPr>
                <w:rFonts w:hAnsi="宋体"/>
                <w:color w:val="auto"/>
                <w:sz w:val="21"/>
                <w:szCs w:val="21"/>
              </w:rPr>
              <w:t>加药间</w:t>
            </w:r>
          </w:p>
        </w:tc>
        <w:tc>
          <w:tcPr>
            <w:tcW w:w="850" w:type="dxa"/>
            <w:vMerge w:val="restart"/>
            <w:vAlign w:val="center"/>
          </w:tcPr>
          <w:p>
            <w:pPr>
              <w:jc w:val="center"/>
              <w:rPr>
                <w:rFonts w:hAnsi="宋体"/>
                <w:color w:val="auto"/>
                <w:sz w:val="21"/>
                <w:szCs w:val="21"/>
              </w:rPr>
            </w:pPr>
            <w:r>
              <w:rPr>
                <w:color w:val="auto"/>
                <w:kern w:val="0"/>
                <w:sz w:val="21"/>
                <w:szCs w:val="21"/>
              </w:rPr>
              <w:t>1292</w:t>
            </w:r>
          </w:p>
        </w:tc>
        <w:tc>
          <w:tcPr>
            <w:tcW w:w="709" w:type="dxa"/>
            <w:vMerge w:val="restart"/>
            <w:vAlign w:val="center"/>
          </w:tcPr>
          <w:p>
            <w:pPr>
              <w:jc w:val="center"/>
              <w:rPr>
                <w:rFonts w:hAnsi="宋体"/>
                <w:color w:val="auto"/>
                <w:sz w:val="21"/>
                <w:szCs w:val="21"/>
              </w:rPr>
            </w:pPr>
            <w:r>
              <w:rPr>
                <w:color w:val="auto"/>
                <w:kern w:val="0"/>
                <w:sz w:val="21"/>
                <w:szCs w:val="21"/>
              </w:rPr>
              <w:t>4.75</w:t>
            </w:r>
          </w:p>
        </w:tc>
        <w:tc>
          <w:tcPr>
            <w:tcW w:w="1984" w:type="dxa"/>
            <w:vAlign w:val="center"/>
          </w:tcPr>
          <w:p>
            <w:pPr>
              <w:jc w:val="center"/>
              <w:rPr>
                <w:color w:val="auto"/>
                <w:sz w:val="21"/>
                <w:szCs w:val="21"/>
              </w:rPr>
            </w:pPr>
            <w:r>
              <w:rPr>
                <w:rFonts w:hAnsi="宋体"/>
                <w:color w:val="auto"/>
                <w:sz w:val="21"/>
                <w:szCs w:val="21"/>
              </w:rPr>
              <w:t>乙酸钠加药隔膜泵</w:t>
            </w:r>
          </w:p>
        </w:tc>
        <w:tc>
          <w:tcPr>
            <w:tcW w:w="709" w:type="dxa"/>
            <w:vAlign w:val="center"/>
          </w:tcPr>
          <w:p>
            <w:pPr>
              <w:jc w:val="center"/>
              <w:rPr>
                <w:color w:val="auto"/>
                <w:sz w:val="21"/>
                <w:szCs w:val="21"/>
              </w:rPr>
            </w:pPr>
            <w:r>
              <w:rPr>
                <w:rFonts w:hint="eastAsia"/>
                <w:color w:val="auto"/>
                <w:sz w:val="21"/>
                <w:szCs w:val="21"/>
              </w:rPr>
              <w:t>2台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int="eastAsia"/>
                <w:color w:val="auto"/>
                <w:sz w:val="21"/>
                <w:szCs w:val="21"/>
              </w:rPr>
              <w:t>反冲洗水池</w:t>
            </w:r>
          </w:p>
        </w:tc>
        <w:tc>
          <w:tcPr>
            <w:tcW w:w="874" w:type="dxa"/>
            <w:vMerge w:val="restart"/>
            <w:vAlign w:val="center"/>
          </w:tcPr>
          <w:p>
            <w:pPr>
              <w:adjustRightInd w:val="0"/>
              <w:snapToGrid w:val="0"/>
              <w:jc w:val="center"/>
              <w:rPr>
                <w:color w:val="auto"/>
                <w:sz w:val="21"/>
                <w:szCs w:val="21"/>
              </w:rPr>
            </w:pPr>
            <w:r>
              <w:rPr>
                <w:color w:val="auto"/>
                <w:kern w:val="0"/>
                <w:sz w:val="21"/>
                <w:szCs w:val="21"/>
              </w:rPr>
              <w:t>618</w:t>
            </w:r>
          </w:p>
        </w:tc>
        <w:tc>
          <w:tcPr>
            <w:tcW w:w="803" w:type="dxa"/>
            <w:vMerge w:val="restart"/>
            <w:vAlign w:val="center"/>
          </w:tcPr>
          <w:p>
            <w:pPr>
              <w:adjustRightInd w:val="0"/>
              <w:snapToGrid w:val="0"/>
              <w:jc w:val="center"/>
              <w:rPr>
                <w:color w:val="auto"/>
                <w:sz w:val="21"/>
                <w:szCs w:val="21"/>
              </w:rPr>
            </w:pPr>
            <w:r>
              <w:rPr>
                <w:color w:val="auto"/>
                <w:kern w:val="0"/>
                <w:sz w:val="21"/>
                <w:szCs w:val="21"/>
              </w:rPr>
              <w:t>4.5</w:t>
            </w:r>
          </w:p>
        </w:tc>
        <w:tc>
          <w:tcPr>
            <w:tcW w:w="1417" w:type="dxa"/>
            <w:vAlign w:val="center"/>
          </w:tcPr>
          <w:p>
            <w:pPr>
              <w:adjustRightInd w:val="0"/>
              <w:snapToGrid w:val="0"/>
              <w:jc w:val="center"/>
              <w:rPr>
                <w:color w:val="auto"/>
                <w:sz w:val="21"/>
                <w:szCs w:val="21"/>
              </w:rPr>
            </w:pPr>
            <w:r>
              <w:rPr>
                <w:rFonts w:hint="eastAsia"/>
                <w:color w:val="auto"/>
                <w:sz w:val="21"/>
                <w:szCs w:val="21"/>
              </w:rPr>
              <w:t>反冲洗水泵</w:t>
            </w:r>
          </w:p>
        </w:tc>
        <w:tc>
          <w:tcPr>
            <w:tcW w:w="757" w:type="dxa"/>
            <w:vAlign w:val="center"/>
          </w:tcPr>
          <w:p>
            <w:pPr>
              <w:adjustRightInd w:val="0"/>
              <w:snapToGrid w:val="0"/>
              <w:jc w:val="center"/>
              <w:rPr>
                <w:color w:val="auto"/>
                <w:sz w:val="21"/>
                <w:szCs w:val="21"/>
              </w:rPr>
            </w:pPr>
            <w:r>
              <w:rPr>
                <w:rFonts w:hint="eastAsia"/>
                <w:color w:val="auto"/>
                <w:sz w:val="21"/>
                <w:szCs w:val="21"/>
              </w:rPr>
              <w:t>3台</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62.8</w:t>
            </w:r>
          </w:p>
        </w:tc>
        <w:tc>
          <w:tcPr>
            <w:tcW w:w="709" w:type="dxa"/>
            <w:vMerge w:val="continue"/>
            <w:vAlign w:val="center"/>
          </w:tcPr>
          <w:p>
            <w:pPr>
              <w:jc w:val="center"/>
              <w:rPr>
                <w:color w:val="auto"/>
                <w:sz w:val="21"/>
                <w:szCs w:val="21"/>
              </w:rPr>
            </w:pPr>
          </w:p>
        </w:tc>
        <w:tc>
          <w:tcPr>
            <w:tcW w:w="850" w:type="dxa"/>
            <w:vMerge w:val="continue"/>
            <w:vAlign w:val="center"/>
          </w:tcPr>
          <w:p>
            <w:pPr>
              <w:adjustRightInd w:val="0"/>
              <w:snapToGrid w:val="0"/>
              <w:jc w:val="center"/>
              <w:rPr>
                <w:color w:val="auto"/>
                <w:sz w:val="21"/>
                <w:szCs w:val="21"/>
              </w:rPr>
            </w:pPr>
          </w:p>
        </w:tc>
        <w:tc>
          <w:tcPr>
            <w:tcW w:w="709" w:type="dxa"/>
            <w:vMerge w:val="continue"/>
            <w:vAlign w:val="center"/>
          </w:tcPr>
          <w:p>
            <w:pPr>
              <w:adjustRightInd w:val="0"/>
              <w:snapToGrid w:val="0"/>
              <w:jc w:val="center"/>
              <w:rPr>
                <w:color w:val="auto"/>
                <w:sz w:val="21"/>
                <w:szCs w:val="21"/>
              </w:rPr>
            </w:pPr>
          </w:p>
        </w:tc>
        <w:tc>
          <w:tcPr>
            <w:tcW w:w="1984" w:type="dxa"/>
            <w:vAlign w:val="center"/>
          </w:tcPr>
          <w:p>
            <w:pPr>
              <w:adjustRightInd w:val="0"/>
              <w:snapToGrid w:val="0"/>
              <w:jc w:val="center"/>
              <w:rPr>
                <w:color w:val="auto"/>
                <w:sz w:val="21"/>
                <w:szCs w:val="21"/>
              </w:rPr>
            </w:pPr>
            <w:r>
              <w:rPr>
                <w:color w:val="auto"/>
                <w:sz w:val="21"/>
                <w:szCs w:val="21"/>
              </w:rPr>
              <w:t>NaClO</w:t>
            </w:r>
            <w:r>
              <w:rPr>
                <w:rFonts w:hAnsi="宋体"/>
                <w:color w:val="auto"/>
                <w:sz w:val="21"/>
                <w:szCs w:val="21"/>
              </w:rPr>
              <w:t>加药隔膜泵</w:t>
            </w:r>
          </w:p>
        </w:tc>
        <w:tc>
          <w:tcPr>
            <w:tcW w:w="709" w:type="dxa"/>
            <w:vAlign w:val="center"/>
          </w:tcPr>
          <w:p>
            <w:pPr>
              <w:adjustRightInd w:val="0"/>
              <w:snapToGrid w:val="0"/>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adjustRightInd w:val="0"/>
              <w:snapToGrid w:val="0"/>
              <w:jc w:val="center"/>
              <w:rPr>
                <w:color w:val="auto"/>
                <w:sz w:val="21"/>
                <w:szCs w:val="21"/>
              </w:rPr>
            </w:pPr>
          </w:p>
        </w:tc>
        <w:tc>
          <w:tcPr>
            <w:tcW w:w="803" w:type="dxa"/>
            <w:vMerge w:val="continue"/>
            <w:vAlign w:val="center"/>
          </w:tcPr>
          <w:p>
            <w:pPr>
              <w:adjustRightInd w:val="0"/>
              <w:snapToGrid w:val="0"/>
              <w:jc w:val="center"/>
              <w:rPr>
                <w:color w:val="auto"/>
                <w:sz w:val="21"/>
                <w:szCs w:val="21"/>
              </w:rPr>
            </w:pPr>
          </w:p>
        </w:tc>
        <w:tc>
          <w:tcPr>
            <w:tcW w:w="1417" w:type="dxa"/>
            <w:vAlign w:val="center"/>
          </w:tcPr>
          <w:p>
            <w:pPr>
              <w:adjustRightInd w:val="0"/>
              <w:snapToGrid w:val="0"/>
              <w:jc w:val="center"/>
              <w:rPr>
                <w:color w:val="auto"/>
                <w:sz w:val="21"/>
                <w:szCs w:val="21"/>
              </w:rPr>
            </w:pPr>
            <w:r>
              <w:rPr>
                <w:rFonts w:hint="eastAsia"/>
                <w:color w:val="auto"/>
                <w:sz w:val="21"/>
                <w:szCs w:val="21"/>
              </w:rPr>
              <w:t>排污泵</w:t>
            </w:r>
          </w:p>
        </w:tc>
        <w:tc>
          <w:tcPr>
            <w:tcW w:w="757" w:type="dxa"/>
            <w:vAlign w:val="center"/>
          </w:tcPr>
          <w:p>
            <w:pPr>
              <w:adjustRightInd w:val="0"/>
              <w:snapToGrid w:val="0"/>
              <w:jc w:val="center"/>
              <w:rPr>
                <w:color w:val="auto"/>
                <w:sz w:val="21"/>
                <w:szCs w:val="21"/>
              </w:rPr>
            </w:pPr>
            <w:r>
              <w:rPr>
                <w:rFonts w:hint="eastAsia"/>
                <w:color w:val="auto"/>
                <w:sz w:val="21"/>
                <w:szCs w:val="21"/>
              </w:rPr>
              <w:t>2台</w:t>
            </w:r>
          </w:p>
        </w:tc>
        <w:tc>
          <w:tcPr>
            <w:tcW w:w="709" w:type="dxa"/>
            <w:vAlign w:val="center"/>
          </w:tcPr>
          <w:p>
            <w:pPr>
              <w:adjustRightInd w:val="0"/>
              <w:snapToGrid w:val="0"/>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62.8</w:t>
            </w:r>
          </w:p>
        </w:tc>
        <w:tc>
          <w:tcPr>
            <w:tcW w:w="709" w:type="dxa"/>
            <w:vMerge w:val="continue"/>
            <w:vAlign w:val="center"/>
          </w:tcPr>
          <w:p>
            <w:pPr>
              <w:jc w:val="center"/>
              <w:rPr>
                <w:color w:val="auto"/>
                <w:sz w:val="21"/>
                <w:szCs w:val="21"/>
              </w:rPr>
            </w:pPr>
          </w:p>
        </w:tc>
        <w:tc>
          <w:tcPr>
            <w:tcW w:w="850" w:type="dxa"/>
            <w:vMerge w:val="continue"/>
            <w:vAlign w:val="center"/>
          </w:tcPr>
          <w:p>
            <w:pPr>
              <w:adjustRightInd w:val="0"/>
              <w:snapToGrid w:val="0"/>
              <w:jc w:val="center"/>
              <w:rPr>
                <w:color w:val="auto"/>
                <w:sz w:val="21"/>
                <w:szCs w:val="21"/>
              </w:rPr>
            </w:pPr>
          </w:p>
        </w:tc>
        <w:tc>
          <w:tcPr>
            <w:tcW w:w="709" w:type="dxa"/>
            <w:vMerge w:val="continue"/>
            <w:vAlign w:val="center"/>
          </w:tcPr>
          <w:p>
            <w:pPr>
              <w:adjustRightInd w:val="0"/>
              <w:snapToGrid w:val="0"/>
              <w:jc w:val="center"/>
              <w:rPr>
                <w:color w:val="auto"/>
                <w:sz w:val="21"/>
                <w:szCs w:val="21"/>
              </w:rPr>
            </w:pPr>
          </w:p>
        </w:tc>
        <w:tc>
          <w:tcPr>
            <w:tcW w:w="1984" w:type="dxa"/>
            <w:vAlign w:val="center"/>
          </w:tcPr>
          <w:p>
            <w:pPr>
              <w:adjustRightInd w:val="0"/>
              <w:snapToGrid w:val="0"/>
              <w:jc w:val="center"/>
              <w:rPr>
                <w:color w:val="auto"/>
                <w:sz w:val="21"/>
                <w:szCs w:val="21"/>
              </w:rPr>
            </w:pPr>
            <w:r>
              <w:rPr>
                <w:color w:val="auto"/>
                <w:sz w:val="21"/>
                <w:szCs w:val="21"/>
              </w:rPr>
              <w:t>PAC</w:t>
            </w:r>
            <w:r>
              <w:rPr>
                <w:rFonts w:hAnsi="宋体"/>
                <w:color w:val="auto"/>
                <w:sz w:val="21"/>
                <w:szCs w:val="21"/>
              </w:rPr>
              <w:t>加药隔膜泵</w:t>
            </w:r>
          </w:p>
        </w:tc>
        <w:tc>
          <w:tcPr>
            <w:tcW w:w="709" w:type="dxa"/>
            <w:vAlign w:val="center"/>
          </w:tcPr>
          <w:p>
            <w:pPr>
              <w:adjustRightInd w:val="0"/>
              <w:snapToGrid w:val="0"/>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高效沉淀池、滤池、消毒接触池及中水回用泵房</w:t>
            </w:r>
          </w:p>
        </w:tc>
        <w:tc>
          <w:tcPr>
            <w:tcW w:w="874" w:type="dxa"/>
            <w:vMerge w:val="restart"/>
            <w:vAlign w:val="center"/>
          </w:tcPr>
          <w:p>
            <w:pPr>
              <w:jc w:val="center"/>
              <w:rPr>
                <w:rFonts w:hAnsi="宋体"/>
                <w:color w:val="auto"/>
                <w:sz w:val="21"/>
                <w:szCs w:val="21"/>
              </w:rPr>
            </w:pPr>
            <w:r>
              <w:rPr>
                <w:color w:val="auto"/>
                <w:kern w:val="0"/>
                <w:sz w:val="21"/>
                <w:szCs w:val="21"/>
              </w:rPr>
              <w:t>5736</w:t>
            </w:r>
          </w:p>
        </w:tc>
        <w:tc>
          <w:tcPr>
            <w:tcW w:w="803" w:type="dxa"/>
            <w:vMerge w:val="restart"/>
            <w:vAlign w:val="center"/>
          </w:tcPr>
          <w:p>
            <w:pPr>
              <w:jc w:val="center"/>
              <w:rPr>
                <w:rFonts w:hAnsi="宋体"/>
                <w:color w:val="auto"/>
                <w:sz w:val="21"/>
                <w:szCs w:val="21"/>
              </w:rPr>
            </w:pPr>
            <w:r>
              <w:rPr>
                <w:color w:val="auto"/>
                <w:kern w:val="0"/>
                <w:sz w:val="21"/>
                <w:szCs w:val="21"/>
              </w:rPr>
              <w:t>19</w:t>
            </w:r>
          </w:p>
        </w:tc>
        <w:tc>
          <w:tcPr>
            <w:tcW w:w="1417" w:type="dxa"/>
            <w:vAlign w:val="center"/>
          </w:tcPr>
          <w:p>
            <w:pPr>
              <w:jc w:val="center"/>
              <w:rPr>
                <w:color w:val="auto"/>
                <w:sz w:val="21"/>
                <w:szCs w:val="21"/>
              </w:rPr>
            </w:pPr>
            <w:r>
              <w:rPr>
                <w:rFonts w:hAnsi="宋体"/>
                <w:color w:val="auto"/>
                <w:sz w:val="21"/>
                <w:szCs w:val="21"/>
              </w:rPr>
              <w:t>潜水轴流泵</w:t>
            </w:r>
          </w:p>
        </w:tc>
        <w:tc>
          <w:tcPr>
            <w:tcW w:w="757" w:type="dxa"/>
            <w:vAlign w:val="center"/>
          </w:tcPr>
          <w:p>
            <w:pPr>
              <w:jc w:val="center"/>
              <w:rPr>
                <w:color w:val="auto"/>
                <w:sz w:val="21"/>
                <w:szCs w:val="21"/>
              </w:rPr>
            </w:pPr>
            <w:r>
              <w:rPr>
                <w:rFonts w:hint="eastAsia"/>
                <w:color w:val="auto"/>
                <w:sz w:val="21"/>
                <w:szCs w:val="21"/>
              </w:rPr>
              <w:t>2套</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continue"/>
            <w:vAlign w:val="center"/>
          </w:tcPr>
          <w:p>
            <w:pPr>
              <w:jc w:val="center"/>
              <w:rPr>
                <w:color w:val="auto"/>
                <w:sz w:val="21"/>
                <w:szCs w:val="21"/>
              </w:rPr>
            </w:pPr>
          </w:p>
        </w:tc>
        <w:tc>
          <w:tcPr>
            <w:tcW w:w="850" w:type="dxa"/>
            <w:vMerge w:val="continue"/>
            <w:vAlign w:val="center"/>
          </w:tcPr>
          <w:p>
            <w:pPr>
              <w:adjustRightInd w:val="0"/>
              <w:snapToGrid w:val="0"/>
              <w:jc w:val="center"/>
              <w:rPr>
                <w:color w:val="auto"/>
                <w:sz w:val="21"/>
                <w:szCs w:val="21"/>
              </w:rPr>
            </w:pPr>
          </w:p>
        </w:tc>
        <w:tc>
          <w:tcPr>
            <w:tcW w:w="709" w:type="dxa"/>
            <w:vMerge w:val="continue"/>
            <w:vAlign w:val="center"/>
          </w:tcPr>
          <w:p>
            <w:pPr>
              <w:adjustRightInd w:val="0"/>
              <w:snapToGrid w:val="0"/>
              <w:jc w:val="center"/>
              <w:rPr>
                <w:color w:val="auto"/>
                <w:sz w:val="21"/>
                <w:szCs w:val="21"/>
              </w:rPr>
            </w:pPr>
          </w:p>
        </w:tc>
        <w:tc>
          <w:tcPr>
            <w:tcW w:w="1984" w:type="dxa"/>
            <w:vAlign w:val="center"/>
          </w:tcPr>
          <w:p>
            <w:pPr>
              <w:adjustRightInd w:val="0"/>
              <w:snapToGrid w:val="0"/>
              <w:jc w:val="center"/>
              <w:rPr>
                <w:color w:val="auto"/>
                <w:sz w:val="21"/>
                <w:szCs w:val="21"/>
              </w:rPr>
            </w:pPr>
            <w:r>
              <w:rPr>
                <w:color w:val="auto"/>
                <w:sz w:val="21"/>
                <w:szCs w:val="21"/>
              </w:rPr>
              <w:t>PAC</w:t>
            </w:r>
            <w:r>
              <w:rPr>
                <w:rFonts w:hAnsi="宋体"/>
                <w:color w:val="auto"/>
                <w:sz w:val="21"/>
                <w:szCs w:val="21"/>
              </w:rPr>
              <w:t>卸料泵</w:t>
            </w:r>
          </w:p>
        </w:tc>
        <w:tc>
          <w:tcPr>
            <w:tcW w:w="709" w:type="dxa"/>
            <w:vAlign w:val="center"/>
          </w:tcPr>
          <w:p>
            <w:pPr>
              <w:adjustRightInd w:val="0"/>
              <w:snapToGrid w:val="0"/>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快混搅拌器</w:t>
            </w:r>
          </w:p>
        </w:tc>
        <w:tc>
          <w:tcPr>
            <w:tcW w:w="75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adjustRightInd w:val="0"/>
              <w:snapToGrid w:val="0"/>
              <w:jc w:val="center"/>
              <w:rPr>
                <w:color w:val="auto"/>
                <w:sz w:val="21"/>
                <w:szCs w:val="21"/>
              </w:rPr>
            </w:pPr>
            <w:r>
              <w:rPr>
                <w:rFonts w:hint="eastAsia"/>
                <w:color w:val="auto"/>
                <w:sz w:val="21"/>
                <w:szCs w:val="21"/>
              </w:rPr>
              <w:t>47.7</w:t>
            </w:r>
          </w:p>
        </w:tc>
        <w:tc>
          <w:tcPr>
            <w:tcW w:w="709" w:type="dxa"/>
            <w:vMerge w:val="continue"/>
            <w:vAlign w:val="center"/>
          </w:tcPr>
          <w:p>
            <w:pPr>
              <w:adjustRightInd w:val="0"/>
              <w:snapToGrid w:val="0"/>
              <w:jc w:val="center"/>
              <w:rPr>
                <w:color w:val="auto"/>
                <w:sz w:val="21"/>
                <w:szCs w:val="21"/>
              </w:rPr>
            </w:pPr>
          </w:p>
        </w:tc>
        <w:tc>
          <w:tcPr>
            <w:tcW w:w="850"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1984" w:type="dxa"/>
            <w:vAlign w:val="center"/>
          </w:tcPr>
          <w:p>
            <w:pPr>
              <w:jc w:val="center"/>
              <w:rPr>
                <w:color w:val="auto"/>
                <w:sz w:val="21"/>
                <w:szCs w:val="21"/>
              </w:rPr>
            </w:pPr>
            <w:r>
              <w:rPr>
                <w:color w:val="auto"/>
                <w:sz w:val="21"/>
                <w:szCs w:val="21"/>
              </w:rPr>
              <w:t>NaClO</w:t>
            </w:r>
            <w:r>
              <w:rPr>
                <w:rFonts w:hAnsi="宋体"/>
                <w:color w:val="auto"/>
                <w:sz w:val="21"/>
                <w:szCs w:val="21"/>
              </w:rPr>
              <w:t>卸料泵</w:t>
            </w:r>
          </w:p>
        </w:tc>
        <w:tc>
          <w:tcPr>
            <w:tcW w:w="709"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絮凝搅拌器</w:t>
            </w:r>
          </w:p>
        </w:tc>
        <w:tc>
          <w:tcPr>
            <w:tcW w:w="75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adjustRightInd w:val="0"/>
              <w:snapToGrid w:val="0"/>
              <w:jc w:val="center"/>
              <w:rPr>
                <w:color w:val="auto"/>
                <w:sz w:val="21"/>
                <w:szCs w:val="21"/>
              </w:rPr>
            </w:pPr>
            <w:r>
              <w:rPr>
                <w:rFonts w:hint="eastAsia"/>
                <w:color w:val="auto"/>
                <w:sz w:val="21"/>
                <w:szCs w:val="21"/>
              </w:rPr>
              <w:t>47.7</w:t>
            </w:r>
          </w:p>
        </w:tc>
        <w:tc>
          <w:tcPr>
            <w:tcW w:w="709" w:type="dxa"/>
            <w:vMerge w:val="continue"/>
            <w:vAlign w:val="center"/>
          </w:tcPr>
          <w:p>
            <w:pPr>
              <w:adjustRightInd w:val="0"/>
              <w:snapToGrid w:val="0"/>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乙酸钠卸料泵</w:t>
            </w:r>
          </w:p>
        </w:tc>
        <w:tc>
          <w:tcPr>
            <w:tcW w:w="709"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存水泵</w:t>
            </w:r>
          </w:p>
        </w:tc>
        <w:tc>
          <w:tcPr>
            <w:tcW w:w="75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continue"/>
            <w:vAlign w:val="center"/>
          </w:tcPr>
          <w:p>
            <w:pPr>
              <w:adjustRightInd w:val="0"/>
              <w:snapToGrid w:val="0"/>
              <w:jc w:val="center"/>
              <w:rPr>
                <w:color w:val="auto"/>
                <w:sz w:val="21"/>
                <w:szCs w:val="21"/>
              </w:rPr>
            </w:pPr>
          </w:p>
        </w:tc>
        <w:tc>
          <w:tcPr>
            <w:tcW w:w="850"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1984" w:type="dxa"/>
            <w:vAlign w:val="center"/>
          </w:tcPr>
          <w:p>
            <w:pPr>
              <w:jc w:val="center"/>
              <w:rPr>
                <w:color w:val="auto"/>
                <w:sz w:val="21"/>
                <w:szCs w:val="21"/>
              </w:rPr>
            </w:pPr>
            <w:r>
              <w:rPr>
                <w:color w:val="auto"/>
                <w:sz w:val="21"/>
                <w:szCs w:val="21"/>
              </w:rPr>
              <w:t>PAM</w:t>
            </w:r>
            <w:r>
              <w:rPr>
                <w:rFonts w:hAnsi="宋体"/>
                <w:color w:val="auto"/>
                <w:sz w:val="21"/>
                <w:szCs w:val="21"/>
              </w:rPr>
              <w:t>加药螺杆泵</w:t>
            </w:r>
          </w:p>
        </w:tc>
        <w:tc>
          <w:tcPr>
            <w:tcW w:w="709"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剩余污泥泵</w:t>
            </w:r>
          </w:p>
        </w:tc>
        <w:tc>
          <w:tcPr>
            <w:tcW w:w="75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稀释水泵</w:t>
            </w:r>
          </w:p>
        </w:tc>
        <w:tc>
          <w:tcPr>
            <w:tcW w:w="709" w:type="dxa"/>
            <w:vAlign w:val="center"/>
          </w:tcPr>
          <w:p>
            <w:pPr>
              <w:jc w:val="center"/>
              <w:rPr>
                <w:color w:val="auto"/>
                <w:sz w:val="21"/>
                <w:szCs w:val="21"/>
              </w:rPr>
            </w:pPr>
            <w:r>
              <w:rPr>
                <w:rFonts w:hint="eastAsia"/>
                <w:color w:val="auto"/>
                <w:sz w:val="21"/>
                <w:szCs w:val="21"/>
              </w:rPr>
              <w:t>1套</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回流污泥泵</w:t>
            </w:r>
          </w:p>
        </w:tc>
        <w:tc>
          <w:tcPr>
            <w:tcW w:w="75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restart"/>
            <w:vAlign w:val="center"/>
          </w:tcPr>
          <w:p>
            <w:pPr>
              <w:jc w:val="center"/>
              <w:rPr>
                <w:color w:val="auto"/>
                <w:sz w:val="21"/>
                <w:szCs w:val="21"/>
              </w:rPr>
            </w:pPr>
            <w:r>
              <w:rPr>
                <w:rFonts w:hAnsi="宋体"/>
                <w:color w:val="auto"/>
                <w:sz w:val="21"/>
                <w:szCs w:val="21"/>
              </w:rPr>
              <w:t>除臭装置</w:t>
            </w:r>
          </w:p>
        </w:tc>
        <w:tc>
          <w:tcPr>
            <w:tcW w:w="850" w:type="dxa"/>
            <w:vMerge w:val="restart"/>
            <w:vAlign w:val="center"/>
          </w:tcPr>
          <w:p>
            <w:pPr>
              <w:jc w:val="center"/>
              <w:rPr>
                <w:rFonts w:hAnsi="宋体"/>
                <w:color w:val="auto"/>
                <w:sz w:val="21"/>
                <w:szCs w:val="21"/>
              </w:rPr>
            </w:pPr>
            <w:r>
              <w:rPr>
                <w:color w:val="auto"/>
                <w:kern w:val="0"/>
                <w:sz w:val="21"/>
                <w:szCs w:val="21"/>
              </w:rPr>
              <w:t>188</w:t>
            </w:r>
          </w:p>
        </w:tc>
        <w:tc>
          <w:tcPr>
            <w:tcW w:w="709" w:type="dxa"/>
            <w:vMerge w:val="restart"/>
            <w:vAlign w:val="center"/>
          </w:tcPr>
          <w:p>
            <w:pPr>
              <w:jc w:val="center"/>
              <w:rPr>
                <w:rFonts w:hAnsi="宋体"/>
                <w:color w:val="auto"/>
                <w:sz w:val="21"/>
                <w:szCs w:val="21"/>
              </w:rPr>
            </w:pPr>
            <w:r>
              <w:rPr>
                <w:color w:val="auto"/>
                <w:kern w:val="0"/>
                <w:sz w:val="21"/>
                <w:szCs w:val="21"/>
              </w:rPr>
              <w:t>2</w:t>
            </w:r>
          </w:p>
        </w:tc>
        <w:tc>
          <w:tcPr>
            <w:tcW w:w="1984" w:type="dxa"/>
            <w:vAlign w:val="center"/>
          </w:tcPr>
          <w:p>
            <w:pPr>
              <w:jc w:val="center"/>
              <w:rPr>
                <w:color w:val="auto"/>
                <w:sz w:val="21"/>
                <w:szCs w:val="21"/>
              </w:rPr>
            </w:pPr>
            <w:r>
              <w:rPr>
                <w:rFonts w:hAnsi="宋体"/>
                <w:color w:val="auto"/>
                <w:sz w:val="21"/>
                <w:szCs w:val="21"/>
              </w:rPr>
              <w:t>循环水泵</w:t>
            </w:r>
          </w:p>
        </w:tc>
        <w:tc>
          <w:tcPr>
            <w:tcW w:w="709"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存水泵</w:t>
            </w:r>
          </w:p>
        </w:tc>
        <w:tc>
          <w:tcPr>
            <w:tcW w:w="757"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碱液计量泵</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旋转驱动电机</w:t>
            </w:r>
          </w:p>
        </w:tc>
        <w:tc>
          <w:tcPr>
            <w:tcW w:w="757"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adjustRightInd w:val="0"/>
              <w:snapToGrid w:val="0"/>
              <w:jc w:val="center"/>
              <w:rPr>
                <w:color w:val="auto"/>
                <w:sz w:val="21"/>
                <w:szCs w:val="21"/>
              </w:rPr>
            </w:pPr>
            <w:r>
              <w:rPr>
                <w:rFonts w:hint="eastAsia"/>
                <w:color w:val="auto"/>
                <w:sz w:val="21"/>
                <w:szCs w:val="21"/>
              </w:rPr>
              <w:t>47.7</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氧化剂计量泵</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反洗泵</w:t>
            </w:r>
          </w:p>
        </w:tc>
        <w:tc>
          <w:tcPr>
            <w:tcW w:w="757" w:type="dxa"/>
            <w:vAlign w:val="center"/>
          </w:tcPr>
          <w:p>
            <w:pPr>
              <w:jc w:val="center"/>
              <w:rPr>
                <w:color w:val="auto"/>
                <w:sz w:val="21"/>
                <w:szCs w:val="21"/>
              </w:rPr>
            </w:pPr>
            <w:r>
              <w:rPr>
                <w:color w:val="auto"/>
                <w:sz w:val="21"/>
                <w:szCs w:val="21"/>
              </w:rPr>
              <w:t>4</w:t>
            </w:r>
            <w:r>
              <w:rPr>
                <w:rFonts w:hint="eastAsia"/>
                <w:color w:val="auto"/>
                <w:sz w:val="21"/>
                <w:szCs w:val="21"/>
              </w:rPr>
              <w:t>个</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continue"/>
            <w:vAlign w:val="center"/>
          </w:tcPr>
          <w:p>
            <w:pPr>
              <w:jc w:val="center"/>
              <w:rPr>
                <w:color w:val="auto"/>
                <w:sz w:val="21"/>
                <w:szCs w:val="21"/>
              </w:rPr>
            </w:pPr>
          </w:p>
        </w:tc>
        <w:tc>
          <w:tcPr>
            <w:tcW w:w="850"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1984" w:type="dxa"/>
            <w:vAlign w:val="center"/>
          </w:tcPr>
          <w:p>
            <w:pPr>
              <w:jc w:val="center"/>
              <w:rPr>
                <w:color w:val="auto"/>
                <w:sz w:val="21"/>
                <w:szCs w:val="21"/>
              </w:rPr>
            </w:pPr>
            <w:r>
              <w:rPr>
                <w:color w:val="auto"/>
                <w:sz w:val="21"/>
                <w:szCs w:val="21"/>
              </w:rPr>
              <w:t>SS304</w:t>
            </w:r>
            <w:r>
              <w:rPr>
                <w:rFonts w:hAnsi="宋体"/>
                <w:color w:val="auto"/>
                <w:sz w:val="21"/>
                <w:szCs w:val="21"/>
              </w:rPr>
              <w:t>搅拌器</w:t>
            </w:r>
          </w:p>
        </w:tc>
        <w:tc>
          <w:tcPr>
            <w:tcW w:w="709" w:type="dxa"/>
            <w:vAlign w:val="center"/>
          </w:tcPr>
          <w:p>
            <w:pPr>
              <w:jc w:val="center"/>
              <w:rPr>
                <w:color w:val="auto"/>
                <w:sz w:val="21"/>
                <w:szCs w:val="21"/>
              </w:rPr>
            </w:pPr>
            <w:r>
              <w:rPr>
                <w:color w:val="auto"/>
                <w:sz w:val="21"/>
                <w:szCs w:val="21"/>
              </w:rPr>
              <w:t>1</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21" w:type="dxa"/>
            <w:vAlign w:val="center"/>
          </w:tcPr>
          <w:p>
            <w:pPr>
              <w:jc w:val="center"/>
              <w:rPr>
                <w:color w:val="auto"/>
                <w:sz w:val="21"/>
                <w:szCs w:val="21"/>
              </w:rPr>
            </w:pPr>
            <w:r>
              <w:rPr>
                <w:rFonts w:hint="eastAsia"/>
                <w:color w:val="auto"/>
                <w:sz w:val="21"/>
                <w:szCs w:val="21"/>
              </w:rPr>
              <w:t>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潜水离心泵</w:t>
            </w:r>
          </w:p>
        </w:tc>
        <w:tc>
          <w:tcPr>
            <w:tcW w:w="757"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80</w:t>
            </w:r>
          </w:p>
        </w:tc>
        <w:tc>
          <w:tcPr>
            <w:tcW w:w="1134" w:type="dxa"/>
            <w:vAlign w:val="center"/>
          </w:tcPr>
          <w:p>
            <w:pPr>
              <w:jc w:val="center"/>
              <w:rPr>
                <w:color w:val="auto"/>
                <w:sz w:val="21"/>
                <w:szCs w:val="21"/>
              </w:rPr>
            </w:pPr>
            <w:r>
              <w:rPr>
                <w:rFonts w:hint="eastAsia"/>
                <w:color w:val="auto"/>
                <w:sz w:val="21"/>
                <w:szCs w:val="21"/>
              </w:rPr>
              <w:t>52.7</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喷淋泵</w:t>
            </w:r>
          </w:p>
        </w:tc>
        <w:tc>
          <w:tcPr>
            <w:tcW w:w="709"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80</w:t>
            </w:r>
          </w:p>
        </w:tc>
        <w:tc>
          <w:tcPr>
            <w:tcW w:w="1121" w:type="dxa"/>
            <w:vAlign w:val="center"/>
          </w:tcPr>
          <w:p>
            <w:pPr>
              <w:jc w:val="center"/>
              <w:rPr>
                <w:color w:val="auto"/>
                <w:sz w:val="21"/>
                <w:szCs w:val="21"/>
              </w:rPr>
            </w:pPr>
            <w:r>
              <w:rPr>
                <w:rFonts w:hint="eastAsia"/>
                <w:color w:val="auto"/>
                <w:sz w:val="21"/>
                <w:szCs w:val="21"/>
              </w:rPr>
              <w:t>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jc w:val="center"/>
              <w:rPr>
                <w:color w:val="auto"/>
                <w:sz w:val="21"/>
                <w:szCs w:val="21"/>
              </w:rPr>
            </w:pPr>
            <w:r>
              <w:rPr>
                <w:rFonts w:hAnsi="宋体"/>
                <w:color w:val="auto"/>
                <w:sz w:val="21"/>
                <w:szCs w:val="21"/>
              </w:rPr>
              <w:t>污泥均质调理池</w:t>
            </w:r>
          </w:p>
        </w:tc>
        <w:tc>
          <w:tcPr>
            <w:tcW w:w="874" w:type="dxa"/>
            <w:vMerge w:val="restart"/>
            <w:vAlign w:val="center"/>
          </w:tcPr>
          <w:p>
            <w:pPr>
              <w:jc w:val="center"/>
              <w:rPr>
                <w:rFonts w:hAnsi="宋体"/>
                <w:color w:val="auto"/>
                <w:sz w:val="21"/>
                <w:szCs w:val="21"/>
              </w:rPr>
            </w:pPr>
            <w:r>
              <w:rPr>
                <w:color w:val="auto"/>
                <w:kern w:val="0"/>
                <w:sz w:val="21"/>
                <w:szCs w:val="21"/>
              </w:rPr>
              <w:t>534.3</w:t>
            </w:r>
          </w:p>
        </w:tc>
        <w:tc>
          <w:tcPr>
            <w:tcW w:w="803" w:type="dxa"/>
            <w:vMerge w:val="restart"/>
            <w:vAlign w:val="center"/>
          </w:tcPr>
          <w:p>
            <w:pPr>
              <w:jc w:val="center"/>
              <w:rPr>
                <w:rFonts w:hAnsi="宋体"/>
                <w:color w:val="auto"/>
                <w:sz w:val="21"/>
                <w:szCs w:val="21"/>
              </w:rPr>
            </w:pPr>
            <w:r>
              <w:rPr>
                <w:color w:val="auto"/>
                <w:kern w:val="0"/>
                <w:sz w:val="21"/>
                <w:szCs w:val="21"/>
              </w:rPr>
              <w:t>3.45</w:t>
            </w:r>
          </w:p>
        </w:tc>
        <w:tc>
          <w:tcPr>
            <w:tcW w:w="1417" w:type="dxa"/>
            <w:vAlign w:val="center"/>
          </w:tcPr>
          <w:p>
            <w:pPr>
              <w:jc w:val="center"/>
              <w:rPr>
                <w:color w:val="auto"/>
                <w:sz w:val="21"/>
                <w:szCs w:val="21"/>
              </w:rPr>
            </w:pPr>
            <w:r>
              <w:rPr>
                <w:rFonts w:hAnsi="宋体"/>
                <w:color w:val="auto"/>
                <w:sz w:val="21"/>
                <w:szCs w:val="21"/>
              </w:rPr>
              <w:t>污泥搅拌机</w:t>
            </w:r>
          </w:p>
        </w:tc>
        <w:tc>
          <w:tcPr>
            <w:tcW w:w="757" w:type="dxa"/>
            <w:vAlign w:val="center"/>
          </w:tcPr>
          <w:p>
            <w:pPr>
              <w:jc w:val="center"/>
              <w:rPr>
                <w:color w:val="auto"/>
                <w:sz w:val="21"/>
                <w:szCs w:val="21"/>
              </w:rPr>
            </w:pPr>
            <w:r>
              <w:rPr>
                <w:color w:val="auto"/>
                <w:sz w:val="21"/>
                <w:szCs w:val="21"/>
              </w:rPr>
              <w:t>2</w:t>
            </w:r>
            <w:r>
              <w:rPr>
                <w:rFonts w:hint="eastAsia"/>
                <w:color w:val="auto"/>
                <w:sz w:val="21"/>
                <w:szCs w:val="21"/>
              </w:rPr>
              <w:t>台</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jc w:val="center"/>
              <w:rPr>
                <w:color w:val="auto"/>
                <w:sz w:val="21"/>
                <w:szCs w:val="21"/>
              </w:rPr>
            </w:pPr>
            <w:r>
              <w:rPr>
                <w:rFonts w:hint="eastAsia"/>
                <w:color w:val="auto"/>
                <w:sz w:val="21"/>
                <w:szCs w:val="21"/>
              </w:rPr>
              <w:t>58.8</w:t>
            </w:r>
          </w:p>
        </w:tc>
        <w:tc>
          <w:tcPr>
            <w:tcW w:w="709" w:type="dxa"/>
            <w:vMerge w:val="continue"/>
            <w:vAlign w:val="center"/>
          </w:tcPr>
          <w:p>
            <w:pPr>
              <w:jc w:val="center"/>
              <w:rPr>
                <w:color w:val="auto"/>
                <w:sz w:val="21"/>
                <w:szCs w:val="21"/>
              </w:rPr>
            </w:pPr>
          </w:p>
        </w:tc>
        <w:tc>
          <w:tcPr>
            <w:tcW w:w="850" w:type="dxa"/>
            <w:vMerge w:val="continue"/>
            <w:vAlign w:val="center"/>
          </w:tcPr>
          <w:p>
            <w:pPr>
              <w:jc w:val="center"/>
              <w:rPr>
                <w:rFonts w:hAnsi="宋体"/>
                <w:color w:val="auto"/>
                <w:sz w:val="21"/>
                <w:szCs w:val="21"/>
              </w:rPr>
            </w:pPr>
          </w:p>
        </w:tc>
        <w:tc>
          <w:tcPr>
            <w:tcW w:w="709" w:type="dxa"/>
            <w:vMerge w:val="continue"/>
            <w:vAlign w:val="center"/>
          </w:tcPr>
          <w:p>
            <w:pPr>
              <w:jc w:val="center"/>
              <w:rPr>
                <w:rFonts w:hAnsi="宋体"/>
                <w:color w:val="auto"/>
                <w:sz w:val="21"/>
                <w:szCs w:val="21"/>
              </w:rPr>
            </w:pPr>
          </w:p>
        </w:tc>
        <w:tc>
          <w:tcPr>
            <w:tcW w:w="1984" w:type="dxa"/>
            <w:vAlign w:val="center"/>
          </w:tcPr>
          <w:p>
            <w:pPr>
              <w:jc w:val="center"/>
              <w:rPr>
                <w:color w:val="auto"/>
                <w:sz w:val="21"/>
                <w:szCs w:val="21"/>
              </w:rPr>
            </w:pPr>
            <w:r>
              <w:rPr>
                <w:rFonts w:hAnsi="宋体"/>
                <w:color w:val="auto"/>
                <w:sz w:val="21"/>
                <w:szCs w:val="21"/>
              </w:rPr>
              <w:t>除臭风机</w:t>
            </w:r>
          </w:p>
        </w:tc>
        <w:tc>
          <w:tcPr>
            <w:tcW w:w="709" w:type="dxa"/>
            <w:vAlign w:val="center"/>
          </w:tcPr>
          <w:p>
            <w:pPr>
              <w:jc w:val="center"/>
              <w:rPr>
                <w:color w:val="auto"/>
                <w:sz w:val="21"/>
                <w:szCs w:val="21"/>
              </w:rPr>
            </w:pPr>
            <w:r>
              <w:rPr>
                <w:rFonts w:hint="eastAsia"/>
                <w:color w:val="auto"/>
                <w:sz w:val="21"/>
                <w:szCs w:val="21"/>
              </w:rPr>
              <w:t>1台</w:t>
            </w:r>
          </w:p>
        </w:tc>
        <w:tc>
          <w:tcPr>
            <w:tcW w:w="709" w:type="dxa"/>
            <w:vAlign w:val="center"/>
          </w:tcPr>
          <w:p>
            <w:pPr>
              <w:jc w:val="center"/>
              <w:rPr>
                <w:color w:val="auto"/>
                <w:sz w:val="21"/>
                <w:szCs w:val="21"/>
              </w:rPr>
            </w:pPr>
            <w:r>
              <w:rPr>
                <w:rFonts w:hint="eastAsia"/>
                <w:color w:val="auto"/>
                <w:sz w:val="21"/>
                <w:szCs w:val="21"/>
              </w:rPr>
              <w:t>85</w:t>
            </w:r>
          </w:p>
        </w:tc>
        <w:tc>
          <w:tcPr>
            <w:tcW w:w="1121" w:type="dxa"/>
            <w:vAlign w:val="center"/>
          </w:tcPr>
          <w:p>
            <w:pPr>
              <w:jc w:val="center"/>
              <w:rPr>
                <w:color w:val="auto"/>
                <w:sz w:val="21"/>
                <w:szCs w:val="21"/>
              </w:rPr>
            </w:pPr>
            <w:r>
              <w:rPr>
                <w:rFonts w:hint="eastAsia"/>
                <w:color w:val="auto"/>
                <w:sz w:val="21"/>
                <w:szCs w:val="21"/>
              </w:rPr>
              <w:t>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jc w:val="center"/>
              <w:rPr>
                <w:color w:val="auto"/>
                <w:sz w:val="21"/>
                <w:szCs w:val="21"/>
              </w:rPr>
            </w:pPr>
          </w:p>
        </w:tc>
        <w:tc>
          <w:tcPr>
            <w:tcW w:w="874" w:type="dxa"/>
            <w:vMerge w:val="continue"/>
            <w:vAlign w:val="center"/>
          </w:tcPr>
          <w:p>
            <w:pPr>
              <w:jc w:val="center"/>
              <w:rPr>
                <w:rFonts w:hAnsi="宋体"/>
                <w:color w:val="auto"/>
                <w:sz w:val="21"/>
                <w:szCs w:val="21"/>
              </w:rPr>
            </w:pPr>
          </w:p>
        </w:tc>
        <w:tc>
          <w:tcPr>
            <w:tcW w:w="803" w:type="dxa"/>
            <w:vMerge w:val="continue"/>
            <w:vAlign w:val="center"/>
          </w:tcPr>
          <w:p>
            <w:pPr>
              <w:jc w:val="center"/>
              <w:rPr>
                <w:rFonts w:hAnsi="宋体"/>
                <w:color w:val="auto"/>
                <w:sz w:val="21"/>
                <w:szCs w:val="21"/>
              </w:rPr>
            </w:pPr>
          </w:p>
        </w:tc>
        <w:tc>
          <w:tcPr>
            <w:tcW w:w="1417" w:type="dxa"/>
            <w:vAlign w:val="center"/>
          </w:tcPr>
          <w:p>
            <w:pPr>
              <w:jc w:val="center"/>
              <w:rPr>
                <w:color w:val="auto"/>
                <w:sz w:val="21"/>
                <w:szCs w:val="21"/>
              </w:rPr>
            </w:pPr>
            <w:r>
              <w:rPr>
                <w:rFonts w:hAnsi="宋体"/>
                <w:color w:val="auto"/>
                <w:sz w:val="21"/>
                <w:szCs w:val="21"/>
              </w:rPr>
              <w:t>潜水搅拌器</w:t>
            </w:r>
          </w:p>
        </w:tc>
        <w:tc>
          <w:tcPr>
            <w:tcW w:w="757" w:type="dxa"/>
            <w:vAlign w:val="center"/>
          </w:tcPr>
          <w:p>
            <w:pPr>
              <w:jc w:val="center"/>
              <w:rPr>
                <w:color w:val="auto"/>
                <w:sz w:val="21"/>
                <w:szCs w:val="21"/>
              </w:rPr>
            </w:pPr>
            <w:r>
              <w:rPr>
                <w:color w:val="auto"/>
                <w:sz w:val="21"/>
                <w:szCs w:val="21"/>
              </w:rPr>
              <w:t>1</w:t>
            </w:r>
            <w:r>
              <w:rPr>
                <w:rFonts w:hint="eastAsia"/>
                <w:color w:val="auto"/>
                <w:sz w:val="21"/>
                <w:szCs w:val="21"/>
              </w:rPr>
              <w:t>套</w:t>
            </w:r>
          </w:p>
        </w:tc>
        <w:tc>
          <w:tcPr>
            <w:tcW w:w="709" w:type="dxa"/>
            <w:vAlign w:val="center"/>
          </w:tcPr>
          <w:p>
            <w:pPr>
              <w:jc w:val="center"/>
              <w:rPr>
                <w:color w:val="auto"/>
                <w:sz w:val="21"/>
                <w:szCs w:val="21"/>
              </w:rPr>
            </w:pPr>
            <w:r>
              <w:rPr>
                <w:rFonts w:hint="eastAsia"/>
                <w:color w:val="auto"/>
                <w:sz w:val="21"/>
                <w:szCs w:val="21"/>
              </w:rPr>
              <w:t>75</w:t>
            </w:r>
          </w:p>
        </w:tc>
        <w:tc>
          <w:tcPr>
            <w:tcW w:w="1134" w:type="dxa"/>
            <w:vAlign w:val="center"/>
          </w:tcPr>
          <w:p>
            <w:pPr>
              <w:jc w:val="center"/>
              <w:rPr>
                <w:rFonts w:hAnsi="宋体"/>
                <w:color w:val="auto"/>
                <w:sz w:val="21"/>
                <w:szCs w:val="21"/>
              </w:rPr>
            </w:pPr>
            <w:r>
              <w:rPr>
                <w:rFonts w:hint="eastAsia" w:hAnsi="宋体"/>
                <w:color w:val="auto"/>
                <w:sz w:val="21"/>
                <w:szCs w:val="21"/>
              </w:rPr>
              <w:t>58.8</w:t>
            </w:r>
          </w:p>
        </w:tc>
        <w:tc>
          <w:tcPr>
            <w:tcW w:w="709" w:type="dxa"/>
            <w:vAlign w:val="center"/>
          </w:tcPr>
          <w:p>
            <w:pPr>
              <w:jc w:val="center"/>
              <w:rPr>
                <w:color w:val="auto"/>
                <w:sz w:val="21"/>
                <w:szCs w:val="21"/>
              </w:rPr>
            </w:pPr>
            <w:r>
              <w:rPr>
                <w:rFonts w:hAnsi="宋体"/>
                <w:color w:val="auto"/>
                <w:sz w:val="21"/>
                <w:szCs w:val="21"/>
              </w:rPr>
              <w:t>鼓风机房</w:t>
            </w:r>
          </w:p>
        </w:tc>
        <w:tc>
          <w:tcPr>
            <w:tcW w:w="850" w:type="dxa"/>
            <w:vAlign w:val="center"/>
          </w:tcPr>
          <w:p>
            <w:pPr>
              <w:jc w:val="center"/>
              <w:rPr>
                <w:rFonts w:hAnsi="宋体"/>
                <w:color w:val="auto"/>
                <w:sz w:val="21"/>
                <w:szCs w:val="21"/>
              </w:rPr>
            </w:pPr>
            <w:r>
              <w:rPr>
                <w:color w:val="auto"/>
                <w:kern w:val="0"/>
                <w:sz w:val="21"/>
                <w:szCs w:val="21"/>
              </w:rPr>
              <w:t>754.8</w:t>
            </w:r>
          </w:p>
        </w:tc>
        <w:tc>
          <w:tcPr>
            <w:tcW w:w="709" w:type="dxa"/>
            <w:vAlign w:val="center"/>
          </w:tcPr>
          <w:p>
            <w:pPr>
              <w:jc w:val="center"/>
              <w:rPr>
                <w:rFonts w:hAnsi="宋体"/>
                <w:color w:val="auto"/>
                <w:sz w:val="21"/>
                <w:szCs w:val="21"/>
              </w:rPr>
            </w:pPr>
            <w:r>
              <w:rPr>
                <w:color w:val="auto"/>
                <w:kern w:val="0"/>
                <w:sz w:val="21"/>
                <w:szCs w:val="21"/>
              </w:rPr>
              <w:t>6.75</w:t>
            </w:r>
          </w:p>
        </w:tc>
        <w:tc>
          <w:tcPr>
            <w:tcW w:w="1984" w:type="dxa"/>
            <w:vAlign w:val="center"/>
          </w:tcPr>
          <w:p>
            <w:pPr>
              <w:jc w:val="center"/>
              <w:rPr>
                <w:color w:val="auto"/>
                <w:sz w:val="21"/>
                <w:szCs w:val="21"/>
              </w:rPr>
            </w:pPr>
            <w:r>
              <w:rPr>
                <w:rFonts w:hAnsi="宋体"/>
                <w:color w:val="auto"/>
                <w:sz w:val="21"/>
                <w:szCs w:val="21"/>
              </w:rPr>
              <w:t>多级离心鼓风机</w:t>
            </w:r>
          </w:p>
        </w:tc>
        <w:tc>
          <w:tcPr>
            <w:tcW w:w="709" w:type="dxa"/>
            <w:vAlign w:val="center"/>
          </w:tcPr>
          <w:p>
            <w:pPr>
              <w:jc w:val="center"/>
              <w:rPr>
                <w:color w:val="auto"/>
                <w:sz w:val="21"/>
                <w:szCs w:val="21"/>
              </w:rPr>
            </w:pPr>
            <w:r>
              <w:rPr>
                <w:rFonts w:hint="eastAsia"/>
                <w:color w:val="auto"/>
                <w:sz w:val="21"/>
                <w:szCs w:val="21"/>
              </w:rPr>
              <w:t>2套</w:t>
            </w:r>
          </w:p>
        </w:tc>
        <w:tc>
          <w:tcPr>
            <w:tcW w:w="709" w:type="dxa"/>
            <w:vAlign w:val="center"/>
          </w:tcPr>
          <w:p>
            <w:pPr>
              <w:jc w:val="center"/>
              <w:rPr>
                <w:color w:val="auto"/>
                <w:sz w:val="21"/>
                <w:szCs w:val="21"/>
              </w:rPr>
            </w:pPr>
            <w:r>
              <w:rPr>
                <w:rFonts w:hint="eastAsia"/>
                <w:color w:val="auto"/>
                <w:sz w:val="21"/>
                <w:szCs w:val="21"/>
              </w:rPr>
              <w:t>85</w:t>
            </w:r>
          </w:p>
        </w:tc>
        <w:tc>
          <w:tcPr>
            <w:tcW w:w="1121" w:type="dxa"/>
            <w:vAlign w:val="center"/>
          </w:tcPr>
          <w:p>
            <w:pPr>
              <w:jc w:val="center"/>
              <w:rPr>
                <w:color w:val="auto"/>
                <w:sz w:val="21"/>
                <w:szCs w:val="21"/>
              </w:rPr>
            </w:pPr>
            <w:r>
              <w:rPr>
                <w:rFonts w:hint="eastAsia"/>
                <w:color w:val="auto"/>
                <w:sz w:val="21"/>
                <w:szCs w:val="21"/>
              </w:rPr>
              <w:t>66.5</w:t>
            </w:r>
          </w:p>
        </w:tc>
      </w:tr>
    </w:tbl>
    <w:p>
      <w:pPr>
        <w:pStyle w:val="4"/>
        <w:rPr>
          <w:color w:val="auto"/>
        </w:rPr>
        <w:sectPr>
          <w:pgSz w:w="16838" w:h="11906" w:orient="landscape"/>
          <w:pgMar w:top="1797" w:right="1440" w:bottom="1797" w:left="1440" w:header="851" w:footer="992" w:gutter="0"/>
          <w:cols w:space="425" w:num="1"/>
          <w:docGrid w:type="lines" w:linePitch="312" w:charSpace="0"/>
        </w:sectPr>
      </w:pP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（2）计算出所有室内声源在围护结构处产生的叠加A声压级：</w:t>
      </w:r>
    </w:p>
    <w:p>
      <w:pPr>
        <w:pStyle w:val="10"/>
        <w:spacing w:after="0"/>
        <w:ind w:left="0" w:leftChars="0" w:firstLine="0" w:firstLineChars="0"/>
        <w:jc w:val="center"/>
        <w:rPr>
          <w:rFonts w:ascii="Times New Roman" w:hAnsi="Times New Roman" w:cs="Times New Roman"/>
          <w:bCs/>
          <w:color w:val="auto"/>
        </w:rPr>
      </w:pPr>
      <w:r>
        <w:rPr>
          <w:rFonts w:ascii="Times New Roman" w:hAnsi="Times New Roman" w:cs="Times New Roman"/>
          <w:bCs/>
          <w:color w:val="auto"/>
        </w:rPr>
        <w:drawing>
          <wp:inline distT="0" distB="0" distL="0" distR="0">
            <wp:extent cx="1975485" cy="586740"/>
            <wp:effectExtent l="19050" t="0" r="5715" b="0"/>
            <wp:docPr id="7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
                    <pic:cNvPicPr>
                      <a:picLocks noChangeAspect="1" noChangeArrowheads="1"/>
                    </pic:cNvPicPr>
                  </pic:nvPicPr>
                  <pic:blipFill>
                    <a:blip r:embed="rId72" cstate="print"/>
                    <a:srcRect/>
                    <a:stretch>
                      <a:fillRect/>
                    </a:stretch>
                  </pic:blipFill>
                  <pic:spPr>
                    <a:xfrm>
                      <a:off x="0" y="0"/>
                      <a:ext cx="1975485" cy="586740"/>
                    </a:xfrm>
                    <a:prstGeom prst="rect">
                      <a:avLst/>
                    </a:prstGeom>
                    <a:noFill/>
                    <a:ln w="9525">
                      <a:noFill/>
                      <a:miter lim="800000"/>
                      <a:headEnd/>
                      <a:tailEnd/>
                    </a:ln>
                  </pic:spPr>
                </pic:pic>
              </a:graphicData>
            </a:graphic>
          </wp:inline>
        </w:drawing>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式中：L</w:t>
      </w:r>
      <w:r>
        <w:rPr>
          <w:rFonts w:ascii="Times New Roman" w:hAnsi="Times New Roman" w:cs="Times New Roman"/>
          <w:bCs/>
          <w:color w:val="auto"/>
          <w:vertAlign w:val="subscript"/>
        </w:rPr>
        <w:t>p1</w:t>
      </w:r>
      <w:r>
        <w:rPr>
          <w:rFonts w:ascii="Times New Roman" w:hAnsi="Times New Roman" w:cs="Times New Roman"/>
          <w:bCs/>
          <w:color w:val="auto"/>
        </w:rPr>
        <w:t>(T)——靠近围护结构处室内N个声源叠加A声压级，dB(A)；</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L</w:t>
      </w:r>
      <w:r>
        <w:rPr>
          <w:rFonts w:ascii="Times New Roman" w:hAnsi="Times New Roman" w:cs="Times New Roman"/>
          <w:bCs/>
          <w:color w:val="auto"/>
          <w:vertAlign w:val="subscript"/>
        </w:rPr>
        <w:t>p1j</w:t>
      </w:r>
      <w:r>
        <w:rPr>
          <w:rFonts w:ascii="Times New Roman" w:hAnsi="Times New Roman" w:cs="Times New Roman"/>
          <w:bCs/>
          <w:color w:val="auto"/>
        </w:rPr>
        <w:t>——室内j声源的A声压级，dB(A)；</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N——室内声源总数。</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（3）在室内近似为扩散声场地，按下式计算出靠近室外围护结构处的声压级：</w:t>
      </w:r>
    </w:p>
    <w:p>
      <w:pPr>
        <w:pStyle w:val="10"/>
        <w:spacing w:after="0"/>
        <w:ind w:left="0" w:leftChars="0" w:firstLine="0" w:firstLineChars="0"/>
        <w:jc w:val="center"/>
        <w:rPr>
          <w:rFonts w:ascii="Times New Roman" w:hAnsi="Times New Roman" w:cs="Times New Roman"/>
          <w:bCs/>
          <w:color w:val="auto"/>
        </w:rPr>
      </w:pPr>
      <w:r>
        <w:rPr>
          <w:rFonts w:ascii="Times New Roman" w:hAnsi="Times New Roman" w:cs="Times New Roman"/>
          <w:bCs/>
          <w:color w:val="auto"/>
        </w:rPr>
        <w:drawing>
          <wp:inline distT="0" distB="0" distL="0" distR="0">
            <wp:extent cx="1268095" cy="387985"/>
            <wp:effectExtent l="19050" t="0" r="8255" b="0"/>
            <wp:docPr id="7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8"/>
                    <pic:cNvPicPr>
                      <a:picLocks noChangeAspect="1" noChangeArrowheads="1"/>
                    </pic:cNvPicPr>
                  </pic:nvPicPr>
                  <pic:blipFill>
                    <a:blip r:embed="rId73" cstate="print"/>
                    <a:srcRect/>
                    <a:stretch>
                      <a:fillRect/>
                    </a:stretch>
                  </pic:blipFill>
                  <pic:spPr>
                    <a:xfrm>
                      <a:off x="0" y="0"/>
                      <a:ext cx="1268095" cy="387985"/>
                    </a:xfrm>
                    <a:prstGeom prst="rect">
                      <a:avLst/>
                    </a:prstGeom>
                    <a:noFill/>
                    <a:ln w="9525">
                      <a:noFill/>
                      <a:miter lim="800000"/>
                      <a:headEnd/>
                      <a:tailEnd/>
                    </a:ln>
                  </pic:spPr>
                </pic:pic>
              </a:graphicData>
            </a:graphic>
          </wp:inline>
        </w:drawing>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式中：L</w:t>
      </w:r>
      <w:r>
        <w:rPr>
          <w:rFonts w:ascii="Times New Roman" w:hAnsi="Times New Roman" w:cs="Times New Roman"/>
          <w:bCs/>
          <w:color w:val="auto"/>
          <w:vertAlign w:val="subscript"/>
        </w:rPr>
        <w:t>p1</w:t>
      </w:r>
      <w:r>
        <w:rPr>
          <w:rFonts w:ascii="Times New Roman" w:hAnsi="Times New Roman" w:cs="Times New Roman"/>
          <w:bCs/>
          <w:color w:val="auto"/>
        </w:rPr>
        <w:t>－声源室内声压级，dB(A)；</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L</w:t>
      </w:r>
      <w:r>
        <w:rPr>
          <w:rFonts w:ascii="Times New Roman" w:hAnsi="Times New Roman" w:cs="Times New Roman"/>
          <w:bCs/>
          <w:color w:val="auto"/>
          <w:vertAlign w:val="subscript"/>
        </w:rPr>
        <w:t>p2</w:t>
      </w:r>
      <w:r>
        <w:rPr>
          <w:rFonts w:ascii="Times New Roman" w:hAnsi="Times New Roman" w:cs="Times New Roman"/>
          <w:bCs/>
          <w:color w:val="auto"/>
        </w:rPr>
        <w:t>－等效室外声压级，dB(A)；</w:t>
      </w:r>
    </w:p>
    <w:p>
      <w:pPr>
        <w:pStyle w:val="10"/>
        <w:spacing w:after="0"/>
        <w:ind w:left="0" w:leftChars="0" w:firstLine="480"/>
        <w:jc w:val="left"/>
        <w:rPr>
          <w:bCs/>
          <w:color w:val="auto"/>
        </w:rPr>
      </w:pPr>
      <w:r>
        <w:rPr>
          <w:rFonts w:ascii="Times New Roman" w:hAnsi="Times New Roman" w:cs="Times New Roman"/>
          <w:bCs/>
          <w:color w:val="auto"/>
        </w:rPr>
        <w:t>TL－隔墙（或窗户）倍频带的隔声量，dB(A)</w:t>
      </w:r>
      <w:r>
        <w:rPr>
          <w:rFonts w:ascii="Times New Roman" w:cs="Times New Roman"/>
          <w:bCs/>
          <w:color w:val="auto"/>
        </w:rPr>
        <w:t>。</w:t>
      </w:r>
    </w:p>
    <w:p>
      <w:pPr>
        <w:pStyle w:val="10"/>
        <w:spacing w:after="0"/>
        <w:ind w:left="0" w:leftChars="0" w:firstLine="0" w:firstLineChars="0"/>
        <w:jc w:val="center"/>
        <w:rPr>
          <w:bCs/>
          <w:color w:val="auto"/>
        </w:rPr>
      </w:pPr>
      <w:r>
        <w:rPr>
          <w:bCs/>
          <w:color w:val="auto"/>
        </w:rPr>
        <w:drawing>
          <wp:inline distT="0" distB="0" distL="0" distR="0">
            <wp:extent cx="2890520" cy="1379855"/>
            <wp:effectExtent l="19050" t="0" r="4637" b="0"/>
            <wp:docPr id="7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9"/>
                    <pic:cNvPicPr>
                      <a:picLocks noChangeAspect="1" noChangeArrowheads="1"/>
                    </pic:cNvPicPr>
                  </pic:nvPicPr>
                  <pic:blipFill>
                    <a:blip r:embed="rId74" cstate="print"/>
                    <a:srcRect b="16230"/>
                    <a:stretch>
                      <a:fillRect/>
                    </a:stretch>
                  </pic:blipFill>
                  <pic:spPr>
                    <a:xfrm>
                      <a:off x="0" y="0"/>
                      <a:ext cx="2890963" cy="1380226"/>
                    </a:xfrm>
                    <a:prstGeom prst="rect">
                      <a:avLst/>
                    </a:prstGeom>
                    <a:noFill/>
                    <a:ln w="9525">
                      <a:noFill/>
                      <a:miter lim="800000"/>
                      <a:headEnd/>
                      <a:tailEnd/>
                    </a:ln>
                  </pic:spPr>
                </pic:pic>
              </a:graphicData>
            </a:graphic>
          </wp:inline>
        </w:drawing>
      </w:r>
    </w:p>
    <w:p>
      <w:pPr>
        <w:spacing w:line="360" w:lineRule="auto"/>
        <w:ind w:firstLine="480" w:firstLineChars="200"/>
        <w:rPr>
          <w:bCs/>
          <w:color w:val="auto"/>
          <w:sz w:val="24"/>
          <w:szCs w:val="24"/>
        </w:rPr>
      </w:pPr>
      <w:r>
        <w:rPr>
          <w:rFonts w:hint="eastAsia"/>
          <w:bCs/>
          <w:color w:val="auto"/>
          <w:sz w:val="24"/>
          <w:szCs w:val="24"/>
        </w:rPr>
        <w:t>根据《噪声污染控制工程》（高等教育出版社，洪宗辉）表8-1，砖墙、双面粉刷的单层隔声墙实测的隔声量在43~53dB（A），考虑到门窗面积和开门开窗对隔声的负面影响，本项目实际隔声量（TL+6）取25dB（A）。</w:t>
      </w:r>
    </w:p>
    <w:p>
      <w:pPr>
        <w:spacing w:line="360" w:lineRule="auto"/>
        <w:ind w:firstLine="480" w:firstLineChars="200"/>
        <w:rPr>
          <w:bCs/>
          <w:color w:val="auto"/>
          <w:sz w:val="24"/>
          <w:szCs w:val="24"/>
        </w:rPr>
      </w:pPr>
      <w:r>
        <w:rPr>
          <w:rFonts w:hint="eastAsia"/>
          <w:bCs/>
          <w:color w:val="auto"/>
          <w:sz w:val="24"/>
          <w:szCs w:val="24"/>
        </w:rPr>
        <w:t>根据上述公式及参数，算得本项目室外声压级见下表。</w:t>
      </w:r>
    </w:p>
    <w:p>
      <w:pPr>
        <w:spacing w:line="360" w:lineRule="auto"/>
        <w:jc w:val="center"/>
        <w:rPr>
          <w:b/>
          <w:bCs/>
          <w:color w:val="auto"/>
          <w:sz w:val="24"/>
          <w:szCs w:val="24"/>
        </w:rPr>
      </w:pPr>
      <w:r>
        <w:rPr>
          <w:rFonts w:hint="eastAsia"/>
          <w:b/>
          <w:bCs/>
          <w:color w:val="auto"/>
          <w:sz w:val="24"/>
          <w:szCs w:val="24"/>
        </w:rPr>
        <w:t>表5-2-27   项目室外声压级计算结果表  单位：dB（A）</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892"/>
        <w:gridCol w:w="892"/>
        <w:gridCol w:w="892"/>
        <w:gridCol w:w="893"/>
        <w:gridCol w:w="893"/>
        <w:gridCol w:w="71"/>
        <w:gridCol w:w="822"/>
        <w:gridCol w:w="893"/>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Align w:val="center"/>
          </w:tcPr>
          <w:p>
            <w:pPr>
              <w:jc w:val="center"/>
              <w:rPr>
                <w:b/>
                <w:bCs/>
                <w:color w:val="auto"/>
                <w:sz w:val="21"/>
                <w:szCs w:val="21"/>
              </w:rPr>
            </w:pPr>
            <w:r>
              <w:rPr>
                <w:rFonts w:hint="eastAsia"/>
                <w:b/>
                <w:bCs/>
                <w:color w:val="auto"/>
                <w:sz w:val="21"/>
                <w:szCs w:val="21"/>
              </w:rPr>
              <w:t>构筑物</w:t>
            </w:r>
          </w:p>
        </w:tc>
        <w:tc>
          <w:tcPr>
            <w:tcW w:w="892" w:type="dxa"/>
            <w:vAlign w:val="center"/>
          </w:tcPr>
          <w:p>
            <w:pPr>
              <w:widowControl/>
              <w:jc w:val="center"/>
              <w:rPr>
                <w:color w:val="auto"/>
                <w:kern w:val="0"/>
                <w:sz w:val="21"/>
                <w:szCs w:val="21"/>
              </w:rPr>
            </w:pPr>
            <w:r>
              <w:rPr>
                <w:rFonts w:hAnsi="宋体"/>
                <w:color w:val="auto"/>
                <w:kern w:val="0"/>
                <w:sz w:val="21"/>
                <w:szCs w:val="21"/>
              </w:rPr>
              <w:t>粗格栅及进水泵房</w:t>
            </w:r>
          </w:p>
        </w:tc>
        <w:tc>
          <w:tcPr>
            <w:tcW w:w="892" w:type="dxa"/>
            <w:vAlign w:val="center"/>
          </w:tcPr>
          <w:p>
            <w:pPr>
              <w:widowControl/>
              <w:jc w:val="center"/>
              <w:rPr>
                <w:color w:val="auto"/>
                <w:kern w:val="0"/>
                <w:sz w:val="21"/>
                <w:szCs w:val="21"/>
              </w:rPr>
            </w:pPr>
            <w:r>
              <w:rPr>
                <w:rFonts w:hAnsi="宋体"/>
                <w:color w:val="auto"/>
                <w:kern w:val="0"/>
                <w:sz w:val="21"/>
                <w:szCs w:val="21"/>
              </w:rPr>
              <w:t>细格栅及曝气沉砂池</w:t>
            </w:r>
          </w:p>
        </w:tc>
        <w:tc>
          <w:tcPr>
            <w:tcW w:w="892" w:type="dxa"/>
            <w:vAlign w:val="center"/>
          </w:tcPr>
          <w:p>
            <w:pPr>
              <w:widowControl/>
              <w:jc w:val="center"/>
              <w:rPr>
                <w:color w:val="auto"/>
                <w:kern w:val="0"/>
                <w:sz w:val="21"/>
                <w:szCs w:val="21"/>
              </w:rPr>
            </w:pPr>
            <w:r>
              <w:rPr>
                <w:rFonts w:hAnsi="宋体"/>
                <w:color w:val="auto"/>
                <w:kern w:val="0"/>
                <w:sz w:val="21"/>
                <w:szCs w:val="21"/>
              </w:rPr>
              <w:t>应急沉淀池</w:t>
            </w:r>
          </w:p>
        </w:tc>
        <w:tc>
          <w:tcPr>
            <w:tcW w:w="893" w:type="dxa"/>
            <w:vAlign w:val="center"/>
          </w:tcPr>
          <w:p>
            <w:pPr>
              <w:widowControl/>
              <w:jc w:val="center"/>
              <w:rPr>
                <w:color w:val="auto"/>
                <w:kern w:val="0"/>
                <w:sz w:val="21"/>
                <w:szCs w:val="21"/>
              </w:rPr>
            </w:pPr>
            <w:r>
              <w:rPr>
                <w:rFonts w:hAnsi="宋体"/>
                <w:color w:val="auto"/>
                <w:kern w:val="0"/>
                <w:sz w:val="21"/>
                <w:szCs w:val="21"/>
              </w:rPr>
              <w:t>生物反应池</w:t>
            </w:r>
          </w:p>
        </w:tc>
        <w:tc>
          <w:tcPr>
            <w:tcW w:w="893" w:type="dxa"/>
            <w:vAlign w:val="center"/>
          </w:tcPr>
          <w:p>
            <w:pPr>
              <w:widowControl/>
              <w:jc w:val="center"/>
              <w:rPr>
                <w:color w:val="auto"/>
                <w:kern w:val="0"/>
                <w:sz w:val="21"/>
                <w:szCs w:val="21"/>
              </w:rPr>
            </w:pPr>
            <w:r>
              <w:rPr>
                <w:rFonts w:hAnsi="宋体"/>
                <w:color w:val="auto"/>
                <w:kern w:val="0"/>
                <w:sz w:val="21"/>
                <w:szCs w:val="21"/>
              </w:rPr>
              <w:t>二沉池</w:t>
            </w:r>
          </w:p>
        </w:tc>
        <w:tc>
          <w:tcPr>
            <w:tcW w:w="893" w:type="dxa"/>
            <w:gridSpan w:val="2"/>
            <w:vAlign w:val="center"/>
          </w:tcPr>
          <w:p>
            <w:pPr>
              <w:widowControl/>
              <w:jc w:val="center"/>
              <w:rPr>
                <w:color w:val="auto"/>
                <w:kern w:val="0"/>
                <w:sz w:val="21"/>
                <w:szCs w:val="21"/>
              </w:rPr>
            </w:pPr>
            <w:r>
              <w:rPr>
                <w:rFonts w:hAnsi="宋体"/>
                <w:color w:val="auto"/>
                <w:kern w:val="0"/>
                <w:sz w:val="21"/>
                <w:szCs w:val="21"/>
              </w:rPr>
              <w:t>中间提升泵房</w:t>
            </w:r>
          </w:p>
        </w:tc>
        <w:tc>
          <w:tcPr>
            <w:tcW w:w="893" w:type="dxa"/>
            <w:vAlign w:val="center"/>
          </w:tcPr>
          <w:p>
            <w:pPr>
              <w:widowControl/>
              <w:jc w:val="center"/>
              <w:rPr>
                <w:color w:val="auto"/>
                <w:kern w:val="0"/>
                <w:sz w:val="21"/>
                <w:szCs w:val="21"/>
              </w:rPr>
            </w:pPr>
            <w:r>
              <w:rPr>
                <w:rFonts w:hAnsi="宋体"/>
                <w:color w:val="auto"/>
                <w:kern w:val="0"/>
                <w:sz w:val="21"/>
                <w:szCs w:val="21"/>
              </w:rPr>
              <w:t>反冲洗废水池</w:t>
            </w:r>
          </w:p>
        </w:tc>
        <w:tc>
          <w:tcPr>
            <w:tcW w:w="893" w:type="dxa"/>
            <w:vAlign w:val="center"/>
          </w:tcPr>
          <w:p>
            <w:pPr>
              <w:widowControl/>
              <w:jc w:val="center"/>
              <w:rPr>
                <w:color w:val="auto"/>
                <w:kern w:val="0"/>
                <w:sz w:val="21"/>
                <w:szCs w:val="21"/>
              </w:rPr>
            </w:pPr>
            <w:r>
              <w:rPr>
                <w:rFonts w:hAnsi="宋体"/>
                <w:color w:val="auto"/>
                <w:kern w:val="0"/>
                <w:sz w:val="21"/>
                <w:szCs w:val="21"/>
              </w:rPr>
              <w:t>曝气生物滤池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Align w:val="center"/>
          </w:tcPr>
          <w:p>
            <w:pPr>
              <w:jc w:val="center"/>
              <w:rPr>
                <w:b/>
                <w:bCs/>
                <w:color w:val="auto"/>
                <w:sz w:val="21"/>
                <w:szCs w:val="21"/>
              </w:rPr>
            </w:pPr>
            <w:r>
              <w:rPr>
                <w:rFonts w:hint="eastAsia"/>
                <w:b/>
                <w:bCs/>
                <w:color w:val="auto"/>
                <w:sz w:val="21"/>
                <w:szCs w:val="21"/>
              </w:rPr>
              <w:t>室外声压级</w:t>
            </w:r>
          </w:p>
        </w:tc>
        <w:tc>
          <w:tcPr>
            <w:tcW w:w="892" w:type="dxa"/>
            <w:vAlign w:val="center"/>
          </w:tcPr>
          <w:p>
            <w:pPr>
              <w:widowControl/>
              <w:jc w:val="center"/>
              <w:rPr>
                <w:color w:val="auto"/>
                <w:kern w:val="0"/>
                <w:sz w:val="21"/>
                <w:szCs w:val="21"/>
              </w:rPr>
            </w:pPr>
            <w:r>
              <w:rPr>
                <w:color w:val="auto"/>
                <w:kern w:val="0"/>
                <w:sz w:val="21"/>
                <w:szCs w:val="21"/>
              </w:rPr>
              <w:t>39.24</w:t>
            </w:r>
          </w:p>
        </w:tc>
        <w:tc>
          <w:tcPr>
            <w:tcW w:w="892" w:type="dxa"/>
            <w:vAlign w:val="center"/>
          </w:tcPr>
          <w:p>
            <w:pPr>
              <w:widowControl/>
              <w:jc w:val="center"/>
              <w:rPr>
                <w:color w:val="auto"/>
                <w:kern w:val="0"/>
                <w:sz w:val="21"/>
                <w:szCs w:val="21"/>
              </w:rPr>
            </w:pPr>
            <w:r>
              <w:rPr>
                <w:color w:val="auto"/>
                <w:kern w:val="0"/>
                <w:sz w:val="21"/>
                <w:szCs w:val="21"/>
              </w:rPr>
              <w:t>41.74</w:t>
            </w:r>
          </w:p>
        </w:tc>
        <w:tc>
          <w:tcPr>
            <w:tcW w:w="892" w:type="dxa"/>
            <w:vAlign w:val="center"/>
          </w:tcPr>
          <w:p>
            <w:pPr>
              <w:widowControl/>
              <w:jc w:val="center"/>
              <w:rPr>
                <w:color w:val="auto"/>
                <w:kern w:val="0"/>
                <w:sz w:val="21"/>
                <w:szCs w:val="21"/>
              </w:rPr>
            </w:pPr>
            <w:r>
              <w:rPr>
                <w:color w:val="auto"/>
                <w:kern w:val="0"/>
                <w:sz w:val="21"/>
                <w:szCs w:val="21"/>
              </w:rPr>
              <w:t>33.63</w:t>
            </w:r>
          </w:p>
        </w:tc>
        <w:tc>
          <w:tcPr>
            <w:tcW w:w="893" w:type="dxa"/>
            <w:vAlign w:val="center"/>
          </w:tcPr>
          <w:p>
            <w:pPr>
              <w:widowControl/>
              <w:jc w:val="center"/>
              <w:rPr>
                <w:color w:val="auto"/>
                <w:kern w:val="0"/>
                <w:sz w:val="21"/>
                <w:szCs w:val="21"/>
              </w:rPr>
            </w:pPr>
            <w:r>
              <w:rPr>
                <w:color w:val="auto"/>
                <w:kern w:val="0"/>
                <w:sz w:val="21"/>
                <w:szCs w:val="21"/>
              </w:rPr>
              <w:t>34.39</w:t>
            </w:r>
          </w:p>
        </w:tc>
        <w:tc>
          <w:tcPr>
            <w:tcW w:w="893" w:type="dxa"/>
            <w:vAlign w:val="center"/>
          </w:tcPr>
          <w:p>
            <w:pPr>
              <w:widowControl/>
              <w:jc w:val="center"/>
              <w:rPr>
                <w:color w:val="auto"/>
                <w:kern w:val="0"/>
                <w:sz w:val="21"/>
                <w:szCs w:val="21"/>
              </w:rPr>
            </w:pPr>
            <w:r>
              <w:rPr>
                <w:color w:val="auto"/>
                <w:kern w:val="0"/>
                <w:sz w:val="21"/>
                <w:szCs w:val="21"/>
              </w:rPr>
              <w:t>29.09</w:t>
            </w:r>
          </w:p>
        </w:tc>
        <w:tc>
          <w:tcPr>
            <w:tcW w:w="893" w:type="dxa"/>
            <w:gridSpan w:val="2"/>
            <w:vAlign w:val="center"/>
          </w:tcPr>
          <w:p>
            <w:pPr>
              <w:widowControl/>
              <w:jc w:val="center"/>
              <w:rPr>
                <w:color w:val="auto"/>
                <w:kern w:val="0"/>
                <w:sz w:val="21"/>
                <w:szCs w:val="21"/>
              </w:rPr>
            </w:pPr>
            <w:r>
              <w:rPr>
                <w:color w:val="auto"/>
                <w:kern w:val="0"/>
                <w:sz w:val="21"/>
                <w:szCs w:val="21"/>
              </w:rPr>
              <w:t>32.44</w:t>
            </w:r>
          </w:p>
        </w:tc>
        <w:tc>
          <w:tcPr>
            <w:tcW w:w="893" w:type="dxa"/>
            <w:vAlign w:val="center"/>
          </w:tcPr>
          <w:p>
            <w:pPr>
              <w:widowControl/>
              <w:jc w:val="center"/>
              <w:rPr>
                <w:color w:val="auto"/>
                <w:kern w:val="0"/>
                <w:sz w:val="21"/>
                <w:szCs w:val="21"/>
              </w:rPr>
            </w:pPr>
            <w:r>
              <w:rPr>
                <w:color w:val="auto"/>
                <w:kern w:val="0"/>
                <w:sz w:val="21"/>
                <w:szCs w:val="21"/>
              </w:rPr>
              <w:t>44.82</w:t>
            </w:r>
          </w:p>
        </w:tc>
        <w:tc>
          <w:tcPr>
            <w:tcW w:w="893" w:type="dxa"/>
            <w:vAlign w:val="center"/>
          </w:tcPr>
          <w:p>
            <w:pPr>
              <w:widowControl/>
              <w:jc w:val="center"/>
              <w:rPr>
                <w:color w:val="auto"/>
                <w:kern w:val="0"/>
                <w:sz w:val="21"/>
                <w:szCs w:val="21"/>
              </w:rPr>
            </w:pPr>
            <w:r>
              <w:rPr>
                <w:color w:val="auto"/>
                <w:kern w:val="0"/>
                <w:sz w:val="21"/>
                <w:szCs w:val="21"/>
              </w:rPr>
              <w:t>44.12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Align w:val="center"/>
          </w:tcPr>
          <w:p>
            <w:pPr>
              <w:jc w:val="center"/>
              <w:rPr>
                <w:b/>
                <w:bCs/>
                <w:color w:val="auto"/>
                <w:sz w:val="21"/>
                <w:szCs w:val="21"/>
              </w:rPr>
            </w:pPr>
            <w:r>
              <w:rPr>
                <w:rFonts w:hint="eastAsia"/>
                <w:b/>
                <w:bCs/>
                <w:color w:val="auto"/>
                <w:sz w:val="21"/>
                <w:szCs w:val="21"/>
              </w:rPr>
              <w:t>构筑物</w:t>
            </w:r>
          </w:p>
        </w:tc>
        <w:tc>
          <w:tcPr>
            <w:tcW w:w="892" w:type="dxa"/>
            <w:vAlign w:val="center"/>
          </w:tcPr>
          <w:p>
            <w:pPr>
              <w:widowControl/>
              <w:jc w:val="center"/>
              <w:rPr>
                <w:color w:val="auto"/>
                <w:kern w:val="0"/>
                <w:sz w:val="21"/>
                <w:szCs w:val="21"/>
              </w:rPr>
            </w:pPr>
            <w:r>
              <w:rPr>
                <w:rFonts w:hAnsi="宋体"/>
                <w:color w:val="auto"/>
                <w:kern w:val="0"/>
                <w:sz w:val="21"/>
                <w:szCs w:val="21"/>
              </w:rPr>
              <w:t>反冲洗水池</w:t>
            </w:r>
          </w:p>
        </w:tc>
        <w:tc>
          <w:tcPr>
            <w:tcW w:w="1784" w:type="dxa"/>
            <w:gridSpan w:val="2"/>
            <w:vAlign w:val="center"/>
          </w:tcPr>
          <w:p>
            <w:pPr>
              <w:widowControl/>
              <w:jc w:val="center"/>
              <w:rPr>
                <w:color w:val="auto"/>
                <w:kern w:val="0"/>
                <w:sz w:val="21"/>
                <w:szCs w:val="21"/>
              </w:rPr>
            </w:pPr>
            <w:r>
              <w:rPr>
                <w:rFonts w:hAnsi="宋体"/>
                <w:color w:val="auto"/>
                <w:sz w:val="21"/>
                <w:szCs w:val="21"/>
              </w:rPr>
              <w:t>高效沉淀池、滤池、消毒接触池及中水回用泵房</w:t>
            </w:r>
          </w:p>
        </w:tc>
        <w:tc>
          <w:tcPr>
            <w:tcW w:w="893" w:type="dxa"/>
            <w:vAlign w:val="center"/>
          </w:tcPr>
          <w:p>
            <w:pPr>
              <w:widowControl/>
              <w:jc w:val="center"/>
              <w:rPr>
                <w:color w:val="auto"/>
                <w:kern w:val="0"/>
                <w:sz w:val="21"/>
                <w:szCs w:val="21"/>
              </w:rPr>
            </w:pPr>
            <w:r>
              <w:rPr>
                <w:rFonts w:hAnsi="宋体"/>
                <w:color w:val="auto"/>
                <w:kern w:val="0"/>
                <w:sz w:val="21"/>
                <w:szCs w:val="21"/>
              </w:rPr>
              <w:t>污泥均质调理池</w:t>
            </w:r>
          </w:p>
        </w:tc>
        <w:tc>
          <w:tcPr>
            <w:tcW w:w="964" w:type="dxa"/>
            <w:gridSpan w:val="2"/>
            <w:vAlign w:val="center"/>
          </w:tcPr>
          <w:p>
            <w:pPr>
              <w:widowControl/>
              <w:jc w:val="center"/>
              <w:rPr>
                <w:color w:val="auto"/>
                <w:kern w:val="0"/>
                <w:sz w:val="21"/>
                <w:szCs w:val="21"/>
              </w:rPr>
            </w:pPr>
            <w:r>
              <w:rPr>
                <w:rFonts w:hAnsi="宋体"/>
                <w:color w:val="auto"/>
                <w:kern w:val="0"/>
                <w:sz w:val="21"/>
                <w:szCs w:val="21"/>
              </w:rPr>
              <w:t>污泥脱水机房</w:t>
            </w:r>
          </w:p>
        </w:tc>
        <w:tc>
          <w:tcPr>
            <w:tcW w:w="822" w:type="dxa"/>
            <w:vAlign w:val="center"/>
          </w:tcPr>
          <w:p>
            <w:pPr>
              <w:widowControl/>
              <w:jc w:val="center"/>
              <w:rPr>
                <w:color w:val="auto"/>
                <w:kern w:val="0"/>
                <w:sz w:val="21"/>
                <w:szCs w:val="21"/>
              </w:rPr>
            </w:pPr>
            <w:r>
              <w:rPr>
                <w:rFonts w:hAnsi="宋体"/>
                <w:color w:val="auto"/>
                <w:kern w:val="0"/>
                <w:sz w:val="21"/>
                <w:szCs w:val="21"/>
              </w:rPr>
              <w:t>加药间</w:t>
            </w:r>
          </w:p>
        </w:tc>
        <w:tc>
          <w:tcPr>
            <w:tcW w:w="893" w:type="dxa"/>
            <w:vAlign w:val="center"/>
          </w:tcPr>
          <w:p>
            <w:pPr>
              <w:widowControl/>
              <w:jc w:val="center"/>
              <w:rPr>
                <w:color w:val="auto"/>
                <w:kern w:val="0"/>
                <w:sz w:val="21"/>
                <w:szCs w:val="21"/>
              </w:rPr>
            </w:pPr>
            <w:r>
              <w:rPr>
                <w:rFonts w:hAnsi="宋体"/>
                <w:color w:val="auto"/>
                <w:kern w:val="0"/>
                <w:sz w:val="21"/>
                <w:szCs w:val="21"/>
              </w:rPr>
              <w:t>除臭装置</w:t>
            </w:r>
          </w:p>
        </w:tc>
        <w:tc>
          <w:tcPr>
            <w:tcW w:w="893" w:type="dxa"/>
            <w:vAlign w:val="center"/>
          </w:tcPr>
          <w:p>
            <w:pPr>
              <w:widowControl/>
              <w:jc w:val="center"/>
              <w:rPr>
                <w:color w:val="auto"/>
                <w:kern w:val="0"/>
                <w:sz w:val="21"/>
                <w:szCs w:val="21"/>
              </w:rPr>
            </w:pPr>
            <w:r>
              <w:rPr>
                <w:rFonts w:hAnsi="宋体"/>
                <w:color w:val="auto"/>
                <w:kern w:val="0"/>
                <w:sz w:val="21"/>
                <w:szCs w:val="21"/>
              </w:rPr>
              <w:t>鼓风机房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Align w:val="center"/>
          </w:tcPr>
          <w:p>
            <w:pPr>
              <w:jc w:val="center"/>
              <w:rPr>
                <w:b/>
                <w:bCs/>
                <w:color w:val="auto"/>
                <w:sz w:val="21"/>
                <w:szCs w:val="21"/>
              </w:rPr>
            </w:pPr>
            <w:r>
              <w:rPr>
                <w:rFonts w:hint="eastAsia"/>
                <w:b/>
                <w:bCs/>
                <w:color w:val="auto"/>
                <w:sz w:val="21"/>
                <w:szCs w:val="21"/>
              </w:rPr>
              <w:t>室外声压级</w:t>
            </w:r>
          </w:p>
        </w:tc>
        <w:tc>
          <w:tcPr>
            <w:tcW w:w="892" w:type="dxa"/>
            <w:vAlign w:val="center"/>
          </w:tcPr>
          <w:p>
            <w:pPr>
              <w:widowControl/>
              <w:jc w:val="center"/>
              <w:rPr>
                <w:color w:val="auto"/>
                <w:kern w:val="0"/>
                <w:sz w:val="21"/>
                <w:szCs w:val="21"/>
              </w:rPr>
            </w:pPr>
            <w:r>
              <w:rPr>
                <w:color w:val="auto"/>
                <w:kern w:val="0"/>
                <w:sz w:val="21"/>
                <w:szCs w:val="21"/>
              </w:rPr>
              <w:t>44.78</w:t>
            </w:r>
          </w:p>
        </w:tc>
        <w:tc>
          <w:tcPr>
            <w:tcW w:w="1784" w:type="dxa"/>
            <w:gridSpan w:val="2"/>
            <w:vAlign w:val="center"/>
          </w:tcPr>
          <w:p>
            <w:pPr>
              <w:widowControl/>
              <w:jc w:val="center"/>
              <w:rPr>
                <w:color w:val="auto"/>
                <w:kern w:val="0"/>
                <w:sz w:val="21"/>
                <w:szCs w:val="21"/>
              </w:rPr>
            </w:pPr>
            <w:r>
              <w:rPr>
                <w:color w:val="auto"/>
                <w:kern w:val="0"/>
                <w:sz w:val="21"/>
                <w:szCs w:val="21"/>
              </w:rPr>
              <w:t>38.55</w:t>
            </w:r>
          </w:p>
        </w:tc>
        <w:tc>
          <w:tcPr>
            <w:tcW w:w="893" w:type="dxa"/>
            <w:vAlign w:val="center"/>
          </w:tcPr>
          <w:p>
            <w:pPr>
              <w:widowControl/>
              <w:jc w:val="center"/>
              <w:rPr>
                <w:color w:val="auto"/>
                <w:kern w:val="0"/>
                <w:sz w:val="21"/>
                <w:szCs w:val="21"/>
              </w:rPr>
            </w:pPr>
            <w:r>
              <w:rPr>
                <w:color w:val="auto"/>
                <w:kern w:val="0"/>
                <w:sz w:val="21"/>
                <w:szCs w:val="21"/>
              </w:rPr>
              <w:t>38.60</w:t>
            </w:r>
          </w:p>
        </w:tc>
        <w:tc>
          <w:tcPr>
            <w:tcW w:w="964" w:type="dxa"/>
            <w:gridSpan w:val="2"/>
            <w:vAlign w:val="center"/>
          </w:tcPr>
          <w:p>
            <w:pPr>
              <w:widowControl/>
              <w:jc w:val="center"/>
              <w:rPr>
                <w:color w:val="auto"/>
                <w:kern w:val="0"/>
                <w:sz w:val="21"/>
                <w:szCs w:val="21"/>
              </w:rPr>
            </w:pPr>
            <w:r>
              <w:rPr>
                <w:color w:val="auto"/>
                <w:kern w:val="0"/>
                <w:sz w:val="21"/>
                <w:szCs w:val="21"/>
              </w:rPr>
              <w:t>44.47</w:t>
            </w:r>
          </w:p>
        </w:tc>
        <w:tc>
          <w:tcPr>
            <w:tcW w:w="822" w:type="dxa"/>
            <w:vAlign w:val="center"/>
          </w:tcPr>
          <w:p>
            <w:pPr>
              <w:widowControl/>
              <w:jc w:val="center"/>
              <w:rPr>
                <w:color w:val="auto"/>
                <w:kern w:val="0"/>
                <w:sz w:val="21"/>
                <w:szCs w:val="21"/>
              </w:rPr>
            </w:pPr>
            <w:r>
              <w:rPr>
                <w:color w:val="auto"/>
                <w:kern w:val="0"/>
                <w:sz w:val="21"/>
                <w:szCs w:val="21"/>
              </w:rPr>
              <w:t>40.79</w:t>
            </w:r>
          </w:p>
        </w:tc>
        <w:tc>
          <w:tcPr>
            <w:tcW w:w="893" w:type="dxa"/>
            <w:vAlign w:val="center"/>
          </w:tcPr>
          <w:p>
            <w:pPr>
              <w:widowControl/>
              <w:jc w:val="center"/>
              <w:rPr>
                <w:color w:val="auto"/>
                <w:kern w:val="0"/>
                <w:sz w:val="21"/>
                <w:szCs w:val="21"/>
              </w:rPr>
            </w:pPr>
            <w:r>
              <w:rPr>
                <w:color w:val="auto"/>
                <w:kern w:val="0"/>
                <w:sz w:val="21"/>
                <w:szCs w:val="21"/>
              </w:rPr>
              <w:t>52.31</w:t>
            </w:r>
          </w:p>
        </w:tc>
        <w:tc>
          <w:tcPr>
            <w:tcW w:w="893" w:type="dxa"/>
            <w:vAlign w:val="center"/>
          </w:tcPr>
          <w:p>
            <w:pPr>
              <w:widowControl/>
              <w:jc w:val="center"/>
              <w:rPr>
                <w:color w:val="auto"/>
                <w:kern w:val="0"/>
                <w:sz w:val="21"/>
                <w:szCs w:val="21"/>
              </w:rPr>
            </w:pPr>
            <w:r>
              <w:rPr>
                <w:color w:val="auto"/>
                <w:kern w:val="0"/>
                <w:sz w:val="21"/>
                <w:szCs w:val="21"/>
              </w:rPr>
              <w:t>44.51</w:t>
            </w:r>
          </w:p>
        </w:tc>
      </w:tr>
    </w:tbl>
    <w:p>
      <w:pPr>
        <w:pStyle w:val="10"/>
        <w:spacing w:after="0"/>
        <w:ind w:left="0" w:leftChars="0" w:firstLine="480"/>
        <w:jc w:val="left"/>
        <w:rPr>
          <w:bCs/>
          <w:color w:val="auto"/>
        </w:rPr>
      </w:pPr>
      <w:r>
        <w:rPr>
          <w:rFonts w:hint="eastAsia"/>
          <w:bCs/>
          <w:color w:val="auto"/>
        </w:rPr>
        <w:t>为了解项目厂界噪声及其对周边声环境敏感点造成的影响，本项目采用无指向性点声源几何发散衰减公式进行预测：</w:t>
      </w:r>
    </w:p>
    <w:p>
      <w:pPr>
        <w:pStyle w:val="10"/>
        <w:spacing w:after="0"/>
        <w:ind w:left="0" w:leftChars="0" w:firstLine="0" w:firstLineChars="0"/>
        <w:jc w:val="center"/>
        <w:rPr>
          <w:bCs/>
          <w:color w:val="auto"/>
        </w:rPr>
      </w:pPr>
      <w:r>
        <w:rPr>
          <w:bCs/>
          <w:color w:val="auto"/>
        </w:rPr>
        <w:drawing>
          <wp:inline distT="0" distB="0" distL="0" distR="0">
            <wp:extent cx="1859280" cy="335280"/>
            <wp:effectExtent l="19050" t="0" r="7620" b="0"/>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noChangeArrowheads="1"/>
                    </pic:cNvPicPr>
                  </pic:nvPicPr>
                  <pic:blipFill>
                    <a:blip r:embed="rId75" cstate="print"/>
                    <a:srcRect/>
                    <a:stretch>
                      <a:fillRect/>
                    </a:stretch>
                  </pic:blipFill>
                  <pic:spPr>
                    <a:xfrm>
                      <a:off x="0" y="0"/>
                      <a:ext cx="1859280" cy="335280"/>
                    </a:xfrm>
                    <a:prstGeom prst="rect">
                      <a:avLst/>
                    </a:prstGeom>
                    <a:noFill/>
                    <a:ln w="9525">
                      <a:noFill/>
                      <a:miter lim="800000"/>
                      <a:headEnd/>
                      <a:tailEnd/>
                    </a:ln>
                  </pic:spPr>
                </pic:pic>
              </a:graphicData>
            </a:graphic>
          </wp:inline>
        </w:drawing>
      </w:r>
    </w:p>
    <w:p>
      <w:pPr>
        <w:pStyle w:val="10"/>
        <w:spacing w:after="0"/>
        <w:ind w:left="0" w:leftChars="0" w:firstLine="480"/>
        <w:rPr>
          <w:rFonts w:ascii="Times New Roman" w:hAnsi="Times New Roman" w:cs="Times New Roman"/>
          <w:bCs/>
          <w:color w:val="auto"/>
        </w:rPr>
      </w:pPr>
      <w:r>
        <w:rPr>
          <w:rFonts w:hint="eastAsia"/>
          <w:bCs/>
          <w:color w:val="auto"/>
        </w:rPr>
        <w:t>式</w:t>
      </w:r>
      <w:r>
        <w:rPr>
          <w:rFonts w:ascii="Times New Roman" w:cs="Times New Roman"/>
          <w:bCs/>
          <w:color w:val="auto"/>
        </w:rPr>
        <w:t>中：</w:t>
      </w:r>
      <w:r>
        <w:rPr>
          <w:rFonts w:ascii="Times New Roman" w:hAnsi="Times New Roman" w:cs="Times New Roman"/>
          <w:bCs/>
          <w:color w:val="auto"/>
        </w:rPr>
        <w:t>L</w:t>
      </w:r>
      <w:r>
        <w:rPr>
          <w:rFonts w:ascii="Times New Roman" w:hAnsi="Times New Roman" w:cs="Times New Roman"/>
          <w:bCs/>
          <w:color w:val="auto"/>
          <w:vertAlign w:val="subscript"/>
        </w:rPr>
        <w:t>p</w:t>
      </w:r>
      <w:r>
        <w:rPr>
          <w:rFonts w:ascii="Times New Roman" w:cs="Times New Roman"/>
          <w:bCs/>
          <w:color w:val="auto"/>
        </w:rPr>
        <w:t>（</w:t>
      </w:r>
      <w:r>
        <w:rPr>
          <w:rFonts w:ascii="Times New Roman" w:hAnsi="Times New Roman" w:cs="Times New Roman"/>
          <w:bCs/>
          <w:color w:val="auto"/>
        </w:rPr>
        <w:t>r</w:t>
      </w:r>
      <w:r>
        <w:rPr>
          <w:rFonts w:ascii="Times New Roman" w:cs="Times New Roman"/>
          <w:bCs/>
          <w:color w:val="auto"/>
        </w:rPr>
        <w:t>）</w:t>
      </w:r>
      <w:r>
        <w:rPr>
          <w:rFonts w:ascii="Times New Roman" w:hAnsi="Times New Roman" w:cs="Times New Roman"/>
          <w:bCs/>
          <w:color w:val="auto"/>
        </w:rPr>
        <w:t>—</w:t>
      </w:r>
      <w:r>
        <w:rPr>
          <w:rFonts w:ascii="Times New Roman" w:cs="Times New Roman"/>
          <w:bCs/>
          <w:color w:val="auto"/>
        </w:rPr>
        <w:t>点声源在预测点产生的声压级，</w:t>
      </w:r>
      <w:r>
        <w:rPr>
          <w:rFonts w:ascii="Times New Roman" w:hAnsi="Times New Roman" w:cs="Times New Roman"/>
          <w:bCs/>
          <w:color w:val="auto"/>
        </w:rPr>
        <w:t>dB(A)</w:t>
      </w:r>
      <w:r>
        <w:rPr>
          <w:rFonts w:ascii="Times New Roman" w:cs="Times New Roman"/>
          <w:bCs/>
          <w:color w:val="auto"/>
        </w:rPr>
        <w:t>；</w:t>
      </w:r>
    </w:p>
    <w:p>
      <w:pPr>
        <w:pStyle w:val="10"/>
        <w:spacing w:after="0"/>
        <w:ind w:left="0" w:leftChars="0" w:firstLine="480"/>
        <w:rPr>
          <w:rFonts w:ascii="Times New Roman" w:hAnsi="Times New Roman" w:cs="Times New Roman"/>
          <w:bCs/>
          <w:color w:val="auto"/>
        </w:rPr>
      </w:pPr>
      <w:r>
        <w:rPr>
          <w:rFonts w:ascii="Times New Roman" w:hAnsi="Times New Roman" w:cs="Times New Roman"/>
          <w:bCs/>
          <w:color w:val="auto"/>
        </w:rPr>
        <w:t>L</w:t>
      </w:r>
      <w:r>
        <w:rPr>
          <w:rFonts w:ascii="Times New Roman" w:hAnsi="Times New Roman" w:cs="Times New Roman"/>
          <w:bCs/>
          <w:color w:val="auto"/>
          <w:vertAlign w:val="subscript"/>
        </w:rPr>
        <w:t>p</w:t>
      </w:r>
      <w:r>
        <w:rPr>
          <w:rFonts w:ascii="Times New Roman" w:hAnsi="Times New Roman" w:cs="Times New Roman"/>
          <w:bCs/>
          <w:color w:val="auto"/>
        </w:rPr>
        <w:t>(r</w:t>
      </w:r>
      <w:r>
        <w:rPr>
          <w:rFonts w:ascii="Times New Roman" w:hAnsi="Times New Roman" w:cs="Times New Roman"/>
          <w:bCs/>
          <w:color w:val="auto"/>
          <w:vertAlign w:val="subscript"/>
        </w:rPr>
        <w:t>0</w:t>
      </w:r>
      <w:r>
        <w:rPr>
          <w:rFonts w:ascii="Times New Roman" w:hAnsi="Times New Roman" w:cs="Times New Roman"/>
          <w:bCs/>
          <w:color w:val="auto"/>
        </w:rPr>
        <w:t>)—</w:t>
      </w:r>
      <w:r>
        <w:rPr>
          <w:rFonts w:ascii="Times New Roman" w:cs="Times New Roman"/>
          <w:bCs/>
          <w:color w:val="auto"/>
        </w:rPr>
        <w:t>点声源在参考点产生的声压级，</w:t>
      </w:r>
      <w:r>
        <w:rPr>
          <w:rFonts w:ascii="Times New Roman" w:hAnsi="Times New Roman" w:cs="Times New Roman"/>
          <w:bCs/>
          <w:color w:val="auto"/>
        </w:rPr>
        <w:t>dB(A)</w:t>
      </w:r>
      <w:r>
        <w:rPr>
          <w:rFonts w:ascii="Times New Roman" w:cs="Times New Roman"/>
          <w:bCs/>
          <w:color w:val="auto"/>
        </w:rPr>
        <w:t>；</w:t>
      </w:r>
    </w:p>
    <w:p>
      <w:pPr>
        <w:pStyle w:val="10"/>
        <w:spacing w:after="0"/>
        <w:ind w:left="0" w:leftChars="0" w:firstLine="480"/>
        <w:rPr>
          <w:rFonts w:ascii="Times New Roman" w:hAnsi="Times New Roman" w:cs="Times New Roman"/>
          <w:bCs/>
          <w:color w:val="auto"/>
        </w:rPr>
      </w:pPr>
      <w:r>
        <w:rPr>
          <w:rFonts w:ascii="Times New Roman" w:hAnsi="Times New Roman" w:cs="Times New Roman"/>
          <w:bCs/>
          <w:color w:val="auto"/>
        </w:rPr>
        <w:t>r—</w:t>
      </w:r>
      <w:r>
        <w:rPr>
          <w:rFonts w:ascii="Times New Roman" w:cs="Times New Roman"/>
          <w:bCs/>
          <w:color w:val="auto"/>
        </w:rPr>
        <w:t>预测点距声源的距离，</w:t>
      </w:r>
      <w:r>
        <w:rPr>
          <w:rFonts w:ascii="Times New Roman" w:hAnsi="Times New Roman" w:cs="Times New Roman"/>
          <w:bCs/>
          <w:color w:val="auto"/>
        </w:rPr>
        <w:t>m</w:t>
      </w:r>
      <w:r>
        <w:rPr>
          <w:rFonts w:ascii="Times New Roman" w:cs="Times New Roman"/>
          <w:bCs/>
          <w:color w:val="auto"/>
        </w:rPr>
        <w:t>；</w:t>
      </w:r>
    </w:p>
    <w:p>
      <w:pPr>
        <w:pStyle w:val="10"/>
        <w:spacing w:after="0"/>
        <w:ind w:left="0" w:leftChars="0" w:firstLine="480"/>
        <w:jc w:val="left"/>
        <w:rPr>
          <w:rFonts w:ascii="Times New Roman" w:hAnsi="Times New Roman" w:cs="Times New Roman"/>
          <w:bCs/>
          <w:color w:val="auto"/>
        </w:rPr>
      </w:pPr>
      <w:r>
        <w:rPr>
          <w:rFonts w:ascii="Times New Roman" w:hAnsi="Times New Roman" w:cs="Times New Roman"/>
          <w:bCs/>
          <w:color w:val="auto"/>
        </w:rPr>
        <w:t>r</w:t>
      </w:r>
      <w:r>
        <w:rPr>
          <w:rFonts w:ascii="Times New Roman" w:hAnsi="Times New Roman" w:cs="Times New Roman"/>
          <w:bCs/>
          <w:color w:val="auto"/>
          <w:vertAlign w:val="subscript"/>
        </w:rPr>
        <w:t>0</w:t>
      </w:r>
      <w:r>
        <w:rPr>
          <w:rFonts w:ascii="Times New Roman" w:hAnsi="Times New Roman" w:cs="Times New Roman"/>
          <w:bCs/>
          <w:color w:val="auto"/>
        </w:rPr>
        <w:t>—</w:t>
      </w:r>
      <w:r>
        <w:rPr>
          <w:rFonts w:ascii="Times New Roman" w:cs="Times New Roman"/>
          <w:bCs/>
          <w:color w:val="auto"/>
        </w:rPr>
        <w:t>参考点距声源的距离，</w:t>
      </w:r>
      <w:r>
        <w:rPr>
          <w:rFonts w:ascii="Times New Roman" w:hAnsi="Times New Roman" w:cs="Times New Roman"/>
          <w:bCs/>
          <w:color w:val="auto"/>
        </w:rPr>
        <w:t>m</w:t>
      </w:r>
      <w:r>
        <w:rPr>
          <w:rFonts w:ascii="Times New Roman" w:cs="Times New Roman"/>
          <w:bCs/>
          <w:color w:val="auto"/>
        </w:rPr>
        <w:t>。</w:t>
      </w:r>
    </w:p>
    <w:p>
      <w:pPr>
        <w:pStyle w:val="10"/>
        <w:spacing w:after="0"/>
        <w:ind w:left="0" w:leftChars="0" w:firstLine="480"/>
        <w:jc w:val="left"/>
        <w:rPr>
          <w:bCs/>
          <w:color w:val="auto"/>
        </w:rPr>
      </w:pPr>
      <w:r>
        <w:rPr>
          <w:rFonts w:ascii="Times New Roman" w:cs="Times New Roman"/>
          <w:bCs/>
          <w:color w:val="auto"/>
        </w:rPr>
        <w:t>根据噪声源与厂界之间的距离，结合</w:t>
      </w:r>
      <w:r>
        <w:rPr>
          <w:rFonts w:hint="eastAsia"/>
          <w:bCs/>
          <w:color w:val="auto"/>
        </w:rPr>
        <w:t>预测公式计算项目厂界噪声及其对周边声环境敏感点的贡献值，结果如下</w:t>
      </w:r>
      <w:r>
        <w:rPr>
          <w:rFonts w:ascii="Times New Roman" w:cs="Times New Roman"/>
          <w:bCs/>
          <w:color w:val="auto"/>
        </w:rPr>
        <w:t>表</w:t>
      </w:r>
      <w:r>
        <w:rPr>
          <w:rFonts w:ascii="Times New Roman" w:hAnsi="Times New Roman" w:cs="Times New Roman"/>
          <w:bCs/>
          <w:color w:val="auto"/>
        </w:rPr>
        <w:t>5-2-</w:t>
      </w:r>
      <w:r>
        <w:rPr>
          <w:rFonts w:hint="eastAsia" w:ascii="Times New Roman" w:hAnsi="Times New Roman" w:cs="Times New Roman"/>
          <w:bCs/>
          <w:color w:val="auto"/>
        </w:rPr>
        <w:t>28</w:t>
      </w:r>
      <w:r>
        <w:rPr>
          <w:rFonts w:ascii="Times New Roman" w:cs="Times New Roman"/>
          <w:bCs/>
          <w:color w:val="auto"/>
        </w:rPr>
        <w:t>、</w:t>
      </w:r>
      <w:r>
        <w:rPr>
          <w:rFonts w:ascii="Times New Roman" w:hAnsi="Times New Roman" w:cs="Times New Roman"/>
          <w:bCs/>
          <w:color w:val="auto"/>
        </w:rPr>
        <w:t>5-2-</w:t>
      </w:r>
      <w:r>
        <w:rPr>
          <w:rFonts w:hint="eastAsia" w:ascii="Times New Roman" w:hAnsi="Times New Roman" w:cs="Times New Roman"/>
          <w:bCs/>
          <w:color w:val="auto"/>
        </w:rPr>
        <w:t>29</w:t>
      </w:r>
      <w:r>
        <w:rPr>
          <w:rFonts w:ascii="Times New Roman" w:cs="Times New Roman"/>
          <w:bCs/>
          <w:color w:val="auto"/>
        </w:rPr>
        <w:t>所</w:t>
      </w:r>
      <w:r>
        <w:rPr>
          <w:rFonts w:hint="eastAsia"/>
          <w:bCs/>
          <w:color w:val="auto"/>
        </w:rPr>
        <w:t>示。</w:t>
      </w:r>
    </w:p>
    <w:p>
      <w:pPr>
        <w:pStyle w:val="10"/>
        <w:spacing w:after="0"/>
        <w:ind w:left="0" w:leftChars="0" w:firstLine="0" w:firstLineChars="0"/>
        <w:jc w:val="center"/>
        <w:rPr>
          <w:b/>
          <w:bCs/>
          <w:color w:val="auto"/>
        </w:rPr>
      </w:pPr>
      <w:r>
        <w:rPr>
          <w:rFonts w:hint="eastAsia"/>
          <w:b/>
          <w:bCs/>
          <w:color w:val="auto"/>
        </w:rPr>
        <w:t>表</w:t>
      </w:r>
      <w:r>
        <w:rPr>
          <w:rFonts w:ascii="Times New Roman" w:hAnsi="Times New Roman" w:cs="Times New Roman"/>
          <w:b/>
          <w:bCs/>
          <w:color w:val="auto"/>
        </w:rPr>
        <w:t>5-2-</w:t>
      </w:r>
      <w:r>
        <w:rPr>
          <w:rFonts w:hint="eastAsia" w:ascii="Times New Roman" w:hAnsi="Times New Roman" w:cs="Times New Roman"/>
          <w:b/>
          <w:bCs/>
          <w:color w:val="auto"/>
        </w:rPr>
        <w:t>28</w:t>
      </w:r>
      <w:r>
        <w:rPr>
          <w:rFonts w:hint="eastAsia"/>
          <w:b/>
          <w:bCs/>
          <w:color w:val="auto"/>
        </w:rPr>
        <w:t xml:space="preserve">   项目厂界噪声预测值   单</w:t>
      </w:r>
      <w:r>
        <w:rPr>
          <w:rFonts w:ascii="Times New Roman" w:cs="Times New Roman"/>
          <w:b/>
          <w:bCs/>
          <w:color w:val="auto"/>
        </w:rPr>
        <w:t>位：</w:t>
      </w:r>
      <w:r>
        <w:rPr>
          <w:rFonts w:ascii="Times New Roman" w:hAnsi="Times New Roman" w:cs="Times New Roman"/>
          <w:b/>
          <w:bCs/>
          <w:color w:val="auto"/>
        </w:rPr>
        <w:t>dB</w:t>
      </w:r>
      <w:r>
        <w:rPr>
          <w:rFonts w:ascii="Times New Roman" w:cs="Times New Roman"/>
          <w:b/>
          <w:bCs/>
          <w:color w:val="auto"/>
        </w:rPr>
        <w:t>（</w:t>
      </w:r>
      <w:r>
        <w:rPr>
          <w:rFonts w:ascii="Times New Roman" w:hAnsi="Times New Roman" w:cs="Times New Roman"/>
          <w:b/>
          <w:bCs/>
          <w:color w:val="auto"/>
        </w:rPr>
        <w:t>A</w:t>
      </w:r>
      <w:r>
        <w:rPr>
          <w:rFonts w:ascii="Times New Roman" w:cs="Times New Roman"/>
          <w:b/>
          <w:bCs/>
          <w:color w:val="auto"/>
        </w:rPr>
        <w:t>）</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2"/>
        <w:gridCol w:w="850"/>
        <w:gridCol w:w="853"/>
        <w:gridCol w:w="853"/>
        <w:gridCol w:w="853"/>
        <w:gridCol w:w="852"/>
        <w:gridCol w:w="853"/>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构筑物</w:t>
            </w:r>
          </w:p>
        </w:tc>
        <w:tc>
          <w:tcPr>
            <w:tcW w:w="1703" w:type="dxa"/>
            <w:gridSpan w:val="2"/>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东边厂界</w:t>
            </w:r>
          </w:p>
        </w:tc>
        <w:tc>
          <w:tcPr>
            <w:tcW w:w="1706" w:type="dxa"/>
            <w:gridSpan w:val="2"/>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南边厂界</w:t>
            </w:r>
          </w:p>
        </w:tc>
        <w:tc>
          <w:tcPr>
            <w:tcW w:w="1705" w:type="dxa"/>
            <w:gridSpan w:val="2"/>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西边厂界</w:t>
            </w:r>
          </w:p>
        </w:tc>
        <w:tc>
          <w:tcPr>
            <w:tcW w:w="1706" w:type="dxa"/>
            <w:gridSpan w:val="2"/>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北边厂界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vAlign w:val="center"/>
          </w:tcPr>
          <w:p>
            <w:pPr>
              <w:pStyle w:val="10"/>
              <w:spacing w:after="0" w:line="240" w:lineRule="auto"/>
              <w:ind w:left="0" w:leftChars="0" w:firstLine="0" w:firstLineChars="0"/>
              <w:jc w:val="center"/>
              <w:rPr>
                <w:b/>
                <w:bCs/>
                <w:color w:val="auto"/>
                <w:sz w:val="21"/>
                <w:szCs w:val="21"/>
              </w:rPr>
            </w:pPr>
          </w:p>
        </w:tc>
        <w:tc>
          <w:tcPr>
            <w:tcW w:w="850"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距离/m</w:t>
            </w:r>
          </w:p>
        </w:tc>
        <w:tc>
          <w:tcPr>
            <w:tcW w:w="853"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预测值</w:t>
            </w:r>
          </w:p>
        </w:tc>
        <w:tc>
          <w:tcPr>
            <w:tcW w:w="853"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距离/m</w:t>
            </w:r>
          </w:p>
        </w:tc>
        <w:tc>
          <w:tcPr>
            <w:tcW w:w="853"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预测值</w:t>
            </w:r>
          </w:p>
        </w:tc>
        <w:tc>
          <w:tcPr>
            <w:tcW w:w="852"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距离/m</w:t>
            </w:r>
          </w:p>
        </w:tc>
        <w:tc>
          <w:tcPr>
            <w:tcW w:w="853"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预测值</w:t>
            </w:r>
          </w:p>
        </w:tc>
        <w:tc>
          <w:tcPr>
            <w:tcW w:w="853"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距离/m</w:t>
            </w:r>
          </w:p>
        </w:tc>
        <w:tc>
          <w:tcPr>
            <w:tcW w:w="853" w:type="dxa"/>
            <w:vAlign w:val="center"/>
          </w:tcPr>
          <w:p>
            <w:pPr>
              <w:pStyle w:val="10"/>
              <w:spacing w:after="0" w:line="240" w:lineRule="auto"/>
              <w:ind w:left="0" w:leftChars="0" w:firstLine="0" w:firstLineChars="0"/>
              <w:jc w:val="center"/>
              <w:rPr>
                <w:b/>
                <w:bCs/>
                <w:color w:val="auto"/>
                <w:sz w:val="21"/>
                <w:szCs w:val="21"/>
              </w:rPr>
            </w:pPr>
            <w:r>
              <w:rPr>
                <w:rFonts w:hint="eastAsia"/>
                <w:b/>
                <w:bCs/>
                <w:color w:val="auto"/>
                <w:sz w:val="21"/>
                <w:szCs w:val="21"/>
              </w:rPr>
              <w:t>预测值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粗格栅及进水泵房</w:t>
            </w:r>
          </w:p>
        </w:tc>
        <w:tc>
          <w:tcPr>
            <w:tcW w:w="850" w:type="dxa"/>
            <w:vAlign w:val="center"/>
          </w:tcPr>
          <w:p>
            <w:pPr>
              <w:widowControl/>
              <w:jc w:val="center"/>
              <w:rPr>
                <w:color w:val="auto"/>
                <w:kern w:val="0"/>
                <w:sz w:val="21"/>
                <w:szCs w:val="21"/>
              </w:rPr>
            </w:pPr>
            <w:r>
              <w:rPr>
                <w:color w:val="auto"/>
                <w:kern w:val="0"/>
                <w:sz w:val="21"/>
                <w:szCs w:val="21"/>
              </w:rPr>
              <w:t>95.5</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40.5</w:t>
            </w:r>
          </w:p>
        </w:tc>
        <w:tc>
          <w:tcPr>
            <w:tcW w:w="853" w:type="dxa"/>
            <w:vAlign w:val="center"/>
          </w:tcPr>
          <w:p>
            <w:pPr>
              <w:widowControl/>
              <w:jc w:val="center"/>
              <w:rPr>
                <w:color w:val="auto"/>
                <w:kern w:val="0"/>
                <w:sz w:val="21"/>
                <w:szCs w:val="21"/>
              </w:rPr>
            </w:pPr>
            <w:r>
              <w:rPr>
                <w:color w:val="auto"/>
                <w:kern w:val="0"/>
                <w:sz w:val="21"/>
                <w:szCs w:val="21"/>
              </w:rPr>
              <w:t>7.09</w:t>
            </w:r>
          </w:p>
        </w:tc>
        <w:tc>
          <w:tcPr>
            <w:tcW w:w="852" w:type="dxa"/>
            <w:vAlign w:val="center"/>
          </w:tcPr>
          <w:p>
            <w:pPr>
              <w:widowControl/>
              <w:jc w:val="center"/>
              <w:rPr>
                <w:color w:val="auto"/>
                <w:kern w:val="0"/>
                <w:sz w:val="21"/>
                <w:szCs w:val="21"/>
              </w:rPr>
            </w:pPr>
            <w:r>
              <w:rPr>
                <w:color w:val="auto"/>
                <w:kern w:val="0"/>
                <w:sz w:val="21"/>
                <w:szCs w:val="21"/>
              </w:rPr>
              <w:t>12.5</w:t>
            </w:r>
          </w:p>
        </w:tc>
        <w:tc>
          <w:tcPr>
            <w:tcW w:w="853" w:type="dxa"/>
            <w:vAlign w:val="center"/>
          </w:tcPr>
          <w:p>
            <w:pPr>
              <w:widowControl/>
              <w:jc w:val="center"/>
              <w:rPr>
                <w:color w:val="auto"/>
                <w:kern w:val="0"/>
                <w:sz w:val="21"/>
                <w:szCs w:val="21"/>
              </w:rPr>
            </w:pPr>
            <w:r>
              <w:rPr>
                <w:color w:val="auto"/>
                <w:kern w:val="0"/>
                <w:sz w:val="21"/>
                <w:szCs w:val="21"/>
              </w:rPr>
              <w:t>17.31</w:t>
            </w:r>
          </w:p>
        </w:tc>
        <w:tc>
          <w:tcPr>
            <w:tcW w:w="853" w:type="dxa"/>
            <w:vAlign w:val="center"/>
          </w:tcPr>
          <w:p>
            <w:pPr>
              <w:widowControl/>
              <w:jc w:val="center"/>
              <w:rPr>
                <w:color w:val="auto"/>
                <w:kern w:val="0"/>
                <w:sz w:val="21"/>
                <w:szCs w:val="21"/>
              </w:rPr>
            </w:pPr>
            <w:r>
              <w:rPr>
                <w:color w:val="auto"/>
                <w:kern w:val="0"/>
                <w:sz w:val="21"/>
                <w:szCs w:val="21"/>
              </w:rPr>
              <w:t>177</w:t>
            </w:r>
          </w:p>
        </w:tc>
        <w:tc>
          <w:tcPr>
            <w:tcW w:w="853" w:type="dxa"/>
            <w:vAlign w:val="center"/>
          </w:tcPr>
          <w:p>
            <w:pPr>
              <w:widowControl/>
              <w:jc w:val="center"/>
              <w:rPr>
                <w:color w:val="auto"/>
                <w:kern w:val="0"/>
                <w:sz w:val="21"/>
                <w:szCs w:val="21"/>
              </w:rPr>
            </w:pPr>
            <w:r>
              <w:rPr>
                <w:color w:val="auto"/>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细格栅及曝气沉砂池</w:t>
            </w:r>
          </w:p>
        </w:tc>
        <w:tc>
          <w:tcPr>
            <w:tcW w:w="850" w:type="dxa"/>
            <w:vAlign w:val="center"/>
          </w:tcPr>
          <w:p>
            <w:pPr>
              <w:widowControl/>
              <w:jc w:val="center"/>
              <w:rPr>
                <w:color w:val="auto"/>
                <w:kern w:val="0"/>
                <w:sz w:val="21"/>
                <w:szCs w:val="21"/>
              </w:rPr>
            </w:pPr>
            <w:r>
              <w:rPr>
                <w:color w:val="auto"/>
                <w:kern w:val="0"/>
                <w:sz w:val="21"/>
                <w:szCs w:val="21"/>
              </w:rPr>
              <w:t>71</w:t>
            </w:r>
          </w:p>
        </w:tc>
        <w:tc>
          <w:tcPr>
            <w:tcW w:w="853" w:type="dxa"/>
            <w:vAlign w:val="center"/>
          </w:tcPr>
          <w:p>
            <w:pPr>
              <w:widowControl/>
              <w:jc w:val="center"/>
              <w:rPr>
                <w:color w:val="auto"/>
                <w:kern w:val="0"/>
                <w:sz w:val="21"/>
                <w:szCs w:val="21"/>
              </w:rPr>
            </w:pPr>
            <w:r>
              <w:rPr>
                <w:color w:val="auto"/>
                <w:kern w:val="0"/>
                <w:sz w:val="21"/>
                <w:szCs w:val="21"/>
              </w:rPr>
              <w:t>4.71</w:t>
            </w:r>
          </w:p>
        </w:tc>
        <w:tc>
          <w:tcPr>
            <w:tcW w:w="853" w:type="dxa"/>
            <w:vAlign w:val="center"/>
          </w:tcPr>
          <w:p>
            <w:pPr>
              <w:widowControl/>
              <w:jc w:val="center"/>
              <w:rPr>
                <w:color w:val="auto"/>
                <w:kern w:val="0"/>
                <w:sz w:val="21"/>
                <w:szCs w:val="21"/>
              </w:rPr>
            </w:pPr>
            <w:r>
              <w:rPr>
                <w:color w:val="auto"/>
                <w:kern w:val="0"/>
                <w:sz w:val="21"/>
                <w:szCs w:val="21"/>
              </w:rPr>
              <w:t>43</w:t>
            </w:r>
          </w:p>
        </w:tc>
        <w:tc>
          <w:tcPr>
            <w:tcW w:w="853" w:type="dxa"/>
            <w:vAlign w:val="center"/>
          </w:tcPr>
          <w:p>
            <w:pPr>
              <w:widowControl/>
              <w:jc w:val="center"/>
              <w:rPr>
                <w:color w:val="auto"/>
                <w:kern w:val="0"/>
                <w:sz w:val="21"/>
                <w:szCs w:val="21"/>
              </w:rPr>
            </w:pPr>
            <w:r>
              <w:rPr>
                <w:color w:val="auto"/>
                <w:kern w:val="0"/>
                <w:sz w:val="21"/>
                <w:szCs w:val="21"/>
              </w:rPr>
              <w:t>9.07</w:t>
            </w:r>
          </w:p>
        </w:tc>
        <w:tc>
          <w:tcPr>
            <w:tcW w:w="852" w:type="dxa"/>
            <w:vAlign w:val="center"/>
          </w:tcPr>
          <w:p>
            <w:pPr>
              <w:widowControl/>
              <w:jc w:val="center"/>
              <w:rPr>
                <w:color w:val="auto"/>
                <w:kern w:val="0"/>
                <w:sz w:val="21"/>
                <w:szCs w:val="21"/>
              </w:rPr>
            </w:pPr>
            <w:r>
              <w:rPr>
                <w:color w:val="auto"/>
                <w:kern w:val="0"/>
                <w:sz w:val="21"/>
                <w:szCs w:val="21"/>
              </w:rPr>
              <w:t>36</w:t>
            </w:r>
          </w:p>
        </w:tc>
        <w:tc>
          <w:tcPr>
            <w:tcW w:w="853" w:type="dxa"/>
            <w:vAlign w:val="center"/>
          </w:tcPr>
          <w:p>
            <w:pPr>
              <w:widowControl/>
              <w:jc w:val="center"/>
              <w:rPr>
                <w:color w:val="auto"/>
                <w:kern w:val="0"/>
                <w:sz w:val="21"/>
                <w:szCs w:val="21"/>
              </w:rPr>
            </w:pPr>
            <w:r>
              <w:rPr>
                <w:color w:val="auto"/>
                <w:kern w:val="0"/>
                <w:sz w:val="21"/>
                <w:szCs w:val="21"/>
              </w:rPr>
              <w:t>10.61</w:t>
            </w:r>
          </w:p>
        </w:tc>
        <w:tc>
          <w:tcPr>
            <w:tcW w:w="853" w:type="dxa"/>
            <w:vAlign w:val="center"/>
          </w:tcPr>
          <w:p>
            <w:pPr>
              <w:widowControl/>
              <w:jc w:val="center"/>
              <w:rPr>
                <w:color w:val="auto"/>
                <w:kern w:val="0"/>
                <w:sz w:val="21"/>
                <w:szCs w:val="21"/>
              </w:rPr>
            </w:pPr>
            <w:r>
              <w:rPr>
                <w:color w:val="auto"/>
                <w:kern w:val="0"/>
                <w:sz w:val="21"/>
                <w:szCs w:val="21"/>
              </w:rPr>
              <w:t>179</w:t>
            </w:r>
          </w:p>
        </w:tc>
        <w:tc>
          <w:tcPr>
            <w:tcW w:w="853" w:type="dxa"/>
            <w:vAlign w:val="center"/>
          </w:tcPr>
          <w:p>
            <w:pPr>
              <w:widowControl/>
              <w:jc w:val="center"/>
              <w:rPr>
                <w:color w:val="auto"/>
                <w:kern w:val="0"/>
                <w:sz w:val="21"/>
                <w:szCs w:val="21"/>
              </w:rPr>
            </w:pPr>
            <w:r>
              <w:rPr>
                <w:color w:val="auto"/>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应急沉淀池</w:t>
            </w:r>
          </w:p>
        </w:tc>
        <w:tc>
          <w:tcPr>
            <w:tcW w:w="850" w:type="dxa"/>
            <w:vAlign w:val="center"/>
          </w:tcPr>
          <w:p>
            <w:pPr>
              <w:widowControl/>
              <w:jc w:val="center"/>
              <w:rPr>
                <w:color w:val="auto"/>
                <w:kern w:val="0"/>
                <w:sz w:val="21"/>
                <w:szCs w:val="21"/>
              </w:rPr>
            </w:pPr>
            <w:r>
              <w:rPr>
                <w:color w:val="auto"/>
                <w:kern w:val="0"/>
                <w:sz w:val="21"/>
                <w:szCs w:val="21"/>
              </w:rPr>
              <w:t>81.5</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68</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12</w:t>
            </w:r>
          </w:p>
        </w:tc>
        <w:tc>
          <w:tcPr>
            <w:tcW w:w="853" w:type="dxa"/>
            <w:vAlign w:val="center"/>
          </w:tcPr>
          <w:p>
            <w:pPr>
              <w:widowControl/>
              <w:jc w:val="center"/>
              <w:rPr>
                <w:color w:val="auto"/>
                <w:kern w:val="0"/>
                <w:sz w:val="21"/>
                <w:szCs w:val="21"/>
              </w:rPr>
            </w:pPr>
            <w:r>
              <w:rPr>
                <w:color w:val="auto"/>
                <w:kern w:val="0"/>
                <w:sz w:val="21"/>
                <w:szCs w:val="21"/>
              </w:rPr>
              <w:t>12.05</w:t>
            </w:r>
          </w:p>
        </w:tc>
        <w:tc>
          <w:tcPr>
            <w:tcW w:w="853" w:type="dxa"/>
            <w:vAlign w:val="center"/>
          </w:tcPr>
          <w:p>
            <w:pPr>
              <w:widowControl/>
              <w:jc w:val="center"/>
              <w:rPr>
                <w:color w:val="auto"/>
                <w:kern w:val="0"/>
                <w:sz w:val="21"/>
                <w:szCs w:val="21"/>
              </w:rPr>
            </w:pPr>
            <w:r>
              <w:rPr>
                <w:color w:val="auto"/>
                <w:kern w:val="0"/>
                <w:sz w:val="21"/>
                <w:szCs w:val="21"/>
              </w:rPr>
              <w:t>150</w:t>
            </w:r>
          </w:p>
        </w:tc>
        <w:tc>
          <w:tcPr>
            <w:tcW w:w="853" w:type="dxa"/>
            <w:vAlign w:val="center"/>
          </w:tcPr>
          <w:p>
            <w:pPr>
              <w:widowControl/>
              <w:jc w:val="center"/>
              <w:rPr>
                <w:color w:val="auto"/>
                <w:kern w:val="0"/>
                <w:sz w:val="21"/>
                <w:szCs w:val="21"/>
              </w:rPr>
            </w:pPr>
            <w:r>
              <w:rPr>
                <w:color w:val="auto"/>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生物反应池</w:t>
            </w:r>
          </w:p>
        </w:tc>
        <w:tc>
          <w:tcPr>
            <w:tcW w:w="850" w:type="dxa"/>
            <w:vAlign w:val="center"/>
          </w:tcPr>
          <w:p>
            <w:pPr>
              <w:widowControl/>
              <w:jc w:val="center"/>
              <w:rPr>
                <w:color w:val="auto"/>
                <w:kern w:val="0"/>
                <w:sz w:val="21"/>
                <w:szCs w:val="21"/>
              </w:rPr>
            </w:pPr>
            <w:r>
              <w:rPr>
                <w:color w:val="auto"/>
                <w:kern w:val="0"/>
                <w:sz w:val="21"/>
                <w:szCs w:val="21"/>
              </w:rPr>
              <w:t>81.5</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79</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13.5</w:t>
            </w:r>
          </w:p>
        </w:tc>
        <w:tc>
          <w:tcPr>
            <w:tcW w:w="853" w:type="dxa"/>
            <w:vAlign w:val="center"/>
          </w:tcPr>
          <w:p>
            <w:pPr>
              <w:widowControl/>
              <w:jc w:val="center"/>
              <w:rPr>
                <w:color w:val="auto"/>
                <w:kern w:val="0"/>
                <w:sz w:val="21"/>
                <w:szCs w:val="21"/>
              </w:rPr>
            </w:pPr>
            <w:r>
              <w:rPr>
                <w:color w:val="auto"/>
                <w:kern w:val="0"/>
                <w:sz w:val="21"/>
                <w:szCs w:val="21"/>
              </w:rPr>
              <w:t>11.78</w:t>
            </w:r>
          </w:p>
        </w:tc>
        <w:tc>
          <w:tcPr>
            <w:tcW w:w="853" w:type="dxa"/>
            <w:vAlign w:val="center"/>
          </w:tcPr>
          <w:p>
            <w:pPr>
              <w:widowControl/>
              <w:jc w:val="center"/>
              <w:rPr>
                <w:color w:val="auto"/>
                <w:kern w:val="0"/>
                <w:sz w:val="21"/>
                <w:szCs w:val="21"/>
              </w:rPr>
            </w:pPr>
            <w:r>
              <w:rPr>
                <w:color w:val="auto"/>
                <w:kern w:val="0"/>
                <w:sz w:val="21"/>
                <w:szCs w:val="21"/>
              </w:rPr>
              <w:t>114</w:t>
            </w:r>
          </w:p>
        </w:tc>
        <w:tc>
          <w:tcPr>
            <w:tcW w:w="853" w:type="dxa"/>
            <w:vAlign w:val="center"/>
          </w:tcPr>
          <w:p>
            <w:pPr>
              <w:widowControl/>
              <w:jc w:val="center"/>
              <w:rPr>
                <w:color w:val="auto"/>
                <w:kern w:val="0"/>
                <w:sz w:val="21"/>
                <w:szCs w:val="21"/>
              </w:rPr>
            </w:pPr>
            <w:r>
              <w:rPr>
                <w:color w:val="auto"/>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二沉池</w:t>
            </w:r>
          </w:p>
        </w:tc>
        <w:tc>
          <w:tcPr>
            <w:tcW w:w="850" w:type="dxa"/>
            <w:vAlign w:val="center"/>
          </w:tcPr>
          <w:p>
            <w:pPr>
              <w:widowControl/>
              <w:jc w:val="center"/>
              <w:rPr>
                <w:color w:val="auto"/>
                <w:kern w:val="0"/>
                <w:sz w:val="21"/>
                <w:szCs w:val="21"/>
              </w:rPr>
            </w:pPr>
            <w:r>
              <w:rPr>
                <w:color w:val="auto"/>
                <w:kern w:val="0"/>
                <w:sz w:val="21"/>
                <w:szCs w:val="21"/>
              </w:rPr>
              <w:t>67.5</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137</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3.5</w:t>
            </w:r>
          </w:p>
        </w:tc>
        <w:tc>
          <w:tcPr>
            <w:tcW w:w="853" w:type="dxa"/>
            <w:vAlign w:val="center"/>
          </w:tcPr>
          <w:p>
            <w:pPr>
              <w:widowControl/>
              <w:jc w:val="center"/>
              <w:rPr>
                <w:color w:val="auto"/>
                <w:kern w:val="0"/>
                <w:sz w:val="21"/>
                <w:szCs w:val="21"/>
              </w:rPr>
            </w:pPr>
            <w:r>
              <w:rPr>
                <w:color w:val="auto"/>
                <w:kern w:val="0"/>
                <w:sz w:val="21"/>
                <w:szCs w:val="21"/>
              </w:rPr>
              <w:t>18.21</w:t>
            </w:r>
          </w:p>
        </w:tc>
        <w:tc>
          <w:tcPr>
            <w:tcW w:w="853" w:type="dxa"/>
            <w:vAlign w:val="center"/>
          </w:tcPr>
          <w:p>
            <w:pPr>
              <w:widowControl/>
              <w:jc w:val="center"/>
              <w:rPr>
                <w:color w:val="auto"/>
                <w:kern w:val="0"/>
                <w:sz w:val="21"/>
                <w:szCs w:val="21"/>
              </w:rPr>
            </w:pPr>
            <w:r>
              <w:rPr>
                <w:color w:val="auto"/>
                <w:kern w:val="0"/>
                <w:sz w:val="21"/>
                <w:szCs w:val="21"/>
              </w:rPr>
              <w:t>63</w:t>
            </w:r>
          </w:p>
        </w:tc>
        <w:tc>
          <w:tcPr>
            <w:tcW w:w="853" w:type="dxa"/>
            <w:vAlign w:val="center"/>
          </w:tcPr>
          <w:p>
            <w:pPr>
              <w:widowControl/>
              <w:jc w:val="center"/>
              <w:rPr>
                <w:color w:val="auto"/>
                <w:kern w:val="0"/>
                <w:sz w:val="21"/>
                <w:szCs w:val="21"/>
              </w:rPr>
            </w:pPr>
            <w:r>
              <w:rPr>
                <w:color w:val="auto"/>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中间提升泵房</w:t>
            </w:r>
          </w:p>
        </w:tc>
        <w:tc>
          <w:tcPr>
            <w:tcW w:w="850" w:type="dxa"/>
            <w:vAlign w:val="center"/>
          </w:tcPr>
          <w:p>
            <w:pPr>
              <w:widowControl/>
              <w:jc w:val="center"/>
              <w:rPr>
                <w:color w:val="auto"/>
                <w:kern w:val="0"/>
                <w:sz w:val="21"/>
                <w:szCs w:val="21"/>
              </w:rPr>
            </w:pPr>
            <w:r>
              <w:rPr>
                <w:color w:val="auto"/>
                <w:kern w:val="0"/>
                <w:sz w:val="21"/>
                <w:szCs w:val="21"/>
              </w:rPr>
              <w:t>53</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179.5</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62</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39</w:t>
            </w:r>
          </w:p>
        </w:tc>
        <w:tc>
          <w:tcPr>
            <w:tcW w:w="853" w:type="dxa"/>
            <w:vAlign w:val="center"/>
          </w:tcPr>
          <w:p>
            <w:pPr>
              <w:widowControl/>
              <w:jc w:val="center"/>
              <w:rPr>
                <w:color w:val="auto"/>
                <w:kern w:val="0"/>
                <w:sz w:val="21"/>
                <w:szCs w:val="21"/>
              </w:rPr>
            </w:pPr>
            <w:r>
              <w:rPr>
                <w:color w:val="auto"/>
                <w:kern w:val="0"/>
                <w:sz w:val="21"/>
                <w:szCs w:val="21"/>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反冲洗废水池</w:t>
            </w:r>
          </w:p>
        </w:tc>
        <w:tc>
          <w:tcPr>
            <w:tcW w:w="850" w:type="dxa"/>
            <w:vAlign w:val="center"/>
          </w:tcPr>
          <w:p>
            <w:pPr>
              <w:widowControl/>
              <w:jc w:val="center"/>
              <w:rPr>
                <w:color w:val="auto"/>
                <w:kern w:val="0"/>
                <w:sz w:val="21"/>
                <w:szCs w:val="21"/>
              </w:rPr>
            </w:pPr>
            <w:r>
              <w:rPr>
                <w:color w:val="auto"/>
                <w:kern w:val="0"/>
                <w:sz w:val="21"/>
                <w:szCs w:val="21"/>
              </w:rPr>
              <w:t>42.5</w:t>
            </w:r>
          </w:p>
        </w:tc>
        <w:tc>
          <w:tcPr>
            <w:tcW w:w="853" w:type="dxa"/>
            <w:vAlign w:val="center"/>
          </w:tcPr>
          <w:p>
            <w:pPr>
              <w:widowControl/>
              <w:jc w:val="center"/>
              <w:rPr>
                <w:color w:val="auto"/>
                <w:kern w:val="0"/>
                <w:sz w:val="21"/>
                <w:szCs w:val="21"/>
              </w:rPr>
            </w:pPr>
            <w:r>
              <w:rPr>
                <w:color w:val="auto"/>
                <w:kern w:val="0"/>
                <w:sz w:val="21"/>
                <w:szCs w:val="21"/>
              </w:rPr>
              <w:t>12.25</w:t>
            </w:r>
          </w:p>
        </w:tc>
        <w:tc>
          <w:tcPr>
            <w:tcW w:w="853" w:type="dxa"/>
            <w:vAlign w:val="center"/>
          </w:tcPr>
          <w:p>
            <w:pPr>
              <w:widowControl/>
              <w:jc w:val="center"/>
              <w:rPr>
                <w:color w:val="auto"/>
                <w:kern w:val="0"/>
                <w:sz w:val="21"/>
                <w:szCs w:val="21"/>
              </w:rPr>
            </w:pPr>
            <w:r>
              <w:rPr>
                <w:color w:val="auto"/>
                <w:kern w:val="0"/>
                <w:sz w:val="21"/>
                <w:szCs w:val="21"/>
              </w:rPr>
              <w:t>191</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62</w:t>
            </w:r>
          </w:p>
        </w:tc>
        <w:tc>
          <w:tcPr>
            <w:tcW w:w="853" w:type="dxa"/>
            <w:vAlign w:val="center"/>
          </w:tcPr>
          <w:p>
            <w:pPr>
              <w:widowControl/>
              <w:jc w:val="center"/>
              <w:rPr>
                <w:color w:val="auto"/>
                <w:kern w:val="0"/>
                <w:sz w:val="21"/>
                <w:szCs w:val="21"/>
              </w:rPr>
            </w:pPr>
            <w:r>
              <w:rPr>
                <w:color w:val="auto"/>
                <w:kern w:val="0"/>
                <w:sz w:val="21"/>
                <w:szCs w:val="21"/>
              </w:rPr>
              <w:t>8.97</w:t>
            </w:r>
          </w:p>
        </w:tc>
        <w:tc>
          <w:tcPr>
            <w:tcW w:w="853" w:type="dxa"/>
            <w:vAlign w:val="center"/>
          </w:tcPr>
          <w:p>
            <w:pPr>
              <w:widowControl/>
              <w:jc w:val="center"/>
              <w:rPr>
                <w:color w:val="auto"/>
                <w:kern w:val="0"/>
                <w:sz w:val="21"/>
                <w:szCs w:val="21"/>
              </w:rPr>
            </w:pPr>
            <w:r>
              <w:rPr>
                <w:color w:val="auto"/>
                <w:kern w:val="0"/>
                <w:sz w:val="21"/>
                <w:szCs w:val="21"/>
              </w:rPr>
              <w:t>27</w:t>
            </w:r>
          </w:p>
        </w:tc>
        <w:tc>
          <w:tcPr>
            <w:tcW w:w="853" w:type="dxa"/>
            <w:vAlign w:val="center"/>
          </w:tcPr>
          <w:p>
            <w:pPr>
              <w:widowControl/>
              <w:jc w:val="center"/>
              <w:rPr>
                <w:color w:val="auto"/>
                <w:kern w:val="0"/>
                <w:sz w:val="21"/>
                <w:szCs w:val="21"/>
              </w:rPr>
            </w:pPr>
            <w:r>
              <w:rPr>
                <w:color w:val="auto"/>
                <w:kern w:val="0"/>
                <w:sz w:val="21"/>
                <w:szCs w:val="21"/>
              </w:rPr>
              <w:t>16.19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曝气生物滤池</w:t>
            </w:r>
          </w:p>
        </w:tc>
        <w:tc>
          <w:tcPr>
            <w:tcW w:w="850" w:type="dxa"/>
            <w:vAlign w:val="center"/>
          </w:tcPr>
          <w:p>
            <w:pPr>
              <w:widowControl/>
              <w:jc w:val="center"/>
              <w:rPr>
                <w:color w:val="auto"/>
                <w:kern w:val="0"/>
                <w:sz w:val="21"/>
                <w:szCs w:val="21"/>
              </w:rPr>
            </w:pPr>
            <w:r>
              <w:rPr>
                <w:color w:val="auto"/>
                <w:kern w:val="0"/>
                <w:sz w:val="21"/>
                <w:szCs w:val="21"/>
              </w:rPr>
              <w:t>32</w:t>
            </w:r>
          </w:p>
        </w:tc>
        <w:tc>
          <w:tcPr>
            <w:tcW w:w="853" w:type="dxa"/>
            <w:vAlign w:val="center"/>
          </w:tcPr>
          <w:p>
            <w:pPr>
              <w:widowControl/>
              <w:jc w:val="center"/>
              <w:rPr>
                <w:color w:val="auto"/>
                <w:kern w:val="0"/>
                <w:sz w:val="21"/>
                <w:szCs w:val="21"/>
              </w:rPr>
            </w:pPr>
            <w:r>
              <w:rPr>
                <w:color w:val="auto"/>
                <w:kern w:val="0"/>
                <w:sz w:val="21"/>
                <w:szCs w:val="21"/>
              </w:rPr>
              <w:t>14.01</w:t>
            </w:r>
          </w:p>
        </w:tc>
        <w:tc>
          <w:tcPr>
            <w:tcW w:w="853" w:type="dxa"/>
            <w:vAlign w:val="center"/>
          </w:tcPr>
          <w:p>
            <w:pPr>
              <w:widowControl/>
              <w:jc w:val="center"/>
              <w:rPr>
                <w:color w:val="auto"/>
                <w:kern w:val="0"/>
                <w:sz w:val="21"/>
                <w:szCs w:val="21"/>
              </w:rPr>
            </w:pPr>
            <w:r>
              <w:rPr>
                <w:color w:val="auto"/>
                <w:kern w:val="0"/>
                <w:sz w:val="21"/>
                <w:szCs w:val="21"/>
              </w:rPr>
              <w:t>184</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83.5</w:t>
            </w:r>
          </w:p>
        </w:tc>
        <w:tc>
          <w:tcPr>
            <w:tcW w:w="853" w:type="dxa"/>
            <w:vAlign w:val="center"/>
          </w:tcPr>
          <w:p>
            <w:pPr>
              <w:widowControl/>
              <w:jc w:val="center"/>
              <w:rPr>
                <w:color w:val="auto"/>
                <w:kern w:val="0"/>
                <w:sz w:val="21"/>
                <w:szCs w:val="21"/>
              </w:rPr>
            </w:pPr>
            <w:r>
              <w:rPr>
                <w:color w:val="auto"/>
                <w:kern w:val="0"/>
                <w:sz w:val="21"/>
                <w:szCs w:val="21"/>
              </w:rPr>
              <w:t>5.68</w:t>
            </w:r>
          </w:p>
        </w:tc>
        <w:tc>
          <w:tcPr>
            <w:tcW w:w="853" w:type="dxa"/>
            <w:vAlign w:val="center"/>
          </w:tcPr>
          <w:p>
            <w:pPr>
              <w:widowControl/>
              <w:jc w:val="center"/>
              <w:rPr>
                <w:color w:val="auto"/>
                <w:kern w:val="0"/>
                <w:sz w:val="21"/>
                <w:szCs w:val="21"/>
              </w:rPr>
            </w:pPr>
            <w:r>
              <w:rPr>
                <w:color w:val="auto"/>
                <w:kern w:val="0"/>
                <w:sz w:val="21"/>
                <w:szCs w:val="21"/>
              </w:rPr>
              <w:t>32</w:t>
            </w:r>
          </w:p>
        </w:tc>
        <w:tc>
          <w:tcPr>
            <w:tcW w:w="853" w:type="dxa"/>
            <w:vAlign w:val="center"/>
          </w:tcPr>
          <w:p>
            <w:pPr>
              <w:widowControl/>
              <w:jc w:val="center"/>
              <w:rPr>
                <w:color w:val="auto"/>
                <w:kern w:val="0"/>
                <w:sz w:val="21"/>
                <w:szCs w:val="21"/>
              </w:rPr>
            </w:pPr>
            <w:r>
              <w:rPr>
                <w:color w:val="auto"/>
                <w:kern w:val="0"/>
                <w:sz w:val="21"/>
                <w:szCs w:val="21"/>
              </w:rPr>
              <w:t>14.01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反冲洗水池</w:t>
            </w:r>
          </w:p>
        </w:tc>
        <w:tc>
          <w:tcPr>
            <w:tcW w:w="850" w:type="dxa"/>
            <w:vAlign w:val="center"/>
          </w:tcPr>
          <w:p>
            <w:pPr>
              <w:widowControl/>
              <w:jc w:val="center"/>
              <w:rPr>
                <w:color w:val="auto"/>
                <w:kern w:val="0"/>
                <w:sz w:val="21"/>
                <w:szCs w:val="21"/>
              </w:rPr>
            </w:pPr>
            <w:r>
              <w:rPr>
                <w:color w:val="auto"/>
                <w:kern w:val="0"/>
                <w:sz w:val="21"/>
                <w:szCs w:val="21"/>
              </w:rPr>
              <w:t>50</w:t>
            </w:r>
          </w:p>
        </w:tc>
        <w:tc>
          <w:tcPr>
            <w:tcW w:w="853" w:type="dxa"/>
            <w:vAlign w:val="center"/>
          </w:tcPr>
          <w:p>
            <w:pPr>
              <w:widowControl/>
              <w:jc w:val="center"/>
              <w:rPr>
                <w:color w:val="auto"/>
                <w:kern w:val="0"/>
                <w:sz w:val="21"/>
                <w:szCs w:val="21"/>
              </w:rPr>
            </w:pPr>
            <w:r>
              <w:rPr>
                <w:color w:val="auto"/>
                <w:kern w:val="0"/>
                <w:sz w:val="21"/>
                <w:szCs w:val="21"/>
              </w:rPr>
              <w:t>10.81</w:t>
            </w:r>
          </w:p>
        </w:tc>
        <w:tc>
          <w:tcPr>
            <w:tcW w:w="853" w:type="dxa"/>
            <w:vAlign w:val="center"/>
          </w:tcPr>
          <w:p>
            <w:pPr>
              <w:widowControl/>
              <w:jc w:val="center"/>
              <w:rPr>
                <w:color w:val="auto"/>
                <w:kern w:val="0"/>
                <w:sz w:val="21"/>
                <w:szCs w:val="21"/>
              </w:rPr>
            </w:pPr>
            <w:r>
              <w:rPr>
                <w:color w:val="auto"/>
                <w:kern w:val="0"/>
                <w:sz w:val="21"/>
                <w:szCs w:val="21"/>
              </w:rPr>
              <w:t>171</w:t>
            </w:r>
          </w:p>
        </w:tc>
        <w:tc>
          <w:tcPr>
            <w:tcW w:w="853" w:type="dxa"/>
            <w:vAlign w:val="center"/>
          </w:tcPr>
          <w:p>
            <w:pPr>
              <w:widowControl/>
              <w:jc w:val="center"/>
              <w:rPr>
                <w:color w:val="auto"/>
                <w:kern w:val="0"/>
                <w:sz w:val="21"/>
                <w:szCs w:val="21"/>
              </w:rPr>
            </w:pPr>
            <w:r>
              <w:rPr>
                <w:color w:val="auto"/>
                <w:kern w:val="0"/>
                <w:sz w:val="21"/>
                <w:szCs w:val="21"/>
              </w:rPr>
              <w:t>0.12</w:t>
            </w:r>
          </w:p>
        </w:tc>
        <w:tc>
          <w:tcPr>
            <w:tcW w:w="852" w:type="dxa"/>
            <w:vAlign w:val="center"/>
          </w:tcPr>
          <w:p>
            <w:pPr>
              <w:widowControl/>
              <w:jc w:val="center"/>
              <w:rPr>
                <w:color w:val="auto"/>
                <w:kern w:val="0"/>
                <w:sz w:val="21"/>
                <w:szCs w:val="21"/>
              </w:rPr>
            </w:pPr>
            <w:r>
              <w:rPr>
                <w:color w:val="auto"/>
                <w:kern w:val="0"/>
                <w:sz w:val="21"/>
                <w:szCs w:val="21"/>
              </w:rPr>
              <w:t>62</w:t>
            </w:r>
          </w:p>
        </w:tc>
        <w:tc>
          <w:tcPr>
            <w:tcW w:w="853" w:type="dxa"/>
            <w:vAlign w:val="center"/>
          </w:tcPr>
          <w:p>
            <w:pPr>
              <w:widowControl/>
              <w:jc w:val="center"/>
              <w:rPr>
                <w:color w:val="auto"/>
                <w:kern w:val="0"/>
                <w:sz w:val="21"/>
                <w:szCs w:val="21"/>
              </w:rPr>
            </w:pPr>
            <w:r>
              <w:rPr>
                <w:color w:val="auto"/>
                <w:kern w:val="0"/>
                <w:sz w:val="21"/>
                <w:szCs w:val="21"/>
              </w:rPr>
              <w:t>8.94</w:t>
            </w:r>
          </w:p>
        </w:tc>
        <w:tc>
          <w:tcPr>
            <w:tcW w:w="853" w:type="dxa"/>
            <w:vAlign w:val="center"/>
          </w:tcPr>
          <w:p>
            <w:pPr>
              <w:widowControl/>
              <w:jc w:val="center"/>
              <w:rPr>
                <w:color w:val="auto"/>
                <w:kern w:val="0"/>
                <w:sz w:val="21"/>
                <w:szCs w:val="21"/>
              </w:rPr>
            </w:pPr>
            <w:r>
              <w:rPr>
                <w:color w:val="auto"/>
                <w:kern w:val="0"/>
                <w:sz w:val="21"/>
                <w:szCs w:val="21"/>
              </w:rPr>
              <w:t>47</w:t>
            </w:r>
          </w:p>
        </w:tc>
        <w:tc>
          <w:tcPr>
            <w:tcW w:w="853" w:type="dxa"/>
            <w:vAlign w:val="center"/>
          </w:tcPr>
          <w:p>
            <w:pPr>
              <w:widowControl/>
              <w:jc w:val="center"/>
              <w:rPr>
                <w:color w:val="auto"/>
                <w:kern w:val="0"/>
                <w:sz w:val="21"/>
                <w:szCs w:val="21"/>
              </w:rPr>
            </w:pPr>
            <w:r>
              <w:rPr>
                <w:color w:val="auto"/>
                <w:kern w:val="0"/>
                <w:sz w:val="21"/>
                <w:szCs w:val="21"/>
              </w:rPr>
              <w:t>11.34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高效沉淀池、滤池、消毒接触池及中水回用泵房</w:t>
            </w:r>
          </w:p>
        </w:tc>
        <w:tc>
          <w:tcPr>
            <w:tcW w:w="850" w:type="dxa"/>
            <w:vAlign w:val="center"/>
          </w:tcPr>
          <w:p>
            <w:pPr>
              <w:widowControl/>
              <w:jc w:val="center"/>
              <w:rPr>
                <w:color w:val="auto"/>
                <w:kern w:val="0"/>
                <w:sz w:val="21"/>
                <w:szCs w:val="21"/>
              </w:rPr>
            </w:pPr>
            <w:r>
              <w:rPr>
                <w:color w:val="auto"/>
                <w:kern w:val="0"/>
                <w:sz w:val="21"/>
                <w:szCs w:val="21"/>
              </w:rPr>
              <w:t>87</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174.5</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15</w:t>
            </w:r>
          </w:p>
        </w:tc>
        <w:tc>
          <w:tcPr>
            <w:tcW w:w="853" w:type="dxa"/>
            <w:vAlign w:val="center"/>
          </w:tcPr>
          <w:p>
            <w:pPr>
              <w:widowControl/>
              <w:jc w:val="center"/>
              <w:rPr>
                <w:color w:val="auto"/>
                <w:kern w:val="0"/>
                <w:sz w:val="21"/>
                <w:szCs w:val="21"/>
              </w:rPr>
            </w:pPr>
            <w:r>
              <w:rPr>
                <w:color w:val="auto"/>
                <w:kern w:val="0"/>
                <w:sz w:val="21"/>
                <w:szCs w:val="21"/>
              </w:rPr>
              <w:t>15.03</w:t>
            </w:r>
          </w:p>
        </w:tc>
        <w:tc>
          <w:tcPr>
            <w:tcW w:w="853" w:type="dxa"/>
            <w:vAlign w:val="center"/>
          </w:tcPr>
          <w:p>
            <w:pPr>
              <w:widowControl/>
              <w:jc w:val="center"/>
              <w:rPr>
                <w:color w:val="auto"/>
                <w:kern w:val="0"/>
                <w:sz w:val="21"/>
                <w:szCs w:val="21"/>
              </w:rPr>
            </w:pPr>
            <w:r>
              <w:rPr>
                <w:color w:val="auto"/>
                <w:kern w:val="0"/>
                <w:sz w:val="21"/>
                <w:szCs w:val="21"/>
              </w:rPr>
              <w:t>32.5</w:t>
            </w:r>
          </w:p>
        </w:tc>
        <w:tc>
          <w:tcPr>
            <w:tcW w:w="853" w:type="dxa"/>
            <w:vAlign w:val="center"/>
          </w:tcPr>
          <w:p>
            <w:pPr>
              <w:widowControl/>
              <w:jc w:val="center"/>
              <w:rPr>
                <w:color w:val="auto"/>
                <w:kern w:val="0"/>
                <w:sz w:val="21"/>
                <w:szCs w:val="21"/>
              </w:rPr>
            </w:pPr>
            <w:r>
              <w:rPr>
                <w:color w:val="auto"/>
                <w:kern w:val="0"/>
                <w:sz w:val="21"/>
                <w:szCs w:val="21"/>
              </w:rPr>
              <w:t>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污泥均质调理池</w:t>
            </w:r>
          </w:p>
        </w:tc>
        <w:tc>
          <w:tcPr>
            <w:tcW w:w="850" w:type="dxa"/>
            <w:vAlign w:val="center"/>
          </w:tcPr>
          <w:p>
            <w:pPr>
              <w:widowControl/>
              <w:jc w:val="center"/>
              <w:rPr>
                <w:color w:val="auto"/>
                <w:kern w:val="0"/>
                <w:sz w:val="21"/>
                <w:szCs w:val="21"/>
              </w:rPr>
            </w:pPr>
            <w:r>
              <w:rPr>
                <w:color w:val="auto"/>
                <w:kern w:val="0"/>
                <w:sz w:val="21"/>
                <w:szCs w:val="21"/>
              </w:rPr>
              <w:t>19</w:t>
            </w:r>
          </w:p>
        </w:tc>
        <w:tc>
          <w:tcPr>
            <w:tcW w:w="853" w:type="dxa"/>
            <w:vAlign w:val="center"/>
          </w:tcPr>
          <w:p>
            <w:pPr>
              <w:widowControl/>
              <w:jc w:val="center"/>
              <w:rPr>
                <w:color w:val="auto"/>
                <w:kern w:val="0"/>
                <w:sz w:val="21"/>
                <w:szCs w:val="21"/>
              </w:rPr>
            </w:pPr>
            <w:r>
              <w:rPr>
                <w:color w:val="auto"/>
                <w:kern w:val="0"/>
                <w:sz w:val="21"/>
                <w:szCs w:val="21"/>
              </w:rPr>
              <w:t>13.03</w:t>
            </w:r>
          </w:p>
        </w:tc>
        <w:tc>
          <w:tcPr>
            <w:tcW w:w="853" w:type="dxa"/>
            <w:vAlign w:val="center"/>
          </w:tcPr>
          <w:p>
            <w:pPr>
              <w:widowControl/>
              <w:jc w:val="center"/>
              <w:rPr>
                <w:color w:val="auto"/>
                <w:kern w:val="0"/>
                <w:sz w:val="21"/>
                <w:szCs w:val="21"/>
              </w:rPr>
            </w:pPr>
            <w:r>
              <w:rPr>
                <w:color w:val="auto"/>
                <w:kern w:val="0"/>
                <w:sz w:val="21"/>
                <w:szCs w:val="21"/>
              </w:rPr>
              <w:t>12.5</w:t>
            </w:r>
          </w:p>
        </w:tc>
        <w:tc>
          <w:tcPr>
            <w:tcW w:w="853" w:type="dxa"/>
            <w:vAlign w:val="center"/>
          </w:tcPr>
          <w:p>
            <w:pPr>
              <w:widowControl/>
              <w:jc w:val="center"/>
              <w:rPr>
                <w:color w:val="auto"/>
                <w:kern w:val="0"/>
                <w:sz w:val="21"/>
                <w:szCs w:val="21"/>
              </w:rPr>
            </w:pPr>
            <w:r>
              <w:rPr>
                <w:color w:val="auto"/>
                <w:kern w:val="0"/>
                <w:sz w:val="21"/>
                <w:szCs w:val="21"/>
              </w:rPr>
              <w:t>16.66</w:t>
            </w:r>
          </w:p>
        </w:tc>
        <w:tc>
          <w:tcPr>
            <w:tcW w:w="852" w:type="dxa"/>
            <w:vAlign w:val="center"/>
          </w:tcPr>
          <w:p>
            <w:pPr>
              <w:widowControl/>
              <w:jc w:val="center"/>
              <w:rPr>
                <w:color w:val="auto"/>
                <w:kern w:val="0"/>
                <w:sz w:val="21"/>
                <w:szCs w:val="21"/>
              </w:rPr>
            </w:pPr>
            <w:r>
              <w:rPr>
                <w:color w:val="auto"/>
                <w:kern w:val="0"/>
                <w:sz w:val="21"/>
                <w:szCs w:val="21"/>
              </w:rPr>
              <w:t>99.5</w:t>
            </w:r>
          </w:p>
        </w:tc>
        <w:tc>
          <w:tcPr>
            <w:tcW w:w="853" w:type="dxa"/>
            <w:vAlign w:val="center"/>
          </w:tcPr>
          <w:p>
            <w:pPr>
              <w:widowControl/>
              <w:jc w:val="center"/>
              <w:rPr>
                <w:color w:val="auto"/>
                <w:kern w:val="0"/>
                <w:sz w:val="21"/>
                <w:szCs w:val="21"/>
              </w:rPr>
            </w:pPr>
            <w:r>
              <w:rPr>
                <w:color w:val="auto"/>
                <w:kern w:val="0"/>
                <w:sz w:val="21"/>
                <w:szCs w:val="21"/>
              </w:rPr>
              <w:t>0.00</w:t>
            </w:r>
          </w:p>
        </w:tc>
        <w:tc>
          <w:tcPr>
            <w:tcW w:w="853" w:type="dxa"/>
            <w:vAlign w:val="center"/>
          </w:tcPr>
          <w:p>
            <w:pPr>
              <w:widowControl/>
              <w:jc w:val="center"/>
              <w:rPr>
                <w:color w:val="auto"/>
                <w:kern w:val="0"/>
                <w:sz w:val="21"/>
                <w:szCs w:val="21"/>
              </w:rPr>
            </w:pPr>
            <w:r>
              <w:rPr>
                <w:color w:val="auto"/>
                <w:kern w:val="0"/>
                <w:sz w:val="21"/>
                <w:szCs w:val="21"/>
              </w:rPr>
              <w:t>209</w:t>
            </w:r>
          </w:p>
        </w:tc>
        <w:tc>
          <w:tcPr>
            <w:tcW w:w="853" w:type="dxa"/>
            <w:vAlign w:val="center"/>
          </w:tcPr>
          <w:p>
            <w:pPr>
              <w:widowControl/>
              <w:jc w:val="center"/>
              <w:rPr>
                <w:color w:val="auto"/>
                <w:kern w:val="0"/>
                <w:sz w:val="21"/>
                <w:szCs w:val="21"/>
              </w:rPr>
            </w:pPr>
            <w:r>
              <w:rPr>
                <w:color w:val="auto"/>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污泥脱水机房</w:t>
            </w:r>
          </w:p>
        </w:tc>
        <w:tc>
          <w:tcPr>
            <w:tcW w:w="850" w:type="dxa"/>
            <w:vAlign w:val="center"/>
          </w:tcPr>
          <w:p>
            <w:pPr>
              <w:widowControl/>
              <w:jc w:val="center"/>
              <w:rPr>
                <w:color w:val="auto"/>
                <w:kern w:val="0"/>
                <w:sz w:val="21"/>
                <w:szCs w:val="21"/>
              </w:rPr>
            </w:pPr>
            <w:r>
              <w:rPr>
                <w:color w:val="auto"/>
                <w:kern w:val="0"/>
                <w:sz w:val="21"/>
                <w:szCs w:val="21"/>
              </w:rPr>
              <w:t>10</w:t>
            </w:r>
          </w:p>
        </w:tc>
        <w:tc>
          <w:tcPr>
            <w:tcW w:w="853" w:type="dxa"/>
            <w:vAlign w:val="center"/>
          </w:tcPr>
          <w:p>
            <w:pPr>
              <w:widowControl/>
              <w:jc w:val="center"/>
              <w:rPr>
                <w:color w:val="auto"/>
                <w:kern w:val="0"/>
                <w:sz w:val="21"/>
                <w:szCs w:val="21"/>
              </w:rPr>
            </w:pPr>
            <w:r>
              <w:rPr>
                <w:color w:val="auto"/>
                <w:kern w:val="0"/>
                <w:sz w:val="21"/>
                <w:szCs w:val="21"/>
              </w:rPr>
              <w:t>24.47</w:t>
            </w:r>
          </w:p>
        </w:tc>
        <w:tc>
          <w:tcPr>
            <w:tcW w:w="853" w:type="dxa"/>
            <w:vAlign w:val="center"/>
          </w:tcPr>
          <w:p>
            <w:pPr>
              <w:widowControl/>
              <w:jc w:val="center"/>
              <w:rPr>
                <w:color w:val="auto"/>
                <w:kern w:val="0"/>
                <w:sz w:val="21"/>
                <w:szCs w:val="21"/>
              </w:rPr>
            </w:pPr>
            <w:r>
              <w:rPr>
                <w:color w:val="auto"/>
                <w:kern w:val="0"/>
                <w:sz w:val="21"/>
                <w:szCs w:val="21"/>
              </w:rPr>
              <w:t>26</w:t>
            </w:r>
          </w:p>
        </w:tc>
        <w:tc>
          <w:tcPr>
            <w:tcW w:w="853" w:type="dxa"/>
            <w:vAlign w:val="center"/>
          </w:tcPr>
          <w:p>
            <w:pPr>
              <w:widowControl/>
              <w:jc w:val="center"/>
              <w:rPr>
                <w:color w:val="auto"/>
                <w:kern w:val="0"/>
                <w:sz w:val="21"/>
                <w:szCs w:val="21"/>
              </w:rPr>
            </w:pPr>
            <w:r>
              <w:rPr>
                <w:color w:val="auto"/>
                <w:kern w:val="0"/>
                <w:sz w:val="21"/>
                <w:szCs w:val="21"/>
              </w:rPr>
              <w:t>16.17</w:t>
            </w:r>
          </w:p>
        </w:tc>
        <w:tc>
          <w:tcPr>
            <w:tcW w:w="852" w:type="dxa"/>
            <w:vAlign w:val="center"/>
          </w:tcPr>
          <w:p>
            <w:pPr>
              <w:widowControl/>
              <w:jc w:val="center"/>
              <w:rPr>
                <w:color w:val="auto"/>
                <w:kern w:val="0"/>
                <w:sz w:val="21"/>
                <w:szCs w:val="21"/>
              </w:rPr>
            </w:pPr>
            <w:r>
              <w:rPr>
                <w:color w:val="auto"/>
                <w:kern w:val="0"/>
                <w:sz w:val="21"/>
                <w:szCs w:val="21"/>
              </w:rPr>
              <w:t>86</w:t>
            </w:r>
          </w:p>
        </w:tc>
        <w:tc>
          <w:tcPr>
            <w:tcW w:w="853" w:type="dxa"/>
            <w:vAlign w:val="center"/>
          </w:tcPr>
          <w:p>
            <w:pPr>
              <w:widowControl/>
              <w:jc w:val="center"/>
              <w:rPr>
                <w:color w:val="auto"/>
                <w:kern w:val="0"/>
                <w:sz w:val="21"/>
                <w:szCs w:val="21"/>
              </w:rPr>
            </w:pPr>
            <w:r>
              <w:rPr>
                <w:color w:val="auto"/>
                <w:kern w:val="0"/>
                <w:sz w:val="21"/>
                <w:szCs w:val="21"/>
              </w:rPr>
              <w:t>5.78</w:t>
            </w:r>
          </w:p>
        </w:tc>
        <w:tc>
          <w:tcPr>
            <w:tcW w:w="853" w:type="dxa"/>
            <w:vAlign w:val="center"/>
          </w:tcPr>
          <w:p>
            <w:pPr>
              <w:widowControl/>
              <w:jc w:val="center"/>
              <w:rPr>
                <w:color w:val="auto"/>
                <w:kern w:val="0"/>
                <w:sz w:val="21"/>
                <w:szCs w:val="21"/>
              </w:rPr>
            </w:pPr>
            <w:r>
              <w:rPr>
                <w:color w:val="auto"/>
                <w:kern w:val="0"/>
                <w:sz w:val="21"/>
                <w:szCs w:val="21"/>
              </w:rPr>
              <w:t>176</w:t>
            </w:r>
          </w:p>
        </w:tc>
        <w:tc>
          <w:tcPr>
            <w:tcW w:w="853" w:type="dxa"/>
            <w:vAlign w:val="center"/>
          </w:tcPr>
          <w:p>
            <w:pPr>
              <w:widowControl/>
              <w:jc w:val="center"/>
              <w:rPr>
                <w:color w:val="auto"/>
                <w:kern w:val="0"/>
                <w:sz w:val="21"/>
                <w:szCs w:val="21"/>
              </w:rPr>
            </w:pPr>
            <w:r>
              <w:rPr>
                <w:color w:val="auto"/>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加药间</w:t>
            </w:r>
          </w:p>
        </w:tc>
        <w:tc>
          <w:tcPr>
            <w:tcW w:w="850" w:type="dxa"/>
            <w:vAlign w:val="center"/>
          </w:tcPr>
          <w:p>
            <w:pPr>
              <w:widowControl/>
              <w:jc w:val="center"/>
              <w:rPr>
                <w:color w:val="auto"/>
                <w:kern w:val="0"/>
                <w:sz w:val="21"/>
                <w:szCs w:val="21"/>
              </w:rPr>
            </w:pPr>
            <w:r>
              <w:rPr>
                <w:color w:val="auto"/>
                <w:kern w:val="0"/>
                <w:sz w:val="21"/>
                <w:szCs w:val="21"/>
              </w:rPr>
              <w:t>19</w:t>
            </w:r>
          </w:p>
        </w:tc>
        <w:tc>
          <w:tcPr>
            <w:tcW w:w="853" w:type="dxa"/>
            <w:vAlign w:val="center"/>
          </w:tcPr>
          <w:p>
            <w:pPr>
              <w:widowControl/>
              <w:jc w:val="center"/>
              <w:rPr>
                <w:color w:val="auto"/>
                <w:kern w:val="0"/>
                <w:sz w:val="21"/>
                <w:szCs w:val="21"/>
              </w:rPr>
            </w:pPr>
            <w:r>
              <w:rPr>
                <w:color w:val="auto"/>
                <w:kern w:val="0"/>
                <w:sz w:val="21"/>
                <w:szCs w:val="21"/>
              </w:rPr>
              <w:t>15.22</w:t>
            </w:r>
          </w:p>
        </w:tc>
        <w:tc>
          <w:tcPr>
            <w:tcW w:w="853" w:type="dxa"/>
            <w:vAlign w:val="center"/>
          </w:tcPr>
          <w:p>
            <w:pPr>
              <w:widowControl/>
              <w:jc w:val="center"/>
              <w:rPr>
                <w:color w:val="auto"/>
                <w:kern w:val="0"/>
                <w:sz w:val="21"/>
                <w:szCs w:val="21"/>
              </w:rPr>
            </w:pPr>
            <w:r>
              <w:rPr>
                <w:color w:val="auto"/>
                <w:kern w:val="0"/>
                <w:sz w:val="21"/>
                <w:szCs w:val="21"/>
              </w:rPr>
              <w:t>211.5</w:t>
            </w:r>
          </w:p>
        </w:tc>
        <w:tc>
          <w:tcPr>
            <w:tcW w:w="853" w:type="dxa"/>
            <w:vAlign w:val="center"/>
          </w:tcPr>
          <w:p>
            <w:pPr>
              <w:widowControl/>
              <w:jc w:val="center"/>
              <w:rPr>
                <w:color w:val="auto"/>
                <w:kern w:val="0"/>
                <w:sz w:val="21"/>
                <w:szCs w:val="21"/>
              </w:rPr>
            </w:pPr>
            <w:r>
              <w:rPr>
                <w:color w:val="auto"/>
                <w:kern w:val="0"/>
                <w:sz w:val="21"/>
                <w:szCs w:val="21"/>
              </w:rPr>
              <w:t>0.00</w:t>
            </w:r>
          </w:p>
        </w:tc>
        <w:tc>
          <w:tcPr>
            <w:tcW w:w="852" w:type="dxa"/>
            <w:vAlign w:val="center"/>
          </w:tcPr>
          <w:p>
            <w:pPr>
              <w:widowControl/>
              <w:jc w:val="center"/>
              <w:rPr>
                <w:color w:val="auto"/>
                <w:kern w:val="0"/>
                <w:sz w:val="21"/>
                <w:szCs w:val="21"/>
              </w:rPr>
            </w:pPr>
            <w:r>
              <w:rPr>
                <w:color w:val="auto"/>
                <w:kern w:val="0"/>
                <w:sz w:val="21"/>
                <w:szCs w:val="21"/>
              </w:rPr>
              <w:t>73</w:t>
            </w:r>
          </w:p>
        </w:tc>
        <w:tc>
          <w:tcPr>
            <w:tcW w:w="853" w:type="dxa"/>
            <w:vAlign w:val="center"/>
          </w:tcPr>
          <w:p>
            <w:pPr>
              <w:widowControl/>
              <w:jc w:val="center"/>
              <w:rPr>
                <w:color w:val="auto"/>
                <w:kern w:val="0"/>
                <w:sz w:val="21"/>
                <w:szCs w:val="21"/>
              </w:rPr>
            </w:pPr>
            <w:r>
              <w:rPr>
                <w:color w:val="auto"/>
                <w:kern w:val="0"/>
                <w:sz w:val="21"/>
                <w:szCs w:val="21"/>
              </w:rPr>
              <w:t>3.53</w:t>
            </w:r>
          </w:p>
        </w:tc>
        <w:tc>
          <w:tcPr>
            <w:tcW w:w="853" w:type="dxa"/>
            <w:vAlign w:val="center"/>
          </w:tcPr>
          <w:p>
            <w:pPr>
              <w:widowControl/>
              <w:jc w:val="center"/>
              <w:rPr>
                <w:color w:val="auto"/>
                <w:kern w:val="0"/>
                <w:sz w:val="21"/>
                <w:szCs w:val="21"/>
              </w:rPr>
            </w:pPr>
            <w:r>
              <w:rPr>
                <w:color w:val="auto"/>
                <w:kern w:val="0"/>
                <w:sz w:val="21"/>
                <w:szCs w:val="21"/>
              </w:rPr>
              <w:t>8.5</w:t>
            </w:r>
          </w:p>
        </w:tc>
        <w:tc>
          <w:tcPr>
            <w:tcW w:w="853" w:type="dxa"/>
            <w:vAlign w:val="center"/>
          </w:tcPr>
          <w:p>
            <w:pPr>
              <w:widowControl/>
              <w:jc w:val="center"/>
              <w:rPr>
                <w:color w:val="auto"/>
                <w:kern w:val="0"/>
                <w:sz w:val="21"/>
                <w:szCs w:val="21"/>
              </w:rPr>
            </w:pPr>
            <w:r>
              <w:rPr>
                <w:color w:val="auto"/>
                <w:kern w:val="0"/>
                <w:sz w:val="21"/>
                <w:szCs w:val="21"/>
              </w:rPr>
              <w:t>22.20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除臭装置</w:t>
            </w:r>
          </w:p>
        </w:tc>
        <w:tc>
          <w:tcPr>
            <w:tcW w:w="850" w:type="dxa"/>
            <w:vAlign w:val="center"/>
          </w:tcPr>
          <w:p>
            <w:pPr>
              <w:widowControl/>
              <w:jc w:val="center"/>
              <w:rPr>
                <w:color w:val="auto"/>
                <w:kern w:val="0"/>
                <w:sz w:val="21"/>
                <w:szCs w:val="21"/>
              </w:rPr>
            </w:pPr>
            <w:r>
              <w:rPr>
                <w:color w:val="auto"/>
                <w:kern w:val="0"/>
                <w:sz w:val="21"/>
                <w:szCs w:val="21"/>
              </w:rPr>
              <w:t>90</w:t>
            </w:r>
          </w:p>
        </w:tc>
        <w:tc>
          <w:tcPr>
            <w:tcW w:w="853" w:type="dxa"/>
            <w:vAlign w:val="center"/>
          </w:tcPr>
          <w:p>
            <w:pPr>
              <w:widowControl/>
              <w:jc w:val="center"/>
              <w:rPr>
                <w:color w:val="auto"/>
                <w:kern w:val="0"/>
                <w:sz w:val="21"/>
                <w:szCs w:val="21"/>
              </w:rPr>
            </w:pPr>
            <w:r>
              <w:rPr>
                <w:color w:val="auto"/>
                <w:kern w:val="0"/>
                <w:sz w:val="21"/>
                <w:szCs w:val="21"/>
              </w:rPr>
              <w:t>13.23</w:t>
            </w:r>
          </w:p>
        </w:tc>
        <w:tc>
          <w:tcPr>
            <w:tcW w:w="853" w:type="dxa"/>
            <w:vAlign w:val="center"/>
          </w:tcPr>
          <w:p>
            <w:pPr>
              <w:widowControl/>
              <w:jc w:val="center"/>
              <w:rPr>
                <w:color w:val="auto"/>
                <w:kern w:val="0"/>
                <w:sz w:val="21"/>
                <w:szCs w:val="21"/>
              </w:rPr>
            </w:pPr>
            <w:r>
              <w:rPr>
                <w:color w:val="auto"/>
                <w:kern w:val="0"/>
                <w:sz w:val="21"/>
                <w:szCs w:val="21"/>
              </w:rPr>
              <w:t>28</w:t>
            </w:r>
          </w:p>
        </w:tc>
        <w:tc>
          <w:tcPr>
            <w:tcW w:w="853" w:type="dxa"/>
            <w:vAlign w:val="center"/>
          </w:tcPr>
          <w:p>
            <w:pPr>
              <w:widowControl/>
              <w:jc w:val="center"/>
              <w:rPr>
                <w:color w:val="auto"/>
                <w:kern w:val="0"/>
                <w:sz w:val="21"/>
                <w:szCs w:val="21"/>
              </w:rPr>
            </w:pPr>
            <w:r>
              <w:rPr>
                <w:color w:val="auto"/>
                <w:kern w:val="0"/>
                <w:sz w:val="21"/>
                <w:szCs w:val="21"/>
              </w:rPr>
              <w:t>23.37</w:t>
            </w:r>
          </w:p>
        </w:tc>
        <w:tc>
          <w:tcPr>
            <w:tcW w:w="852" w:type="dxa"/>
            <w:vAlign w:val="center"/>
          </w:tcPr>
          <w:p>
            <w:pPr>
              <w:widowControl/>
              <w:jc w:val="center"/>
              <w:rPr>
                <w:color w:val="auto"/>
                <w:kern w:val="0"/>
                <w:sz w:val="21"/>
                <w:szCs w:val="21"/>
              </w:rPr>
            </w:pPr>
            <w:r>
              <w:rPr>
                <w:color w:val="auto"/>
                <w:kern w:val="0"/>
                <w:sz w:val="21"/>
                <w:szCs w:val="21"/>
              </w:rPr>
              <w:t>20.5</w:t>
            </w:r>
          </w:p>
        </w:tc>
        <w:tc>
          <w:tcPr>
            <w:tcW w:w="853" w:type="dxa"/>
            <w:vAlign w:val="center"/>
          </w:tcPr>
          <w:p>
            <w:pPr>
              <w:widowControl/>
              <w:jc w:val="center"/>
              <w:rPr>
                <w:color w:val="auto"/>
                <w:kern w:val="0"/>
                <w:sz w:val="21"/>
                <w:szCs w:val="21"/>
              </w:rPr>
            </w:pPr>
            <w:r>
              <w:rPr>
                <w:color w:val="auto"/>
                <w:kern w:val="0"/>
                <w:sz w:val="21"/>
                <w:szCs w:val="21"/>
              </w:rPr>
              <w:t>26.08</w:t>
            </w:r>
          </w:p>
        </w:tc>
        <w:tc>
          <w:tcPr>
            <w:tcW w:w="853" w:type="dxa"/>
            <w:vAlign w:val="center"/>
          </w:tcPr>
          <w:p>
            <w:pPr>
              <w:widowControl/>
              <w:jc w:val="center"/>
              <w:rPr>
                <w:color w:val="auto"/>
                <w:kern w:val="0"/>
                <w:sz w:val="21"/>
                <w:szCs w:val="21"/>
              </w:rPr>
            </w:pPr>
            <w:r>
              <w:rPr>
                <w:color w:val="auto"/>
                <w:kern w:val="0"/>
                <w:sz w:val="21"/>
                <w:szCs w:val="21"/>
              </w:rPr>
              <w:t>194.5</w:t>
            </w:r>
          </w:p>
        </w:tc>
        <w:tc>
          <w:tcPr>
            <w:tcW w:w="853" w:type="dxa"/>
            <w:vAlign w:val="center"/>
          </w:tcPr>
          <w:p>
            <w:pPr>
              <w:widowControl/>
              <w:jc w:val="center"/>
              <w:rPr>
                <w:color w:val="auto"/>
                <w:kern w:val="0"/>
                <w:sz w:val="21"/>
                <w:szCs w:val="21"/>
              </w:rPr>
            </w:pPr>
            <w:r>
              <w:rPr>
                <w:color w:val="auto"/>
                <w:kern w:val="0"/>
                <w:sz w:val="21"/>
                <w:szCs w:val="21"/>
              </w:rPr>
              <w:t>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鼓风机房</w:t>
            </w:r>
          </w:p>
        </w:tc>
        <w:tc>
          <w:tcPr>
            <w:tcW w:w="850" w:type="dxa"/>
            <w:vAlign w:val="center"/>
          </w:tcPr>
          <w:p>
            <w:pPr>
              <w:widowControl/>
              <w:jc w:val="center"/>
              <w:rPr>
                <w:color w:val="auto"/>
                <w:kern w:val="0"/>
                <w:sz w:val="21"/>
                <w:szCs w:val="21"/>
              </w:rPr>
            </w:pPr>
            <w:r>
              <w:rPr>
                <w:color w:val="auto"/>
                <w:kern w:val="0"/>
                <w:sz w:val="21"/>
                <w:szCs w:val="21"/>
              </w:rPr>
              <w:t>59</w:t>
            </w:r>
          </w:p>
        </w:tc>
        <w:tc>
          <w:tcPr>
            <w:tcW w:w="853" w:type="dxa"/>
            <w:vAlign w:val="center"/>
          </w:tcPr>
          <w:p>
            <w:pPr>
              <w:widowControl/>
              <w:jc w:val="center"/>
              <w:rPr>
                <w:color w:val="auto"/>
                <w:kern w:val="0"/>
                <w:sz w:val="21"/>
                <w:szCs w:val="21"/>
              </w:rPr>
            </w:pPr>
            <w:r>
              <w:rPr>
                <w:color w:val="auto"/>
                <w:kern w:val="0"/>
                <w:sz w:val="21"/>
                <w:szCs w:val="21"/>
              </w:rPr>
              <w:t>9.09</w:t>
            </w:r>
          </w:p>
        </w:tc>
        <w:tc>
          <w:tcPr>
            <w:tcW w:w="853" w:type="dxa"/>
            <w:vAlign w:val="center"/>
          </w:tcPr>
          <w:p>
            <w:pPr>
              <w:widowControl/>
              <w:jc w:val="center"/>
              <w:rPr>
                <w:color w:val="auto"/>
                <w:kern w:val="0"/>
                <w:sz w:val="21"/>
                <w:szCs w:val="21"/>
              </w:rPr>
            </w:pPr>
            <w:r>
              <w:rPr>
                <w:color w:val="auto"/>
                <w:kern w:val="0"/>
                <w:sz w:val="21"/>
                <w:szCs w:val="21"/>
              </w:rPr>
              <w:t>66.9</w:t>
            </w:r>
          </w:p>
        </w:tc>
        <w:tc>
          <w:tcPr>
            <w:tcW w:w="853" w:type="dxa"/>
            <w:vAlign w:val="center"/>
          </w:tcPr>
          <w:p>
            <w:pPr>
              <w:widowControl/>
              <w:jc w:val="center"/>
              <w:rPr>
                <w:color w:val="auto"/>
                <w:kern w:val="0"/>
                <w:sz w:val="21"/>
                <w:szCs w:val="21"/>
              </w:rPr>
            </w:pPr>
            <w:r>
              <w:rPr>
                <w:color w:val="auto"/>
                <w:kern w:val="0"/>
                <w:sz w:val="21"/>
                <w:szCs w:val="21"/>
              </w:rPr>
              <w:t>8.00</w:t>
            </w:r>
          </w:p>
        </w:tc>
        <w:tc>
          <w:tcPr>
            <w:tcW w:w="852" w:type="dxa"/>
            <w:vAlign w:val="center"/>
          </w:tcPr>
          <w:p>
            <w:pPr>
              <w:widowControl/>
              <w:jc w:val="center"/>
              <w:rPr>
                <w:color w:val="auto"/>
                <w:kern w:val="0"/>
                <w:sz w:val="21"/>
                <w:szCs w:val="21"/>
              </w:rPr>
            </w:pPr>
            <w:r>
              <w:rPr>
                <w:color w:val="auto"/>
                <w:kern w:val="0"/>
                <w:sz w:val="21"/>
                <w:szCs w:val="21"/>
              </w:rPr>
              <w:t>63.5</w:t>
            </w:r>
          </w:p>
        </w:tc>
        <w:tc>
          <w:tcPr>
            <w:tcW w:w="853" w:type="dxa"/>
            <w:vAlign w:val="center"/>
          </w:tcPr>
          <w:p>
            <w:pPr>
              <w:widowControl/>
              <w:jc w:val="center"/>
              <w:rPr>
                <w:color w:val="auto"/>
                <w:kern w:val="0"/>
                <w:sz w:val="21"/>
                <w:szCs w:val="21"/>
              </w:rPr>
            </w:pPr>
            <w:r>
              <w:rPr>
                <w:color w:val="auto"/>
                <w:kern w:val="0"/>
                <w:sz w:val="21"/>
                <w:szCs w:val="21"/>
              </w:rPr>
              <w:t>8.45</w:t>
            </w:r>
          </w:p>
        </w:tc>
        <w:tc>
          <w:tcPr>
            <w:tcW w:w="853" w:type="dxa"/>
            <w:vAlign w:val="center"/>
          </w:tcPr>
          <w:p>
            <w:pPr>
              <w:widowControl/>
              <w:jc w:val="center"/>
              <w:rPr>
                <w:color w:val="auto"/>
                <w:kern w:val="0"/>
                <w:sz w:val="21"/>
                <w:szCs w:val="21"/>
              </w:rPr>
            </w:pPr>
            <w:r>
              <w:rPr>
                <w:color w:val="auto"/>
                <w:kern w:val="0"/>
                <w:sz w:val="21"/>
                <w:szCs w:val="21"/>
              </w:rPr>
              <w:t>150</w:t>
            </w:r>
          </w:p>
        </w:tc>
        <w:tc>
          <w:tcPr>
            <w:tcW w:w="853" w:type="dxa"/>
            <w:vAlign w:val="center"/>
          </w:tcPr>
          <w:p>
            <w:pPr>
              <w:widowControl/>
              <w:jc w:val="center"/>
              <w:rPr>
                <w:color w:val="auto"/>
                <w:kern w:val="0"/>
                <w:sz w:val="21"/>
                <w:szCs w:val="21"/>
              </w:rPr>
            </w:pPr>
            <w:r>
              <w:rPr>
                <w:color w:val="auto"/>
                <w:kern w:val="0"/>
                <w:sz w:val="21"/>
                <w:szCs w:val="21"/>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pPr>
              <w:pStyle w:val="10"/>
              <w:spacing w:after="0" w:line="240" w:lineRule="auto"/>
              <w:ind w:left="0" w:leftChars="0" w:firstLine="0" w:firstLineChars="0"/>
              <w:jc w:val="center"/>
              <w:rPr>
                <w:bCs/>
                <w:color w:val="auto"/>
                <w:sz w:val="21"/>
                <w:szCs w:val="21"/>
              </w:rPr>
            </w:pPr>
            <w:r>
              <w:rPr>
                <w:rFonts w:hint="eastAsia"/>
                <w:bCs/>
                <w:color w:val="auto"/>
                <w:sz w:val="21"/>
                <w:szCs w:val="21"/>
              </w:rPr>
              <w:t>叠加声压级</w:t>
            </w:r>
          </w:p>
        </w:tc>
        <w:tc>
          <w:tcPr>
            <w:tcW w:w="1703" w:type="dxa"/>
            <w:gridSpan w:val="2"/>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26.29</w:t>
            </w:r>
          </w:p>
        </w:tc>
        <w:tc>
          <w:tcPr>
            <w:tcW w:w="1706" w:type="dxa"/>
            <w:gridSpan w:val="2"/>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25.23</w:t>
            </w:r>
          </w:p>
        </w:tc>
        <w:tc>
          <w:tcPr>
            <w:tcW w:w="1705" w:type="dxa"/>
            <w:gridSpan w:val="2"/>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28.02</w:t>
            </w:r>
          </w:p>
        </w:tc>
        <w:tc>
          <w:tcPr>
            <w:tcW w:w="1706" w:type="dxa"/>
            <w:gridSpan w:val="2"/>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24.27</w:t>
            </w:r>
          </w:p>
        </w:tc>
      </w:tr>
    </w:tbl>
    <w:p>
      <w:pPr>
        <w:pStyle w:val="10"/>
        <w:spacing w:after="0"/>
        <w:ind w:left="0" w:leftChars="0" w:firstLine="0" w:firstLineChars="0"/>
        <w:jc w:val="center"/>
        <w:rPr>
          <w:b/>
          <w:bCs/>
          <w:color w:val="auto"/>
        </w:rPr>
      </w:pPr>
      <w:r>
        <w:rPr>
          <w:rFonts w:hint="eastAsia"/>
          <w:b/>
          <w:bCs/>
          <w:color w:val="auto"/>
        </w:rPr>
        <w:t>表</w:t>
      </w:r>
      <w:r>
        <w:rPr>
          <w:rFonts w:ascii="Times New Roman" w:hAnsi="Times New Roman" w:cs="Times New Roman"/>
          <w:b/>
          <w:bCs/>
          <w:color w:val="auto"/>
        </w:rPr>
        <w:t>5-2-</w:t>
      </w:r>
      <w:r>
        <w:rPr>
          <w:rFonts w:hint="eastAsia" w:ascii="Times New Roman" w:hAnsi="Times New Roman" w:cs="Times New Roman"/>
          <w:b/>
          <w:bCs/>
          <w:color w:val="auto"/>
        </w:rPr>
        <w:t>29</w:t>
      </w:r>
      <w:r>
        <w:rPr>
          <w:rFonts w:hint="eastAsia"/>
          <w:b/>
          <w:bCs/>
          <w:color w:val="auto"/>
        </w:rPr>
        <w:t xml:space="preserve">   项目噪声对周边声环境敏感点贡献值   </w:t>
      </w:r>
    </w:p>
    <w:tbl>
      <w:tblPr>
        <w:tblStyle w:val="28"/>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2835"/>
        <w:gridCol w:w="2409"/>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pStyle w:val="10"/>
              <w:spacing w:after="0" w:line="240" w:lineRule="auto"/>
              <w:ind w:left="0" w:leftChars="0" w:firstLine="0" w:firstLineChars="0"/>
              <w:jc w:val="center"/>
              <w:rPr>
                <w:rFonts w:ascii="Times New Roman" w:hAnsi="Times New Roman" w:cs="Times New Roman"/>
                <w:b/>
                <w:bCs/>
                <w:color w:val="auto"/>
                <w:sz w:val="21"/>
                <w:szCs w:val="21"/>
              </w:rPr>
            </w:pPr>
            <w:r>
              <w:rPr>
                <w:rFonts w:ascii="Times New Roman" w:cs="Times New Roman"/>
                <w:b/>
                <w:bCs/>
                <w:color w:val="auto"/>
                <w:sz w:val="21"/>
                <w:szCs w:val="21"/>
              </w:rPr>
              <w:t>敏感点</w:t>
            </w:r>
          </w:p>
        </w:tc>
        <w:tc>
          <w:tcPr>
            <w:tcW w:w="2835" w:type="dxa"/>
            <w:vAlign w:val="center"/>
          </w:tcPr>
          <w:p>
            <w:pPr>
              <w:jc w:val="center"/>
              <w:rPr>
                <w:b/>
                <w:color w:val="auto"/>
                <w:sz w:val="21"/>
                <w:szCs w:val="21"/>
              </w:rPr>
            </w:pPr>
            <w:r>
              <w:rPr>
                <w:rFonts w:hAnsi="宋体"/>
                <w:b/>
                <w:color w:val="auto"/>
                <w:sz w:val="21"/>
                <w:szCs w:val="21"/>
              </w:rPr>
              <w:t>化裕村</w:t>
            </w:r>
          </w:p>
        </w:tc>
        <w:tc>
          <w:tcPr>
            <w:tcW w:w="2409" w:type="dxa"/>
            <w:vAlign w:val="center"/>
          </w:tcPr>
          <w:p>
            <w:pPr>
              <w:jc w:val="center"/>
              <w:rPr>
                <w:b/>
                <w:color w:val="auto"/>
                <w:sz w:val="21"/>
                <w:szCs w:val="21"/>
              </w:rPr>
            </w:pPr>
            <w:r>
              <w:rPr>
                <w:rFonts w:hAnsi="宋体"/>
                <w:b/>
                <w:color w:val="auto"/>
                <w:sz w:val="21"/>
                <w:szCs w:val="21"/>
              </w:rPr>
              <w:t>零散居民区</w:t>
            </w:r>
          </w:p>
        </w:tc>
        <w:tc>
          <w:tcPr>
            <w:tcW w:w="2268" w:type="dxa"/>
            <w:vAlign w:val="center"/>
          </w:tcPr>
          <w:p>
            <w:pPr>
              <w:jc w:val="center"/>
              <w:rPr>
                <w:b/>
                <w:color w:val="auto"/>
                <w:sz w:val="21"/>
                <w:szCs w:val="21"/>
              </w:rPr>
            </w:pPr>
            <w:r>
              <w:rPr>
                <w:rFonts w:hAnsi="宋体"/>
                <w:b/>
                <w:color w:val="auto"/>
                <w:sz w:val="21"/>
                <w:szCs w:val="21"/>
              </w:rPr>
              <w:t>上楼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cs="Times New Roman"/>
                <w:bCs/>
                <w:color w:val="auto"/>
                <w:sz w:val="21"/>
                <w:szCs w:val="21"/>
              </w:rPr>
              <w:t>距离</w:t>
            </w:r>
            <w:r>
              <w:rPr>
                <w:rFonts w:ascii="Times New Roman" w:hAnsi="Times New Roman" w:cs="Times New Roman"/>
                <w:bCs/>
                <w:color w:val="auto"/>
                <w:sz w:val="21"/>
                <w:szCs w:val="21"/>
              </w:rPr>
              <w:t>/m</w:t>
            </w:r>
          </w:p>
        </w:tc>
        <w:tc>
          <w:tcPr>
            <w:tcW w:w="2835"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115</w:t>
            </w:r>
          </w:p>
        </w:tc>
        <w:tc>
          <w:tcPr>
            <w:tcW w:w="2409"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135</w:t>
            </w:r>
          </w:p>
        </w:tc>
        <w:tc>
          <w:tcPr>
            <w:tcW w:w="2268"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cs="Times New Roman"/>
                <w:bCs/>
                <w:color w:val="auto"/>
                <w:sz w:val="21"/>
                <w:szCs w:val="21"/>
              </w:rPr>
              <w:t>方位</w:t>
            </w:r>
          </w:p>
        </w:tc>
        <w:tc>
          <w:tcPr>
            <w:tcW w:w="2835"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cs="Times New Roman"/>
                <w:bCs/>
                <w:color w:val="auto"/>
                <w:sz w:val="21"/>
                <w:szCs w:val="21"/>
              </w:rPr>
              <w:t>东南（以东边厂界噪声估算）</w:t>
            </w:r>
          </w:p>
        </w:tc>
        <w:tc>
          <w:tcPr>
            <w:tcW w:w="2409"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cs="Times New Roman"/>
                <w:bCs/>
                <w:color w:val="auto"/>
                <w:sz w:val="21"/>
                <w:szCs w:val="21"/>
              </w:rPr>
              <w:t>西</w:t>
            </w:r>
          </w:p>
        </w:tc>
        <w:tc>
          <w:tcPr>
            <w:tcW w:w="2268"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cs="Times New Roman"/>
                <w:bCs/>
                <w:color w:val="auto"/>
                <w:sz w:val="21"/>
                <w:szCs w:val="21"/>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cs="Times New Roman"/>
                <w:bCs/>
                <w:color w:val="auto"/>
                <w:sz w:val="21"/>
                <w:szCs w:val="21"/>
              </w:rPr>
              <w:t>贡献值</w:t>
            </w:r>
            <w:r>
              <w:rPr>
                <w:rFonts w:ascii="Times New Roman" w:hAnsi="Times New Roman" w:cs="Times New Roman"/>
                <w:bCs/>
                <w:color w:val="auto"/>
                <w:sz w:val="21"/>
                <w:szCs w:val="21"/>
              </w:rPr>
              <w:t>/dB(A)</w:t>
            </w:r>
          </w:p>
        </w:tc>
        <w:tc>
          <w:tcPr>
            <w:tcW w:w="2835"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0</w:t>
            </w:r>
          </w:p>
        </w:tc>
        <w:tc>
          <w:tcPr>
            <w:tcW w:w="2409"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0</w:t>
            </w:r>
          </w:p>
        </w:tc>
        <w:tc>
          <w:tcPr>
            <w:tcW w:w="2268" w:type="dxa"/>
            <w:vAlign w:val="center"/>
          </w:tcPr>
          <w:p>
            <w:pPr>
              <w:pStyle w:val="10"/>
              <w:spacing w:after="0" w:line="240" w:lineRule="auto"/>
              <w:ind w:left="0" w:leftChars="0"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0</w:t>
            </w:r>
          </w:p>
        </w:tc>
      </w:tr>
    </w:tbl>
    <w:p>
      <w:pPr>
        <w:adjustRightInd w:val="0"/>
        <w:snapToGrid w:val="0"/>
        <w:jc w:val="center"/>
        <w:rPr>
          <w:color w:val="auto"/>
          <w:sz w:val="24"/>
          <w:szCs w:val="24"/>
        </w:rPr>
      </w:pPr>
      <w:r>
        <w:rPr>
          <w:color w:val="auto"/>
          <w:sz w:val="24"/>
          <w:szCs w:val="24"/>
        </w:rPr>
        <w:drawing>
          <wp:inline distT="0" distB="0" distL="0" distR="0">
            <wp:extent cx="5274310" cy="3745865"/>
            <wp:effectExtent l="19050" t="0" r="2540" b="0"/>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noChangeArrowheads="1"/>
                    </pic:cNvPicPr>
                  </pic:nvPicPr>
                  <pic:blipFill>
                    <a:blip r:embed="rId76" cstate="print"/>
                    <a:srcRect/>
                    <a:stretch>
                      <a:fillRect/>
                    </a:stretch>
                  </pic:blipFill>
                  <pic:spPr>
                    <a:xfrm>
                      <a:off x="0" y="0"/>
                      <a:ext cx="5274310" cy="3746076"/>
                    </a:xfrm>
                    <a:prstGeom prst="rect">
                      <a:avLst/>
                    </a:prstGeom>
                    <a:noFill/>
                    <a:ln w="9525">
                      <a:noFill/>
                      <a:miter lim="800000"/>
                      <a:headEnd/>
                      <a:tailEnd/>
                    </a:ln>
                  </pic:spPr>
                </pic:pic>
              </a:graphicData>
            </a:graphic>
          </wp:inline>
        </w:drawing>
      </w:r>
    </w:p>
    <w:p>
      <w:pPr>
        <w:adjustRightInd w:val="0"/>
        <w:snapToGrid w:val="0"/>
        <w:spacing w:beforeLines="50" w:afterLines="50"/>
        <w:jc w:val="center"/>
        <w:rPr>
          <w:b/>
          <w:bCs/>
          <w:color w:val="auto"/>
          <w:sz w:val="24"/>
          <w:szCs w:val="24"/>
        </w:rPr>
      </w:pPr>
      <w:r>
        <w:rPr>
          <w:b/>
          <w:bCs/>
          <w:color w:val="auto"/>
          <w:sz w:val="24"/>
          <w:szCs w:val="24"/>
        </w:rPr>
        <w:t>图5-2-</w:t>
      </w:r>
      <w:r>
        <w:rPr>
          <w:rFonts w:hint="eastAsia"/>
          <w:b/>
          <w:bCs/>
          <w:color w:val="auto"/>
          <w:sz w:val="24"/>
          <w:szCs w:val="24"/>
        </w:rPr>
        <w:t>9</w:t>
      </w:r>
      <w:r>
        <w:rPr>
          <w:b/>
          <w:bCs/>
          <w:color w:val="auto"/>
          <w:sz w:val="24"/>
          <w:szCs w:val="24"/>
        </w:rPr>
        <w:t xml:space="preserve">   噪声贡献分布等值线图</w:t>
      </w:r>
    </w:p>
    <w:p>
      <w:pPr>
        <w:spacing w:line="360" w:lineRule="auto"/>
        <w:ind w:firstLine="480" w:firstLineChars="200"/>
        <w:rPr>
          <w:color w:val="auto"/>
          <w:sz w:val="24"/>
          <w:szCs w:val="24"/>
        </w:rPr>
      </w:pPr>
      <w:r>
        <w:rPr>
          <w:rFonts w:hint="eastAsia"/>
          <w:color w:val="auto"/>
          <w:sz w:val="24"/>
          <w:szCs w:val="24"/>
        </w:rPr>
        <w:t>由表5-2-28可知，本项目建成运行后厂界噪声可满足《工业企业厂界环境噪声排放标准》（GB12348-2008）2类标准（昼间≤60dB（A）、夜间≤50dB（A）），项目厂界噪声可达标排放。根据现场调查，项目选址区域现正在完成拆迁工作，</w:t>
      </w:r>
      <w:r>
        <w:rPr>
          <w:rFonts w:hint="eastAsia"/>
          <w:color w:val="auto"/>
          <w:kern w:val="0"/>
          <w:sz w:val="24"/>
          <w:szCs w:val="24"/>
        </w:rPr>
        <w:t>待项目建成运营后，</w:t>
      </w:r>
      <w:r>
        <w:rPr>
          <w:rFonts w:hint="eastAsia"/>
          <w:color w:val="auto"/>
          <w:sz w:val="24"/>
          <w:szCs w:val="24"/>
        </w:rPr>
        <w:t>周边声环境敏感点为项目东南面约115m处的化裕村、西面约135m处的零散居民区和北面约153m处的上楼，根据预测，项目噪声对声环境敏感点的贡献值为0。因此，本项目噪声对周边声环境影响不大。</w:t>
      </w:r>
    </w:p>
    <w:p>
      <w:pPr>
        <w:pStyle w:val="4"/>
        <w:rPr>
          <w:color w:val="auto"/>
        </w:rPr>
      </w:pPr>
      <w:bookmarkStart w:id="146" w:name="_Toc26276866"/>
      <w:r>
        <w:rPr>
          <w:rFonts w:hint="eastAsia"/>
          <w:color w:val="auto"/>
        </w:rPr>
        <w:t>5.2.5运营期固体废物影响分析</w:t>
      </w:r>
      <w:bookmarkEnd w:id="146"/>
    </w:p>
    <w:p>
      <w:pPr>
        <w:spacing w:line="360" w:lineRule="auto"/>
        <w:ind w:firstLine="480" w:firstLineChars="200"/>
        <w:rPr>
          <w:color w:val="auto"/>
          <w:sz w:val="24"/>
          <w:szCs w:val="24"/>
        </w:rPr>
      </w:pPr>
      <w:r>
        <w:rPr>
          <w:rFonts w:hint="eastAsia"/>
          <w:color w:val="auto"/>
          <w:sz w:val="24"/>
          <w:szCs w:val="24"/>
        </w:rPr>
        <w:t>水质净化厂产生的固体废物主要为栅渣、剩余污泥、深度处理污泥、生活垃圾、废化学试剂。本项目固体废物产生量及主要成份见下表。</w:t>
      </w:r>
    </w:p>
    <w:p>
      <w:pPr>
        <w:spacing w:line="360" w:lineRule="auto"/>
        <w:jc w:val="center"/>
        <w:rPr>
          <w:b/>
          <w:color w:val="auto"/>
          <w:sz w:val="24"/>
          <w:szCs w:val="24"/>
        </w:rPr>
      </w:pPr>
      <w:r>
        <w:rPr>
          <w:rFonts w:hint="eastAsia"/>
          <w:b/>
          <w:color w:val="auto"/>
          <w:sz w:val="24"/>
          <w:szCs w:val="24"/>
        </w:rPr>
        <w:t>表5-2-30   本项目固体废物产生量及主要成份一览表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691"/>
        <w:gridCol w:w="4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b/>
                <w:color w:val="auto"/>
                <w:sz w:val="21"/>
                <w:szCs w:val="21"/>
              </w:rPr>
            </w:pPr>
            <w:r>
              <w:rPr>
                <w:rFonts w:hint="eastAsia"/>
                <w:b/>
                <w:color w:val="auto"/>
                <w:sz w:val="21"/>
                <w:szCs w:val="21"/>
              </w:rPr>
              <w:t>固体废物名称</w:t>
            </w:r>
          </w:p>
        </w:tc>
        <w:tc>
          <w:tcPr>
            <w:tcW w:w="2691" w:type="dxa"/>
            <w:vAlign w:val="center"/>
          </w:tcPr>
          <w:p>
            <w:pPr>
              <w:jc w:val="center"/>
              <w:rPr>
                <w:b/>
                <w:color w:val="auto"/>
                <w:sz w:val="21"/>
                <w:szCs w:val="21"/>
              </w:rPr>
            </w:pPr>
            <w:r>
              <w:rPr>
                <w:rFonts w:hint="eastAsia"/>
                <w:b/>
                <w:color w:val="auto"/>
                <w:sz w:val="21"/>
                <w:szCs w:val="21"/>
              </w:rPr>
              <w:t>产生量（t/a）</w:t>
            </w:r>
          </w:p>
        </w:tc>
        <w:tc>
          <w:tcPr>
            <w:tcW w:w="4164" w:type="dxa"/>
            <w:vAlign w:val="center"/>
          </w:tcPr>
          <w:p>
            <w:pPr>
              <w:jc w:val="center"/>
              <w:rPr>
                <w:b/>
                <w:color w:val="auto"/>
                <w:sz w:val="21"/>
                <w:szCs w:val="21"/>
              </w:rPr>
            </w:pPr>
            <w:r>
              <w:rPr>
                <w:rFonts w:hint="eastAsia"/>
                <w:b/>
                <w:color w:val="auto"/>
                <w:sz w:val="21"/>
                <w:szCs w:val="21"/>
              </w:rPr>
              <w:t>主要成份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color w:val="auto"/>
                <w:sz w:val="21"/>
                <w:szCs w:val="21"/>
              </w:rPr>
            </w:pPr>
            <w:r>
              <w:rPr>
                <w:rFonts w:hint="eastAsia"/>
                <w:color w:val="auto"/>
                <w:sz w:val="21"/>
                <w:szCs w:val="21"/>
              </w:rPr>
              <w:t>栅渣</w:t>
            </w:r>
          </w:p>
        </w:tc>
        <w:tc>
          <w:tcPr>
            <w:tcW w:w="2691" w:type="dxa"/>
            <w:vAlign w:val="center"/>
          </w:tcPr>
          <w:p>
            <w:pPr>
              <w:jc w:val="center"/>
              <w:rPr>
                <w:color w:val="auto"/>
                <w:sz w:val="21"/>
                <w:szCs w:val="21"/>
              </w:rPr>
            </w:pPr>
            <w:r>
              <w:rPr>
                <w:rFonts w:hint="eastAsia"/>
                <w:color w:val="auto"/>
                <w:sz w:val="21"/>
                <w:szCs w:val="21"/>
              </w:rPr>
              <w:t>700.8</w:t>
            </w:r>
          </w:p>
        </w:tc>
        <w:tc>
          <w:tcPr>
            <w:tcW w:w="4164" w:type="dxa"/>
            <w:vAlign w:val="center"/>
          </w:tcPr>
          <w:p>
            <w:pPr>
              <w:jc w:val="center"/>
              <w:rPr>
                <w:color w:val="auto"/>
                <w:sz w:val="21"/>
                <w:szCs w:val="21"/>
              </w:rPr>
            </w:pPr>
            <w:r>
              <w:rPr>
                <w:rFonts w:hint="eastAsia"/>
                <w:color w:val="auto"/>
                <w:sz w:val="21"/>
                <w:szCs w:val="21"/>
              </w:rPr>
              <w:t>树枝、塑料等漂浮物、泥、砂等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color w:val="auto"/>
                <w:sz w:val="21"/>
                <w:szCs w:val="21"/>
              </w:rPr>
            </w:pPr>
            <w:r>
              <w:rPr>
                <w:rFonts w:hint="eastAsia"/>
                <w:color w:val="auto"/>
                <w:sz w:val="21"/>
                <w:szCs w:val="21"/>
              </w:rPr>
              <w:t>污泥</w:t>
            </w:r>
          </w:p>
        </w:tc>
        <w:tc>
          <w:tcPr>
            <w:tcW w:w="2691" w:type="dxa"/>
            <w:vAlign w:val="center"/>
          </w:tcPr>
          <w:p>
            <w:pPr>
              <w:jc w:val="center"/>
              <w:rPr>
                <w:color w:val="auto"/>
                <w:sz w:val="21"/>
                <w:szCs w:val="21"/>
              </w:rPr>
            </w:pPr>
            <w:r>
              <w:rPr>
                <w:rFonts w:hint="eastAsia"/>
                <w:color w:val="auto"/>
                <w:sz w:val="21"/>
                <w:szCs w:val="21"/>
              </w:rPr>
              <w:t>716.495</w:t>
            </w:r>
          </w:p>
        </w:tc>
        <w:tc>
          <w:tcPr>
            <w:tcW w:w="4164" w:type="dxa"/>
            <w:vAlign w:val="center"/>
          </w:tcPr>
          <w:p>
            <w:pPr>
              <w:jc w:val="center"/>
              <w:rPr>
                <w:color w:val="auto"/>
                <w:sz w:val="21"/>
                <w:szCs w:val="21"/>
              </w:rPr>
            </w:pPr>
            <w:r>
              <w:rPr>
                <w:rFonts w:hint="eastAsia"/>
                <w:color w:val="auto"/>
                <w:sz w:val="21"/>
                <w:szCs w:val="21"/>
              </w:rPr>
              <w:t>水份（60%）、污泥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color w:val="auto"/>
                <w:sz w:val="21"/>
                <w:szCs w:val="21"/>
              </w:rPr>
            </w:pPr>
            <w:r>
              <w:rPr>
                <w:rFonts w:hint="eastAsia"/>
                <w:color w:val="auto"/>
                <w:sz w:val="21"/>
                <w:szCs w:val="21"/>
              </w:rPr>
              <w:t>生活垃圾</w:t>
            </w:r>
          </w:p>
        </w:tc>
        <w:tc>
          <w:tcPr>
            <w:tcW w:w="2691" w:type="dxa"/>
            <w:vAlign w:val="center"/>
          </w:tcPr>
          <w:p>
            <w:pPr>
              <w:jc w:val="center"/>
              <w:rPr>
                <w:color w:val="auto"/>
                <w:sz w:val="21"/>
                <w:szCs w:val="21"/>
              </w:rPr>
            </w:pPr>
            <w:r>
              <w:rPr>
                <w:rFonts w:hint="eastAsia"/>
                <w:color w:val="auto"/>
                <w:sz w:val="21"/>
                <w:szCs w:val="21"/>
              </w:rPr>
              <w:t>4.56</w:t>
            </w:r>
          </w:p>
        </w:tc>
        <w:tc>
          <w:tcPr>
            <w:tcW w:w="4164" w:type="dxa"/>
            <w:vAlign w:val="center"/>
          </w:tcPr>
          <w:p>
            <w:pPr>
              <w:jc w:val="center"/>
              <w:rPr>
                <w:color w:val="auto"/>
                <w:sz w:val="21"/>
                <w:szCs w:val="21"/>
              </w:rPr>
            </w:pPr>
            <w:r>
              <w:rPr>
                <w:rFonts w:hint="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color w:val="auto"/>
                <w:sz w:val="21"/>
                <w:szCs w:val="21"/>
              </w:rPr>
            </w:pPr>
            <w:r>
              <w:rPr>
                <w:rFonts w:hint="eastAsia"/>
                <w:color w:val="auto"/>
                <w:sz w:val="21"/>
                <w:szCs w:val="21"/>
              </w:rPr>
              <w:t>废化学试剂</w:t>
            </w:r>
          </w:p>
        </w:tc>
        <w:tc>
          <w:tcPr>
            <w:tcW w:w="2691" w:type="dxa"/>
            <w:vAlign w:val="center"/>
          </w:tcPr>
          <w:p>
            <w:pPr>
              <w:jc w:val="center"/>
              <w:rPr>
                <w:color w:val="auto"/>
                <w:sz w:val="21"/>
                <w:szCs w:val="21"/>
              </w:rPr>
            </w:pPr>
            <w:r>
              <w:rPr>
                <w:rFonts w:hint="eastAsia"/>
                <w:color w:val="auto"/>
                <w:sz w:val="21"/>
                <w:szCs w:val="21"/>
              </w:rPr>
              <w:t>0.5</w:t>
            </w:r>
          </w:p>
        </w:tc>
        <w:tc>
          <w:tcPr>
            <w:tcW w:w="4164" w:type="dxa"/>
            <w:vAlign w:val="center"/>
          </w:tcPr>
          <w:p>
            <w:pPr>
              <w:jc w:val="center"/>
              <w:rPr>
                <w:color w:val="auto"/>
                <w:sz w:val="21"/>
                <w:szCs w:val="21"/>
              </w:rPr>
            </w:pPr>
            <w:r>
              <w:rPr>
                <w:rFonts w:hint="eastAsia"/>
                <w:color w:val="auto"/>
                <w:sz w:val="21"/>
                <w:szCs w:val="21"/>
              </w:rPr>
              <w:t>实验室化学试剂废液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667" w:type="dxa"/>
            <w:vAlign w:val="center"/>
          </w:tcPr>
          <w:p>
            <w:pPr>
              <w:jc w:val="center"/>
              <w:rPr>
                <w:color w:val="auto"/>
                <w:sz w:val="21"/>
                <w:szCs w:val="21"/>
              </w:rPr>
            </w:pPr>
            <w:r>
              <w:rPr>
                <w:rFonts w:hint="eastAsia"/>
                <w:color w:val="auto"/>
                <w:sz w:val="21"/>
                <w:szCs w:val="21"/>
              </w:rPr>
              <w:t>合计</w:t>
            </w:r>
          </w:p>
        </w:tc>
        <w:tc>
          <w:tcPr>
            <w:tcW w:w="2691" w:type="dxa"/>
            <w:vAlign w:val="center"/>
          </w:tcPr>
          <w:p>
            <w:pPr>
              <w:jc w:val="center"/>
              <w:rPr>
                <w:color w:val="auto"/>
                <w:sz w:val="21"/>
                <w:szCs w:val="21"/>
              </w:rPr>
            </w:pPr>
            <w:r>
              <w:rPr>
                <w:rFonts w:hint="eastAsia"/>
                <w:color w:val="auto"/>
                <w:sz w:val="21"/>
                <w:szCs w:val="21"/>
              </w:rPr>
              <w:t>1422.355</w:t>
            </w:r>
          </w:p>
        </w:tc>
        <w:tc>
          <w:tcPr>
            <w:tcW w:w="4164" w:type="dxa"/>
            <w:vAlign w:val="center"/>
          </w:tcPr>
          <w:p>
            <w:pPr>
              <w:jc w:val="center"/>
              <w:rPr>
                <w:color w:val="auto"/>
                <w:sz w:val="21"/>
                <w:szCs w:val="21"/>
              </w:rPr>
            </w:pPr>
            <w:r>
              <w:rPr>
                <w:rFonts w:hint="eastAsia"/>
                <w:color w:val="auto"/>
                <w:sz w:val="21"/>
                <w:szCs w:val="21"/>
              </w:rPr>
              <w:t>——</w:t>
            </w:r>
          </w:p>
        </w:tc>
      </w:tr>
    </w:tbl>
    <w:p>
      <w:pPr>
        <w:spacing w:line="360" w:lineRule="auto"/>
        <w:ind w:firstLine="482" w:firstLineChars="200"/>
        <w:rPr>
          <w:b/>
          <w:color w:val="auto"/>
          <w:sz w:val="24"/>
          <w:szCs w:val="24"/>
        </w:rPr>
      </w:pPr>
      <w:r>
        <w:rPr>
          <w:rFonts w:hint="eastAsia"/>
          <w:b/>
          <w:color w:val="auto"/>
          <w:sz w:val="24"/>
          <w:szCs w:val="24"/>
        </w:rPr>
        <w:t>1、生活垃圾</w:t>
      </w:r>
    </w:p>
    <w:p>
      <w:pPr>
        <w:spacing w:line="360" w:lineRule="auto"/>
        <w:ind w:firstLine="480" w:firstLineChars="200"/>
        <w:rPr>
          <w:color w:val="auto"/>
          <w:sz w:val="24"/>
          <w:szCs w:val="24"/>
        </w:rPr>
      </w:pPr>
      <w:r>
        <w:rPr>
          <w:rFonts w:hint="eastAsia"/>
          <w:color w:val="auto"/>
          <w:sz w:val="24"/>
          <w:szCs w:val="24"/>
        </w:rPr>
        <w:t>生活垃圾产生量较小，基本不含有毒有害成份。生活垃圾集中收集后运往就近垃圾堆放点，由环卫部门统一处置，不会对周围环境产生不良影响。</w:t>
      </w:r>
    </w:p>
    <w:p>
      <w:pPr>
        <w:spacing w:line="360" w:lineRule="auto"/>
        <w:ind w:firstLine="482" w:firstLineChars="200"/>
        <w:rPr>
          <w:b/>
          <w:color w:val="auto"/>
          <w:sz w:val="24"/>
          <w:szCs w:val="24"/>
        </w:rPr>
      </w:pPr>
      <w:r>
        <w:rPr>
          <w:rFonts w:hint="eastAsia"/>
          <w:b/>
          <w:color w:val="auto"/>
          <w:sz w:val="24"/>
          <w:szCs w:val="24"/>
        </w:rPr>
        <w:t>2、栅渣</w:t>
      </w:r>
    </w:p>
    <w:p>
      <w:pPr>
        <w:spacing w:line="360" w:lineRule="auto"/>
        <w:ind w:firstLine="480" w:firstLineChars="200"/>
        <w:rPr>
          <w:color w:val="auto"/>
          <w:sz w:val="24"/>
          <w:szCs w:val="24"/>
        </w:rPr>
      </w:pPr>
      <w:r>
        <w:rPr>
          <w:rFonts w:hint="eastAsia"/>
          <w:color w:val="auto"/>
          <w:sz w:val="24"/>
          <w:szCs w:val="24"/>
        </w:rPr>
        <w:t>栅渣主要成份以无机物为主，比重大，含水率低，有害物质含量小，经脱水后含水率＜60%。栅渣经压榨打包后使用渣斗储存，交由环卫部门处理，不会对周围环境产生不良影响。</w:t>
      </w:r>
    </w:p>
    <w:p>
      <w:pPr>
        <w:spacing w:line="360" w:lineRule="auto"/>
        <w:ind w:firstLine="482" w:firstLineChars="200"/>
        <w:rPr>
          <w:b/>
          <w:color w:val="auto"/>
          <w:sz w:val="24"/>
          <w:szCs w:val="24"/>
        </w:rPr>
      </w:pPr>
      <w:r>
        <w:rPr>
          <w:rFonts w:hint="eastAsia"/>
          <w:b/>
          <w:color w:val="auto"/>
          <w:sz w:val="24"/>
          <w:szCs w:val="24"/>
        </w:rPr>
        <w:t>3、污泥</w:t>
      </w:r>
    </w:p>
    <w:p>
      <w:pPr>
        <w:spacing w:line="360" w:lineRule="auto"/>
        <w:ind w:firstLine="480" w:firstLineChars="200"/>
        <w:rPr>
          <w:color w:val="auto"/>
          <w:sz w:val="24"/>
          <w:szCs w:val="24"/>
        </w:rPr>
      </w:pPr>
      <w:r>
        <w:rPr>
          <w:rFonts w:hint="eastAsia"/>
          <w:color w:val="auto"/>
          <w:sz w:val="24"/>
          <w:szCs w:val="24"/>
        </w:rPr>
        <w:t>对于污水处理过程中产生的污泥，在其暂存及处理过程中将对环境产生一定的影响，主要表现在以下几个方面：</w:t>
      </w:r>
    </w:p>
    <w:p>
      <w:pPr>
        <w:spacing w:line="360" w:lineRule="auto"/>
        <w:ind w:firstLine="480" w:firstLineChars="200"/>
        <w:rPr>
          <w:color w:val="auto"/>
          <w:sz w:val="24"/>
          <w:szCs w:val="24"/>
        </w:rPr>
      </w:pPr>
      <w:r>
        <w:rPr>
          <w:rFonts w:hint="eastAsia"/>
          <w:color w:val="auto"/>
          <w:sz w:val="24"/>
          <w:szCs w:val="24"/>
        </w:rPr>
        <w:t>（1）污泥脱水过程对环境的影响</w:t>
      </w:r>
    </w:p>
    <w:p>
      <w:pPr>
        <w:spacing w:line="360" w:lineRule="auto"/>
        <w:ind w:firstLine="480" w:firstLineChars="200"/>
        <w:rPr>
          <w:color w:val="auto"/>
          <w:sz w:val="24"/>
          <w:szCs w:val="24"/>
        </w:rPr>
      </w:pPr>
      <w:r>
        <w:rPr>
          <w:rFonts w:hint="eastAsia"/>
          <w:color w:val="auto"/>
          <w:sz w:val="24"/>
          <w:szCs w:val="24"/>
        </w:rPr>
        <w:t>项目污水处理产生的污泥进入污泥浓缩池、污泥浓缩脱水机进行脱水，在此过程中易挥发出一定量的恶臭气体。尤其是夏天，表面常有浮泥出现，易孳生蚊蝇。另外污泥脱水时散发的恶臭及脱水污泥转运过程中的散落也会对周围环境产生一定影响。</w:t>
      </w:r>
    </w:p>
    <w:p>
      <w:pPr>
        <w:spacing w:line="360" w:lineRule="auto"/>
        <w:ind w:firstLine="480" w:firstLineChars="200"/>
        <w:rPr>
          <w:color w:val="auto"/>
          <w:sz w:val="24"/>
          <w:szCs w:val="24"/>
        </w:rPr>
      </w:pPr>
      <w:r>
        <w:rPr>
          <w:rFonts w:hint="eastAsia"/>
          <w:color w:val="auto"/>
          <w:sz w:val="24"/>
          <w:szCs w:val="24"/>
        </w:rPr>
        <w:t>（2）污泥堆放过程对环境的影响</w:t>
      </w:r>
    </w:p>
    <w:p>
      <w:pPr>
        <w:spacing w:line="360" w:lineRule="auto"/>
        <w:ind w:firstLine="480" w:firstLineChars="200"/>
        <w:rPr>
          <w:color w:val="auto"/>
          <w:sz w:val="24"/>
          <w:szCs w:val="24"/>
        </w:rPr>
      </w:pPr>
      <w:r>
        <w:rPr>
          <w:rFonts w:hint="eastAsia"/>
          <w:color w:val="auto"/>
          <w:sz w:val="24"/>
          <w:szCs w:val="24"/>
        </w:rPr>
        <w:t>脱水后的污泥应及时清运，不能及时运走时应暂存在污泥储存间内。脱水污泥遇水易成浆状，流动性好，容易流失，且随着雨水的淋洗，易产生沥滤水，其中的污染物易进入水中，污染地表和地下水体。因此，对脱水污泥不能乱堆乱放，应设置专门的污泥储存间，并设遮雨棚。另外，因脱水污泥尚未完全稳定，污泥厌氧消化将会产生恶臭气体，影响空气质量。脱水污泥堆放地易孳生蚊蝇，对环境卫生产生不良影响。</w:t>
      </w:r>
    </w:p>
    <w:p>
      <w:pPr>
        <w:spacing w:line="360" w:lineRule="auto"/>
        <w:ind w:firstLine="480" w:firstLineChars="200"/>
        <w:rPr>
          <w:color w:val="auto"/>
          <w:sz w:val="24"/>
          <w:szCs w:val="24"/>
        </w:rPr>
      </w:pPr>
      <w:r>
        <w:rPr>
          <w:rFonts w:hint="eastAsia"/>
          <w:color w:val="auto"/>
          <w:sz w:val="24"/>
          <w:szCs w:val="24"/>
        </w:rPr>
        <w:t>（3）污泥运输对环境的影响分析</w:t>
      </w:r>
    </w:p>
    <w:p>
      <w:pPr>
        <w:spacing w:line="360" w:lineRule="auto"/>
        <w:ind w:firstLine="480" w:firstLineChars="200"/>
        <w:rPr>
          <w:color w:val="auto"/>
          <w:sz w:val="24"/>
          <w:szCs w:val="24"/>
        </w:rPr>
      </w:pPr>
      <w:r>
        <w:rPr>
          <w:rFonts w:hint="eastAsia"/>
          <w:color w:val="auto"/>
          <w:sz w:val="24"/>
          <w:szCs w:val="24"/>
        </w:rPr>
        <w:t>在运输过程中污泥有可能泄漏，并引起臭味飘逸，将会给沿线环境带来一定影响。项目将采取专用密封污泥运输车，选择避开人口密集和环境敏感区的污泥运输专用固定路线，并于每天早晚人少时运输。采取上述措施后，污泥运输中对周围环境的影响不大。</w:t>
      </w:r>
    </w:p>
    <w:p>
      <w:pPr>
        <w:spacing w:line="360" w:lineRule="auto"/>
        <w:ind w:firstLine="480" w:firstLineChars="200"/>
        <w:rPr>
          <w:color w:val="auto"/>
          <w:sz w:val="24"/>
          <w:szCs w:val="24"/>
        </w:rPr>
      </w:pPr>
      <w:r>
        <w:rPr>
          <w:rFonts w:hint="eastAsia"/>
          <w:color w:val="auto"/>
          <w:sz w:val="24"/>
          <w:szCs w:val="24"/>
        </w:rPr>
        <w:t>目前，五华河东绿色生态工业小镇还处于招商引资阶段，后期接纳的工业废水具有不确定性，因此本项目污泥经脱水后应先进行危险特性鉴别，以确定最终处置去向：若属于危险废物，应与有资质单位签定处置协议，进行无害化处置；若属于一般固废，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p>
      <w:pPr>
        <w:spacing w:line="360" w:lineRule="auto"/>
        <w:ind w:firstLine="482" w:firstLineChars="200"/>
        <w:rPr>
          <w:b/>
          <w:color w:val="auto"/>
          <w:sz w:val="24"/>
          <w:szCs w:val="24"/>
        </w:rPr>
      </w:pPr>
      <w:r>
        <w:rPr>
          <w:rFonts w:hint="eastAsia"/>
          <w:b/>
          <w:color w:val="auto"/>
          <w:sz w:val="24"/>
          <w:szCs w:val="24"/>
        </w:rPr>
        <w:t>4、废化学试剂</w:t>
      </w:r>
    </w:p>
    <w:p>
      <w:pPr>
        <w:spacing w:line="360" w:lineRule="auto"/>
        <w:ind w:firstLine="480" w:firstLineChars="200"/>
        <w:rPr>
          <w:color w:val="auto"/>
          <w:sz w:val="24"/>
          <w:szCs w:val="24"/>
        </w:rPr>
      </w:pPr>
      <w:r>
        <w:rPr>
          <w:rFonts w:hint="eastAsia"/>
          <w:color w:val="auto"/>
          <w:sz w:val="24"/>
          <w:szCs w:val="24"/>
        </w:rPr>
        <w:t>本项目设有化验室，会产生各类废化学试剂，产生量约为0.5t/a，属于《国家危险废物名录》（2021年版）中编号为HW49  900-047-49类危险废物，经分类收集后，暂存在危废暂存间，再交由有资质的单位处置。</w:t>
      </w:r>
    </w:p>
    <w:p>
      <w:pPr>
        <w:spacing w:line="360" w:lineRule="auto"/>
        <w:ind w:firstLine="482" w:firstLineChars="200"/>
        <w:rPr>
          <w:b/>
          <w:bCs/>
          <w:color w:val="auto"/>
          <w:sz w:val="24"/>
        </w:rPr>
      </w:pPr>
      <w:r>
        <w:rPr>
          <w:rFonts w:hint="eastAsia"/>
          <w:b/>
          <w:bCs/>
          <w:color w:val="auto"/>
          <w:sz w:val="24"/>
        </w:rPr>
        <w:t>5、危险废物影响分析</w:t>
      </w:r>
    </w:p>
    <w:p>
      <w:pPr>
        <w:spacing w:line="360" w:lineRule="auto"/>
        <w:ind w:firstLine="480" w:firstLineChars="200"/>
        <w:rPr>
          <w:color w:val="auto"/>
          <w:sz w:val="24"/>
        </w:rPr>
      </w:pPr>
      <w:r>
        <w:rPr>
          <w:rFonts w:hAnsi="宋体"/>
          <w:bCs/>
          <w:color w:val="auto"/>
          <w:sz w:val="24"/>
        </w:rPr>
        <w:t>（</w:t>
      </w:r>
      <w:r>
        <w:rPr>
          <w:bCs/>
          <w:color w:val="auto"/>
          <w:sz w:val="24"/>
        </w:rPr>
        <w:t>1</w:t>
      </w:r>
      <w:r>
        <w:rPr>
          <w:rFonts w:hAnsi="宋体"/>
          <w:bCs/>
          <w:color w:val="auto"/>
          <w:sz w:val="24"/>
        </w:rPr>
        <w:t>）危险固体废物产排及处置环境影响分析</w:t>
      </w:r>
    </w:p>
    <w:p>
      <w:pPr>
        <w:spacing w:line="360" w:lineRule="auto"/>
        <w:ind w:firstLine="480" w:firstLineChars="200"/>
        <w:rPr>
          <w:color w:val="auto"/>
          <w:sz w:val="24"/>
        </w:rPr>
      </w:pPr>
      <w:r>
        <w:rPr>
          <w:rFonts w:hAnsi="宋体"/>
          <w:color w:val="auto"/>
          <w:sz w:val="24"/>
        </w:rPr>
        <w:t>本项目产生的危险废物主要为废化学试剂，属于《国家危险废物名录》（</w:t>
      </w:r>
      <w:r>
        <w:rPr>
          <w:color w:val="auto"/>
          <w:sz w:val="24"/>
        </w:rPr>
        <w:t>20</w:t>
      </w:r>
      <w:r>
        <w:rPr>
          <w:rFonts w:hint="eastAsia"/>
          <w:color w:val="auto"/>
          <w:sz w:val="24"/>
        </w:rPr>
        <w:t>21</w:t>
      </w:r>
      <w:r>
        <w:rPr>
          <w:rFonts w:hAnsi="宋体"/>
          <w:color w:val="auto"/>
          <w:sz w:val="24"/>
        </w:rPr>
        <w:t>年版）中编号为</w:t>
      </w:r>
      <w:r>
        <w:rPr>
          <w:color w:val="auto"/>
          <w:sz w:val="24"/>
        </w:rPr>
        <w:t>HW49  900-047-49</w:t>
      </w:r>
      <w:r>
        <w:rPr>
          <w:rFonts w:hAnsi="宋体"/>
          <w:color w:val="auto"/>
          <w:sz w:val="24"/>
        </w:rPr>
        <w:t>类危险废物，经分类收集后，暂存在危废暂存间，再交由有资质的单位处置。此外，五华河东绿色生态工业小镇目前还处于招商引资阶段，后期接纳的工业废水具有不确定性，因此项目污泥经脱水后应先进行危险特性鉴别，若属于危险废物，应与有资质单位签定处置协议，进行无害化处置。</w:t>
      </w:r>
    </w:p>
    <w:p>
      <w:pPr>
        <w:pStyle w:val="65"/>
        <w:adjustRightInd/>
        <w:spacing w:line="360" w:lineRule="auto"/>
        <w:ind w:firstLine="480" w:firstLineChars="200"/>
        <w:rPr>
          <w:rFonts w:ascii="Times New Roman" w:eastAsia="宋体"/>
          <w:bCs/>
          <w:color w:val="auto"/>
        </w:rPr>
      </w:pPr>
      <w:r>
        <w:rPr>
          <w:rFonts w:ascii="Times New Roman" w:hAnsi="宋体" w:eastAsia="宋体"/>
          <w:bCs/>
          <w:color w:val="auto"/>
        </w:rPr>
        <w:t>（</w:t>
      </w:r>
      <w:r>
        <w:rPr>
          <w:rFonts w:ascii="Times New Roman" w:eastAsia="宋体"/>
          <w:bCs/>
          <w:color w:val="auto"/>
        </w:rPr>
        <w:t>2</w:t>
      </w:r>
      <w:r>
        <w:rPr>
          <w:rFonts w:ascii="Times New Roman" w:hAnsi="宋体" w:eastAsia="宋体"/>
          <w:bCs/>
          <w:color w:val="auto"/>
        </w:rPr>
        <w:t>）危险废物暂存场所的环境影响分析</w:t>
      </w:r>
    </w:p>
    <w:p>
      <w:pPr>
        <w:spacing w:line="360" w:lineRule="auto"/>
        <w:ind w:firstLine="480" w:firstLineChars="200"/>
        <w:rPr>
          <w:color w:val="auto"/>
          <w:sz w:val="24"/>
        </w:rPr>
      </w:pPr>
      <w:r>
        <w:rPr>
          <w:rFonts w:hint="eastAsia" w:hAnsi="宋体"/>
          <w:bCs/>
          <w:color w:val="auto"/>
          <w:sz w:val="24"/>
          <w:szCs w:val="22"/>
        </w:rPr>
        <w:t>根据</w:t>
      </w:r>
      <w:r>
        <w:rPr>
          <w:rFonts w:hAnsi="宋体"/>
          <w:bCs/>
          <w:color w:val="auto"/>
          <w:sz w:val="24"/>
          <w:szCs w:val="22"/>
        </w:rPr>
        <w:t>《危险废物贮存污染控制标准》（</w:t>
      </w:r>
      <w:r>
        <w:rPr>
          <w:bCs/>
          <w:color w:val="auto"/>
          <w:sz w:val="24"/>
          <w:szCs w:val="22"/>
        </w:rPr>
        <w:t>GB18597-2001</w:t>
      </w:r>
      <w:r>
        <w:rPr>
          <w:rFonts w:hAnsi="宋体"/>
          <w:bCs/>
          <w:color w:val="auto"/>
          <w:sz w:val="24"/>
          <w:szCs w:val="22"/>
        </w:rPr>
        <w:t>）及</w:t>
      </w:r>
      <w:r>
        <w:rPr>
          <w:bCs/>
          <w:color w:val="auto"/>
          <w:sz w:val="24"/>
          <w:szCs w:val="22"/>
        </w:rPr>
        <w:t>2013</w:t>
      </w:r>
      <w:r>
        <w:rPr>
          <w:rFonts w:hAnsi="宋体"/>
          <w:bCs/>
          <w:color w:val="auto"/>
          <w:sz w:val="24"/>
          <w:szCs w:val="22"/>
        </w:rPr>
        <w:t>年修改清单的有关规定，</w:t>
      </w:r>
      <w:r>
        <w:rPr>
          <w:rFonts w:hint="eastAsia" w:hAnsi="宋体"/>
          <w:bCs/>
          <w:color w:val="auto"/>
          <w:sz w:val="24"/>
          <w:szCs w:val="22"/>
        </w:rPr>
        <w:t>结合</w:t>
      </w:r>
      <w:r>
        <w:rPr>
          <w:rFonts w:hAnsi="宋体"/>
          <w:bCs/>
          <w:color w:val="auto"/>
          <w:sz w:val="24"/>
          <w:szCs w:val="22"/>
        </w:rPr>
        <w:t>本项目的具体情况，本报告建议建设单</w:t>
      </w:r>
      <w:r>
        <w:rPr>
          <w:rFonts w:hAnsi="宋体"/>
          <w:bCs/>
          <w:color w:val="auto"/>
          <w:sz w:val="24"/>
        </w:rPr>
        <w:t>位</w:t>
      </w:r>
      <w:r>
        <w:rPr>
          <w:rFonts w:hAnsi="宋体"/>
          <w:color w:val="auto"/>
          <w:sz w:val="24"/>
        </w:rPr>
        <w:t>落实以下措施，</w:t>
      </w:r>
      <w:r>
        <w:rPr>
          <w:rFonts w:hAnsi="宋体"/>
          <w:bCs/>
          <w:color w:val="auto"/>
          <w:sz w:val="24"/>
          <w:szCs w:val="22"/>
        </w:rPr>
        <w:t>以降低本项目危险废物渗漏对周边环境的影响</w:t>
      </w:r>
      <w:r>
        <w:rPr>
          <w:rFonts w:hAnsi="宋体"/>
          <w:color w:val="auto"/>
          <w:sz w:val="24"/>
        </w:rPr>
        <w:t>：</w:t>
      </w:r>
    </w:p>
    <w:p>
      <w:pPr>
        <w:pStyle w:val="65"/>
        <w:adjustRightInd/>
        <w:spacing w:line="360" w:lineRule="auto"/>
        <w:ind w:firstLine="480" w:firstLineChars="200"/>
        <w:rPr>
          <w:rFonts w:ascii="Times New Roman" w:eastAsia="宋体"/>
          <w:color w:val="auto"/>
        </w:rPr>
      </w:pPr>
      <w:r>
        <w:rPr>
          <w:rFonts w:ascii="宋体" w:hAnsi="宋体" w:eastAsia="宋体"/>
          <w:color w:val="auto"/>
        </w:rPr>
        <w:t>①</w:t>
      </w:r>
      <w:r>
        <w:rPr>
          <w:rFonts w:ascii="Times New Roman" w:hAnsi="宋体" w:eastAsia="宋体"/>
          <w:color w:val="auto"/>
        </w:rPr>
        <w:t>危险废物集中贮存场所的选址应位于地址结构稳定的区域内，贮存设施底部必须高于地下水最高水位。</w:t>
      </w:r>
    </w:p>
    <w:p>
      <w:pPr>
        <w:pStyle w:val="65"/>
        <w:adjustRightInd/>
        <w:spacing w:line="360" w:lineRule="auto"/>
        <w:ind w:firstLine="480" w:firstLineChars="200"/>
        <w:rPr>
          <w:rFonts w:ascii="Times New Roman" w:eastAsia="宋体"/>
          <w:color w:val="auto"/>
        </w:rPr>
      </w:pPr>
      <w:r>
        <w:rPr>
          <w:rFonts w:ascii="宋体" w:hAnsi="宋体" w:eastAsia="宋体"/>
          <w:color w:val="auto"/>
        </w:rPr>
        <w:t>②</w:t>
      </w:r>
      <w:r>
        <w:rPr>
          <w:rFonts w:ascii="Times New Roman" w:hAnsi="宋体" w:eastAsia="宋体"/>
          <w:color w:val="auto"/>
        </w:rPr>
        <w:t>堆放地点基础必须防渗，防渗层为至少</w:t>
      </w:r>
      <w:r>
        <w:rPr>
          <w:rFonts w:ascii="Times New Roman" w:eastAsia="宋体"/>
          <w:color w:val="auto"/>
        </w:rPr>
        <w:t>1m</w:t>
      </w:r>
      <w:r>
        <w:rPr>
          <w:rFonts w:ascii="Times New Roman" w:hAnsi="宋体" w:eastAsia="宋体"/>
          <w:color w:val="auto"/>
        </w:rPr>
        <w:t>厚黏土层（渗透系数</w:t>
      </w:r>
      <w:r>
        <w:rPr>
          <w:rFonts w:ascii="Times New Roman" w:eastAsia="宋体"/>
          <w:color w:val="auto"/>
        </w:rPr>
        <w:t>≤10</w:t>
      </w:r>
      <w:r>
        <w:rPr>
          <w:rFonts w:ascii="Times New Roman" w:eastAsia="宋体"/>
          <w:color w:val="auto"/>
          <w:vertAlign w:val="superscript"/>
        </w:rPr>
        <w:t>-7</w:t>
      </w:r>
      <w:r>
        <w:rPr>
          <w:rFonts w:ascii="Times New Roman" w:hAnsi="宋体" w:eastAsia="宋体"/>
          <w:color w:val="auto"/>
        </w:rPr>
        <w:t>㎝</w:t>
      </w:r>
      <w:r>
        <w:rPr>
          <w:rFonts w:ascii="Times New Roman" w:eastAsia="宋体"/>
          <w:color w:val="auto"/>
        </w:rPr>
        <w:t>/s</w:t>
      </w:r>
      <w:r>
        <w:rPr>
          <w:rFonts w:ascii="Times New Roman" w:hAnsi="宋体" w:eastAsia="宋体"/>
          <w:color w:val="auto"/>
        </w:rPr>
        <w:t>），或</w:t>
      </w:r>
      <w:r>
        <w:rPr>
          <w:rFonts w:ascii="Times New Roman" w:eastAsia="宋体"/>
          <w:color w:val="auto"/>
        </w:rPr>
        <w:t>2mm</w:t>
      </w:r>
      <w:r>
        <w:rPr>
          <w:rFonts w:ascii="Times New Roman" w:hAnsi="宋体" w:eastAsia="宋体"/>
          <w:color w:val="auto"/>
        </w:rPr>
        <w:t>厚高密度聚乙烯，或至少</w:t>
      </w:r>
      <w:r>
        <w:rPr>
          <w:rFonts w:ascii="Times New Roman" w:eastAsia="宋体"/>
          <w:color w:val="auto"/>
        </w:rPr>
        <w:t>2mm</w:t>
      </w:r>
      <w:r>
        <w:rPr>
          <w:rFonts w:ascii="Times New Roman" w:hAnsi="宋体" w:eastAsia="宋体"/>
          <w:color w:val="auto"/>
        </w:rPr>
        <w:t>厚的其他人工材料（渗透系数</w:t>
      </w:r>
      <w:r>
        <w:rPr>
          <w:rFonts w:ascii="Times New Roman" w:eastAsia="宋体"/>
          <w:color w:val="auto"/>
        </w:rPr>
        <w:t>≤10</w:t>
      </w:r>
      <w:r>
        <w:rPr>
          <w:rFonts w:ascii="Times New Roman" w:eastAsia="宋体"/>
          <w:color w:val="auto"/>
          <w:vertAlign w:val="superscript"/>
        </w:rPr>
        <w:t>-10</w:t>
      </w:r>
      <w:r>
        <w:rPr>
          <w:rFonts w:ascii="Times New Roman" w:hAnsi="宋体" w:eastAsia="宋体"/>
          <w:color w:val="auto"/>
        </w:rPr>
        <w:t>㎝</w:t>
      </w:r>
      <w:r>
        <w:rPr>
          <w:rFonts w:ascii="Times New Roman" w:eastAsia="宋体"/>
          <w:color w:val="auto"/>
        </w:rPr>
        <w:t>/s</w:t>
      </w:r>
      <w:r>
        <w:rPr>
          <w:rFonts w:ascii="Times New Roman" w:hAnsi="宋体" w:eastAsia="宋体"/>
          <w:color w:val="auto"/>
        </w:rPr>
        <w:t>）。</w:t>
      </w:r>
    </w:p>
    <w:p>
      <w:pPr>
        <w:pStyle w:val="65"/>
        <w:adjustRightInd/>
        <w:spacing w:line="360" w:lineRule="auto"/>
        <w:ind w:firstLine="480" w:firstLineChars="200"/>
        <w:rPr>
          <w:rFonts w:ascii="Times New Roman" w:eastAsia="宋体"/>
          <w:color w:val="auto"/>
        </w:rPr>
      </w:pPr>
      <w:r>
        <w:rPr>
          <w:rFonts w:ascii="宋体" w:hAnsi="宋体" w:eastAsia="宋体"/>
          <w:color w:val="auto"/>
        </w:rPr>
        <w:t>③</w:t>
      </w:r>
      <w:r>
        <w:rPr>
          <w:rFonts w:ascii="Times New Roman" w:hAnsi="宋体" w:eastAsia="宋体"/>
          <w:color w:val="auto"/>
        </w:rPr>
        <w:t>危废仓内应按危险废物的种类和特征设置各类收集桶进行贮存，收集桶所用材料应防渗防腐。</w:t>
      </w:r>
    </w:p>
    <w:p>
      <w:pPr>
        <w:pStyle w:val="65"/>
        <w:adjustRightInd/>
        <w:spacing w:line="360" w:lineRule="auto"/>
        <w:ind w:firstLine="480" w:firstLineChars="200"/>
        <w:rPr>
          <w:rFonts w:ascii="Times New Roman" w:eastAsia="宋体"/>
          <w:color w:val="auto"/>
        </w:rPr>
      </w:pPr>
      <w:r>
        <w:rPr>
          <w:rFonts w:ascii="宋体" w:hAnsi="宋体" w:eastAsia="宋体"/>
          <w:color w:val="auto"/>
        </w:rPr>
        <w:t>④</w:t>
      </w:r>
      <w:r>
        <w:rPr>
          <w:rFonts w:ascii="Times New Roman" w:hAnsi="宋体" w:eastAsia="宋体"/>
          <w:color w:val="auto"/>
        </w:rPr>
        <w:t>收集桶外围应设置</w:t>
      </w:r>
      <w:r>
        <w:rPr>
          <w:rFonts w:ascii="Times New Roman" w:eastAsia="宋体"/>
          <w:color w:val="auto"/>
        </w:rPr>
        <w:t>20cm</w:t>
      </w:r>
      <w:r>
        <w:rPr>
          <w:rFonts w:ascii="Times New Roman" w:hAnsi="宋体" w:eastAsia="宋体"/>
          <w:color w:val="auto"/>
        </w:rPr>
        <w:t>高的围堰，在围堰范围内地面和墙体应设置防渗防漏层。</w:t>
      </w:r>
    </w:p>
    <w:p>
      <w:pPr>
        <w:pStyle w:val="65"/>
        <w:adjustRightInd/>
        <w:spacing w:line="360" w:lineRule="auto"/>
        <w:ind w:firstLine="480" w:firstLineChars="200"/>
        <w:rPr>
          <w:rFonts w:ascii="Times New Roman" w:eastAsia="宋体"/>
          <w:color w:val="auto"/>
        </w:rPr>
      </w:pPr>
      <w:r>
        <w:rPr>
          <w:rFonts w:ascii="宋体" w:hAnsi="宋体" w:eastAsia="宋体"/>
          <w:color w:val="auto"/>
        </w:rPr>
        <w:t>⑤</w:t>
      </w:r>
      <w:r>
        <w:rPr>
          <w:rFonts w:ascii="Times New Roman" w:hAnsi="宋体" w:eastAsia="宋体"/>
          <w:color w:val="auto"/>
        </w:rPr>
        <w:t>危险废物堆放要防风、防雨、防晒、防火。</w:t>
      </w:r>
    </w:p>
    <w:p>
      <w:pPr>
        <w:pStyle w:val="65"/>
        <w:adjustRightInd/>
        <w:spacing w:line="360" w:lineRule="auto"/>
        <w:ind w:firstLine="480" w:firstLineChars="200"/>
        <w:rPr>
          <w:rFonts w:ascii="Times New Roman" w:eastAsia="宋体"/>
          <w:color w:val="auto"/>
        </w:rPr>
      </w:pPr>
      <w:r>
        <w:rPr>
          <w:rFonts w:ascii="宋体" w:hAnsi="宋体" w:eastAsia="宋体"/>
          <w:color w:val="auto"/>
        </w:rPr>
        <w:t>⑥</w:t>
      </w:r>
      <w:r>
        <w:rPr>
          <w:rFonts w:ascii="Times New Roman" w:hAnsi="宋体" w:eastAsia="宋体"/>
          <w:color w:val="auto"/>
        </w:rPr>
        <w:t>采用双钥匙封闭式管理，</w:t>
      </w:r>
      <w:r>
        <w:rPr>
          <w:rFonts w:ascii="Times New Roman" w:eastAsia="宋体"/>
          <w:color w:val="auto"/>
        </w:rPr>
        <w:t>24</w:t>
      </w:r>
      <w:r>
        <w:rPr>
          <w:rFonts w:ascii="Times New Roman" w:hAnsi="宋体" w:eastAsia="宋体"/>
          <w:color w:val="auto"/>
        </w:rPr>
        <w:t>小时都有专人看管。</w:t>
      </w:r>
    </w:p>
    <w:p>
      <w:pPr>
        <w:pStyle w:val="65"/>
        <w:adjustRightInd/>
        <w:spacing w:line="360" w:lineRule="auto"/>
        <w:ind w:firstLine="480" w:firstLineChars="200"/>
        <w:rPr>
          <w:rFonts w:ascii="Times New Roman" w:eastAsia="宋体"/>
          <w:color w:val="auto"/>
        </w:rPr>
      </w:pPr>
      <w:r>
        <w:rPr>
          <w:rFonts w:ascii="Times New Roman" w:hAnsi="宋体" w:eastAsia="宋体"/>
          <w:color w:val="auto"/>
        </w:rPr>
        <w:t>在落实以上措施后，危险废物的存放场所可达到《危险废物贮存污染控制标准》（</w:t>
      </w:r>
      <w:r>
        <w:rPr>
          <w:rFonts w:ascii="Times New Roman" w:eastAsia="宋体"/>
          <w:color w:val="auto"/>
        </w:rPr>
        <w:t>GB18958-2001</w:t>
      </w:r>
      <w:r>
        <w:rPr>
          <w:rFonts w:ascii="Times New Roman" w:hAnsi="宋体" w:eastAsia="宋体"/>
          <w:color w:val="auto"/>
        </w:rPr>
        <w:t>）及</w:t>
      </w:r>
      <w:r>
        <w:rPr>
          <w:rFonts w:ascii="Times New Roman" w:eastAsia="宋体"/>
          <w:color w:val="auto"/>
        </w:rPr>
        <w:t>2013</w:t>
      </w:r>
      <w:r>
        <w:rPr>
          <w:rFonts w:ascii="Times New Roman" w:hAnsi="宋体" w:eastAsia="宋体"/>
          <w:color w:val="auto"/>
        </w:rPr>
        <w:t>年修改清单的相关要求，对周围环境影响不大。</w:t>
      </w:r>
    </w:p>
    <w:p>
      <w:pPr>
        <w:pStyle w:val="65"/>
        <w:adjustRightInd/>
        <w:spacing w:line="360" w:lineRule="auto"/>
        <w:ind w:firstLine="480" w:firstLineChars="200"/>
        <w:rPr>
          <w:rFonts w:ascii="Times New Roman" w:eastAsia="宋体"/>
          <w:color w:val="auto"/>
        </w:rPr>
      </w:pPr>
      <w:r>
        <w:rPr>
          <w:rFonts w:ascii="Times New Roman" w:hAnsi="宋体" w:eastAsia="宋体"/>
          <w:color w:val="auto"/>
        </w:rPr>
        <w:t>（</w:t>
      </w:r>
      <w:r>
        <w:rPr>
          <w:rFonts w:ascii="Times New Roman" w:eastAsia="宋体"/>
          <w:color w:val="auto"/>
        </w:rPr>
        <w:t>3</w:t>
      </w:r>
      <w:r>
        <w:rPr>
          <w:rFonts w:ascii="Times New Roman" w:hAnsi="宋体" w:eastAsia="宋体"/>
          <w:color w:val="auto"/>
        </w:rPr>
        <w:t>）厂区内部转运过程的环境影响分析</w:t>
      </w:r>
    </w:p>
    <w:p>
      <w:pPr>
        <w:pStyle w:val="65"/>
        <w:adjustRightInd/>
        <w:spacing w:line="360" w:lineRule="auto"/>
        <w:ind w:firstLine="480" w:firstLineChars="200"/>
        <w:rPr>
          <w:rFonts w:ascii="Times New Roman" w:eastAsia="宋体"/>
          <w:color w:val="auto"/>
        </w:rPr>
      </w:pPr>
      <w:r>
        <w:rPr>
          <w:rFonts w:ascii="Times New Roman" w:hAnsi="宋体" w:eastAsia="宋体"/>
          <w:color w:val="auto"/>
        </w:rPr>
        <w:t>为防止危险废物在转运过程中发生散落、泄漏等现象，建设单位在进行危险废物内部转运作业时应满足以下要求：</w:t>
      </w:r>
    </w:p>
    <w:p>
      <w:pPr>
        <w:pStyle w:val="65"/>
        <w:adjustRightInd/>
        <w:spacing w:line="360" w:lineRule="auto"/>
        <w:ind w:firstLine="480" w:firstLineChars="200"/>
        <w:rPr>
          <w:rFonts w:ascii="Times New Roman" w:eastAsia="宋体"/>
          <w:color w:val="auto"/>
        </w:rPr>
      </w:pPr>
      <w:r>
        <w:rPr>
          <w:rFonts w:ascii="宋体" w:hAnsi="宋体" w:eastAsia="宋体"/>
          <w:color w:val="auto"/>
        </w:rPr>
        <w:t>①</w:t>
      </w:r>
      <w:r>
        <w:rPr>
          <w:rFonts w:ascii="Times New Roman" w:hAnsi="宋体" w:eastAsia="宋体"/>
          <w:color w:val="auto"/>
        </w:rPr>
        <w:t>危险废物内部转运应综合考虑厂区的实际情况确认转运路线，尽量避开办公区。</w:t>
      </w:r>
    </w:p>
    <w:p>
      <w:pPr>
        <w:pStyle w:val="65"/>
        <w:adjustRightInd/>
        <w:spacing w:line="360" w:lineRule="auto"/>
        <w:ind w:firstLine="480" w:firstLineChars="200"/>
        <w:rPr>
          <w:rFonts w:ascii="Times New Roman" w:eastAsia="宋体"/>
          <w:color w:val="auto"/>
        </w:rPr>
      </w:pPr>
      <w:r>
        <w:rPr>
          <w:rFonts w:ascii="宋体" w:hAnsi="宋体" w:eastAsia="宋体"/>
          <w:color w:val="auto"/>
        </w:rPr>
        <w:t>②</w:t>
      </w:r>
      <w:r>
        <w:rPr>
          <w:rFonts w:ascii="Times New Roman" w:hAnsi="宋体" w:eastAsia="宋体"/>
          <w:color w:val="auto"/>
        </w:rPr>
        <w:t>危险废物内部转运作业应采用专用的工具，危险废物内部转运应参照《危险废物收集、贮存、运输技术规范》（</w:t>
      </w:r>
      <w:r>
        <w:rPr>
          <w:rFonts w:ascii="Times New Roman" w:eastAsia="宋体"/>
          <w:color w:val="auto"/>
        </w:rPr>
        <w:t>HJ 2025-2012</w:t>
      </w:r>
      <w:r>
        <w:rPr>
          <w:rFonts w:ascii="Times New Roman" w:hAnsi="宋体" w:eastAsia="宋体"/>
          <w:color w:val="auto"/>
        </w:rPr>
        <w:t>）附录</w:t>
      </w:r>
      <w:r>
        <w:rPr>
          <w:rFonts w:ascii="Times New Roman" w:eastAsia="宋体"/>
          <w:color w:val="auto"/>
        </w:rPr>
        <w:t>B</w:t>
      </w:r>
      <w:r>
        <w:rPr>
          <w:rFonts w:ascii="Times New Roman" w:hAnsi="宋体" w:eastAsia="宋体"/>
          <w:color w:val="auto"/>
        </w:rPr>
        <w:t>填写《危险废物厂内转运记录表》。</w:t>
      </w:r>
    </w:p>
    <w:p>
      <w:pPr>
        <w:pStyle w:val="65"/>
        <w:adjustRightInd/>
        <w:spacing w:line="360" w:lineRule="auto"/>
        <w:ind w:firstLine="480" w:firstLineChars="200"/>
        <w:rPr>
          <w:rFonts w:ascii="Times New Roman" w:eastAsia="宋体"/>
          <w:color w:val="auto"/>
        </w:rPr>
      </w:pPr>
      <w:r>
        <w:rPr>
          <w:rFonts w:ascii="宋体" w:hAnsi="宋体" w:eastAsia="宋体"/>
          <w:color w:val="auto"/>
        </w:rPr>
        <w:t>③</w:t>
      </w:r>
      <w:r>
        <w:rPr>
          <w:rFonts w:ascii="Times New Roman" w:hAnsi="宋体" w:eastAsia="宋体"/>
          <w:color w:val="auto"/>
        </w:rPr>
        <w:t>危险废物内部转运结束后，应对转运路线进项检查和清理，确保无危险废物散落在转运路线上，并对转运工具进行清洗。</w:t>
      </w:r>
    </w:p>
    <w:p>
      <w:pPr>
        <w:pStyle w:val="65"/>
        <w:adjustRightInd/>
        <w:spacing w:line="360" w:lineRule="auto"/>
        <w:ind w:firstLine="480" w:firstLineChars="200"/>
        <w:rPr>
          <w:rFonts w:ascii="Times New Roman" w:eastAsia="宋体"/>
          <w:color w:val="auto"/>
        </w:rPr>
      </w:pPr>
      <w:r>
        <w:rPr>
          <w:rFonts w:ascii="Times New Roman" w:hAnsi="宋体" w:eastAsia="宋体"/>
          <w:color w:val="auto"/>
        </w:rPr>
        <w:t>在落实以上措施后，危险废物在厂区内部的转运可满足《危险废物收集、贮存、运输技术规范》（</w:t>
      </w:r>
      <w:r>
        <w:rPr>
          <w:rFonts w:ascii="Times New Roman" w:eastAsia="宋体"/>
          <w:color w:val="auto"/>
        </w:rPr>
        <w:t>HJ 2025-2012</w:t>
      </w:r>
      <w:r>
        <w:rPr>
          <w:rFonts w:ascii="Times New Roman" w:hAnsi="宋体" w:eastAsia="宋体"/>
          <w:color w:val="auto"/>
        </w:rPr>
        <w:t>）的相关要求。</w:t>
      </w:r>
    </w:p>
    <w:p>
      <w:pPr>
        <w:spacing w:line="360" w:lineRule="auto"/>
        <w:ind w:firstLine="480" w:firstLineChars="200"/>
        <w:jc w:val="left"/>
        <w:rPr>
          <w:color w:val="auto"/>
          <w:sz w:val="24"/>
        </w:rPr>
      </w:pPr>
      <w:r>
        <w:rPr>
          <w:rFonts w:hAnsi="宋体"/>
          <w:color w:val="auto"/>
          <w:sz w:val="24"/>
        </w:rPr>
        <w:t>另外，企业须根据管理台账和近年的产生计划，制订危险废物管理计划，并报当地环保部门备案。台帐应如实记载产生危险废物的种类、数量、利用、贮存、处置、流向等信息，以此作为向当地环保部门申报危险废物管理计划的编制依据。产生的危险废物实行分类收集后置于贮存设施内，贮存时限一般不得超过一年，并设专人管理。盛装危险废物的容器和包装物以及产生、收集、贮存、运输、处置危险废物的场所，必须依法设置相应标识、警示标志和标签，标签上应注明贮存的废物类别、危害性以及开始贮存时间等内容。企业必须严格执行危险废物转移计划报批和依法运行危险废物转移联单，并通过信息系统登记转移计划和电子转移联单。企业还需健全产生单位内部管理制度，包括落实危险废物产生信息公开制度，建立员工培训和固体废物管理员制度，完善危险废物相关档案管理制度；建立和完善突发危险废物环境应急预案，并报当地环保部门备案。</w:t>
      </w:r>
    </w:p>
    <w:p>
      <w:pPr>
        <w:spacing w:line="360" w:lineRule="auto"/>
        <w:ind w:firstLine="480" w:firstLineChars="200"/>
        <w:rPr>
          <w:color w:val="auto"/>
          <w:sz w:val="24"/>
          <w:szCs w:val="24"/>
        </w:rPr>
      </w:pPr>
      <w:r>
        <w:rPr>
          <w:rFonts w:hint="eastAsia"/>
          <w:color w:val="auto"/>
          <w:sz w:val="24"/>
          <w:szCs w:val="24"/>
        </w:rPr>
        <w:t>采取上述措施后，项目运营期产生的固体废物均可得到妥善处置，不会对周边环境产生明显影响。</w:t>
      </w:r>
    </w:p>
    <w:p>
      <w:pPr>
        <w:pStyle w:val="4"/>
        <w:rPr>
          <w:color w:val="auto"/>
        </w:rPr>
      </w:pPr>
      <w:r>
        <w:rPr>
          <w:rFonts w:hint="eastAsia"/>
          <w:color w:val="auto"/>
        </w:rPr>
        <w:t>5.2.6运营期土壤环境影响分析</w:t>
      </w:r>
    </w:p>
    <w:p>
      <w:pPr>
        <w:spacing w:line="360" w:lineRule="auto"/>
        <w:ind w:firstLine="480" w:firstLineChars="200"/>
        <w:rPr>
          <w:color w:val="auto"/>
          <w:sz w:val="24"/>
          <w:szCs w:val="24"/>
        </w:rPr>
      </w:pPr>
      <w:r>
        <w:rPr>
          <w:rFonts w:hint="eastAsia"/>
          <w:color w:val="auto"/>
          <w:sz w:val="24"/>
          <w:szCs w:val="24"/>
        </w:rPr>
        <w:t>土壤是连接有机界与无机界的重要枢纽，是人类生存的重要物质基础。污染物一旦进入土壤，就变成影响生物循环的一部分，影响着人类的健康和生命。特别是重金属元素和难降解的有机污染物，它们对土壤污染具有长期性、隐蔽性和积累性等特点。一旦造成土壤污染，就难以清除。</w:t>
      </w:r>
    </w:p>
    <w:p>
      <w:pPr>
        <w:spacing w:line="360" w:lineRule="auto"/>
        <w:ind w:firstLine="480" w:firstLineChars="200"/>
        <w:rPr>
          <w:color w:val="auto"/>
          <w:sz w:val="24"/>
          <w:szCs w:val="24"/>
        </w:rPr>
      </w:pPr>
      <w:r>
        <w:rPr>
          <w:rFonts w:hint="eastAsia"/>
          <w:color w:val="auto"/>
          <w:sz w:val="24"/>
          <w:szCs w:val="24"/>
        </w:rPr>
        <w:t>本项目为水质净化厂建设项目，大气污染因子为H</w:t>
      </w:r>
      <w:r>
        <w:rPr>
          <w:rFonts w:hint="eastAsia"/>
          <w:color w:val="auto"/>
          <w:sz w:val="24"/>
          <w:szCs w:val="24"/>
          <w:vertAlign w:val="subscript"/>
        </w:rPr>
        <w:t>2</w:t>
      </w:r>
      <w:r>
        <w:rPr>
          <w:rFonts w:hint="eastAsia"/>
          <w:color w:val="auto"/>
          <w:sz w:val="24"/>
          <w:szCs w:val="24"/>
        </w:rPr>
        <w:t>S和NH</w:t>
      </w:r>
      <w:r>
        <w:rPr>
          <w:rFonts w:hint="eastAsia"/>
          <w:color w:val="auto"/>
          <w:sz w:val="24"/>
          <w:szCs w:val="24"/>
          <w:vertAlign w:val="subscript"/>
        </w:rPr>
        <w:t>3</w:t>
      </w:r>
      <w:r>
        <w:rPr>
          <w:rFonts w:hint="eastAsia"/>
          <w:color w:val="auto"/>
          <w:sz w:val="24"/>
          <w:szCs w:val="24"/>
        </w:rPr>
        <w:t>，排放量较少。此类大气污染因子大部分在空气中会与尘埃等颗粒物结合或被其他物质分解，极少量会降落至地面，随着时间的推移被土壤自行分解，不会发生富集现象，因此，项目废气对土壤环境影响极小。</w:t>
      </w:r>
    </w:p>
    <w:p>
      <w:pPr>
        <w:spacing w:line="360" w:lineRule="auto"/>
        <w:ind w:firstLine="480" w:firstLineChars="200"/>
        <w:rPr>
          <w:color w:val="auto"/>
          <w:sz w:val="24"/>
          <w:szCs w:val="24"/>
        </w:rPr>
      </w:pPr>
      <w:r>
        <w:rPr>
          <w:rFonts w:hint="eastAsia"/>
          <w:color w:val="auto"/>
          <w:sz w:val="24"/>
          <w:szCs w:val="24"/>
        </w:rPr>
        <w:t>本项目废水主要污染因子为pH、COD、BOD</w:t>
      </w:r>
      <w:r>
        <w:rPr>
          <w:rFonts w:hint="eastAsia"/>
          <w:color w:val="auto"/>
          <w:sz w:val="24"/>
          <w:szCs w:val="24"/>
          <w:vertAlign w:val="subscript"/>
        </w:rPr>
        <w:t>5</w:t>
      </w:r>
      <w:r>
        <w:rPr>
          <w:rFonts w:hint="eastAsia"/>
          <w:color w:val="auto"/>
          <w:sz w:val="24"/>
          <w:szCs w:val="24"/>
        </w:rPr>
        <w:t>、氨氮、SS、总氮、总磷等，厂内布设有沉淀池、生物反应池等，全厂严格按照设计规范要求采取防渗措施和事故应急措施，正常情况下不会污染土壤。如若发生防渗膜失效等非正常情况，污染物可能会透过防渗膜从而污染土壤环境。因此建设单位应该采取严格有效的防渗措施，一旦发生非正常情况，立即采取相应的应急处理措施，切断污染源，将事故影响减小至最低。</w:t>
      </w:r>
    </w:p>
    <w:p>
      <w:pPr>
        <w:spacing w:line="360" w:lineRule="auto"/>
        <w:ind w:firstLine="480" w:firstLineChars="200"/>
        <w:rPr>
          <w:color w:val="auto"/>
          <w:sz w:val="24"/>
          <w:szCs w:val="24"/>
        </w:rPr>
      </w:pPr>
      <w:r>
        <w:rPr>
          <w:rFonts w:hint="eastAsia"/>
          <w:color w:val="auto"/>
          <w:sz w:val="24"/>
          <w:szCs w:val="24"/>
        </w:rPr>
        <w:t>项目固体废物有污泥、栅渣、废化学试剂及生活垃圾等，均不在厂内长期存放。各种物料和脱水污泥贮存在可以防风、防雨、防渗的厂房内，避免雨水直接接触物料。危险废物的堆放严格按照《危险废物贮存污染控制标准》（GB18597-2001）及其2013年修改单的要求设置临时贮存场所，采取防雨、防渗的措施，避免其中的有毒有害物质渗入土壤。</w:t>
      </w:r>
    </w:p>
    <w:p>
      <w:pPr>
        <w:spacing w:line="360" w:lineRule="auto"/>
        <w:ind w:firstLine="480" w:firstLineChars="200"/>
        <w:rPr>
          <w:color w:val="auto"/>
          <w:sz w:val="24"/>
          <w:szCs w:val="24"/>
        </w:rPr>
      </w:pPr>
      <w:r>
        <w:rPr>
          <w:rFonts w:hint="eastAsia"/>
          <w:color w:val="auto"/>
          <w:sz w:val="24"/>
          <w:szCs w:val="24"/>
        </w:rPr>
        <w:t>本项目对废水、固废严格控制，同时对厂区可能产生污染的区域按要求进行相应等级的防渗，事故情况下立即采取相应的应急处理措施，切断污染源。在采取以上措施后，项目运营期对土壤环境的污染影响较小。</w:t>
      </w:r>
    </w:p>
    <w:p>
      <w:pPr>
        <w:pStyle w:val="4"/>
        <w:rPr>
          <w:color w:val="auto"/>
        </w:rPr>
      </w:pPr>
      <w:bookmarkStart w:id="147" w:name="_Toc26276867"/>
      <w:r>
        <w:rPr>
          <w:rFonts w:hint="eastAsia"/>
          <w:color w:val="auto"/>
        </w:rPr>
        <w:t>5.2.7环境风险分析</w:t>
      </w:r>
      <w:bookmarkEnd w:id="147"/>
    </w:p>
    <w:p>
      <w:pPr>
        <w:spacing w:line="360" w:lineRule="auto"/>
        <w:ind w:firstLine="480" w:firstLineChars="200"/>
        <w:rPr>
          <w:color w:val="auto"/>
          <w:sz w:val="24"/>
          <w:szCs w:val="24"/>
        </w:rPr>
      </w:pPr>
      <w:r>
        <w:rPr>
          <w:rFonts w:hint="eastAsia"/>
          <w:color w:val="auto"/>
          <w:sz w:val="24"/>
          <w:szCs w:val="24"/>
        </w:rPr>
        <w:t>根据原国家环境保护总局《关于进一步加强环境影响评价管理防范环境风险的通知》(环发〔2012〕77号)及《建设项目环境风险评价技术导则》(HJ169-2018)的要求，对于涉及有毒有害和易燃易爆物质的生产、使用、贮存等新建、改建和技术改造项目进行风险评价。本次环境风险评价的目的在于识别物料生产、贮存过程中的风险因素及可能诱发的环境问题，并针对潜在的环境风险，提出相应的预防措施，以使建设项目的事故率、损失和环境影响达到可接受水平。</w:t>
      </w:r>
    </w:p>
    <w:p>
      <w:pPr>
        <w:pStyle w:val="5"/>
        <w:rPr>
          <w:color w:val="auto"/>
        </w:rPr>
      </w:pPr>
      <w:r>
        <w:rPr>
          <w:rFonts w:hint="eastAsia"/>
          <w:color w:val="auto"/>
        </w:rPr>
        <w:t>5.2.6.1评价依据</w:t>
      </w:r>
    </w:p>
    <w:p>
      <w:pPr>
        <w:spacing w:line="360" w:lineRule="auto"/>
        <w:ind w:firstLine="482" w:firstLineChars="200"/>
        <w:rPr>
          <w:b/>
          <w:color w:val="auto"/>
          <w:sz w:val="24"/>
          <w:szCs w:val="24"/>
        </w:rPr>
      </w:pPr>
      <w:r>
        <w:rPr>
          <w:rFonts w:hint="eastAsia"/>
          <w:b/>
          <w:color w:val="auto"/>
          <w:sz w:val="24"/>
          <w:szCs w:val="24"/>
        </w:rPr>
        <w:t>1、风险调查</w:t>
      </w:r>
    </w:p>
    <w:p>
      <w:pPr>
        <w:spacing w:line="360" w:lineRule="auto"/>
        <w:ind w:firstLine="480" w:firstLineChars="200"/>
        <w:rPr>
          <w:color w:val="auto"/>
          <w:sz w:val="24"/>
          <w:szCs w:val="24"/>
        </w:rPr>
      </w:pPr>
      <w:r>
        <w:rPr>
          <w:rFonts w:hint="eastAsia"/>
          <w:color w:val="auto"/>
          <w:sz w:val="24"/>
          <w:szCs w:val="24"/>
        </w:rPr>
        <w:t>通过对本项目主要生产工艺过程的分析，全面排查生产中使用和储存的原材料、辅料、中间产品和最终产品。本项目使用的原料为10% NaClO溶液、10% PAC溶液、20%乙酸钠、PAM、石灰、30% 铁盐溶液，其中，NaClO具有腐蚀性，可致人体灼伤，具有致敏性；PAC（聚合氯化铝）对皮肤、粘膜有刺激作用，吸入高浓度可引起支气管炎，个别人可引起支气管哮喘，误服量大时，可引起口腔糜烂、胃炎、胃出血和粘膜坏死；石灰（氧化钙）属强碱，有刺激和腐蚀作用，可致人体灼伤；铁盐主要指聚合硫酸铁，聚合硫酸铁对皮肤、粘膜有刺激作用，吸入高浓度可引起支气管炎，个别人可引起支气管哮喘，误服量大时，可引起口腔糜烂、胃炎、胃出血和粘膜坏死，长期接触可引起头痛、头晕、食欲减退、咳嗽、鼻塞、胸痛等症状。</w:t>
      </w:r>
    </w:p>
    <w:p>
      <w:pPr>
        <w:spacing w:line="360" w:lineRule="auto"/>
        <w:ind w:firstLine="482" w:firstLineChars="200"/>
        <w:rPr>
          <w:b/>
          <w:color w:val="auto"/>
          <w:sz w:val="24"/>
          <w:szCs w:val="24"/>
        </w:rPr>
      </w:pPr>
      <w:r>
        <w:rPr>
          <w:rFonts w:hint="eastAsia"/>
          <w:b/>
          <w:color w:val="auto"/>
          <w:sz w:val="24"/>
          <w:szCs w:val="24"/>
        </w:rPr>
        <w:t>2、风险潜势初判</w:t>
      </w:r>
    </w:p>
    <w:p>
      <w:pPr>
        <w:spacing w:line="360" w:lineRule="auto"/>
        <w:ind w:firstLine="480" w:firstLineChars="200"/>
        <w:rPr>
          <w:color w:val="auto"/>
          <w:sz w:val="24"/>
          <w:szCs w:val="24"/>
        </w:rPr>
      </w:pPr>
      <w:r>
        <w:rPr>
          <w:rFonts w:hint="eastAsia"/>
          <w:color w:val="auto"/>
          <w:sz w:val="24"/>
          <w:szCs w:val="24"/>
        </w:rPr>
        <w:t>建设项目环境风险潜势划分为Ⅰ、Ⅱ、Ⅲ、Ⅳ/Ⅳ</w:t>
      </w:r>
      <w:r>
        <w:rPr>
          <w:rFonts w:hint="eastAsia"/>
          <w:color w:val="auto"/>
          <w:sz w:val="24"/>
          <w:szCs w:val="24"/>
          <w:vertAlign w:val="superscript"/>
        </w:rPr>
        <w:t>+</w:t>
      </w:r>
      <w:r>
        <w:rPr>
          <w:rFonts w:hint="eastAsia"/>
          <w:color w:val="auto"/>
          <w:sz w:val="24"/>
          <w:szCs w:val="24"/>
        </w:rPr>
        <w:t>级。</w:t>
      </w:r>
    </w:p>
    <w:p>
      <w:pPr>
        <w:spacing w:line="360" w:lineRule="auto"/>
        <w:ind w:firstLine="480" w:firstLineChars="200"/>
        <w:rPr>
          <w:color w:val="auto"/>
          <w:sz w:val="24"/>
          <w:szCs w:val="24"/>
        </w:rPr>
      </w:pPr>
      <w:r>
        <w:rPr>
          <w:rFonts w:hint="eastAsia"/>
          <w:color w:val="auto"/>
          <w:sz w:val="24"/>
          <w:szCs w:val="24"/>
        </w:rPr>
        <w:t>根据建设项目涉及的物质和工艺系统的危险性及其所在地的环境敏感程度，结合事故情形下环境影响途径，对建设项目潜在环境危害程度进行概化分析，按照下表确定环境风险潜势。</w:t>
      </w:r>
    </w:p>
    <w:p>
      <w:pPr>
        <w:spacing w:line="360" w:lineRule="auto"/>
        <w:jc w:val="center"/>
        <w:rPr>
          <w:b/>
          <w:color w:val="auto"/>
          <w:sz w:val="24"/>
          <w:szCs w:val="24"/>
        </w:rPr>
      </w:pPr>
      <w:r>
        <w:rPr>
          <w:rFonts w:hint="eastAsia"/>
          <w:b/>
          <w:color w:val="auto"/>
          <w:sz w:val="24"/>
          <w:szCs w:val="24"/>
        </w:rPr>
        <w:t>表5-2-31   建设项目环境风险潜势划分</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559"/>
        <w:gridCol w:w="1559"/>
        <w:gridCol w:w="1559"/>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Merge w:val="restart"/>
            <w:vAlign w:val="center"/>
          </w:tcPr>
          <w:p>
            <w:pPr>
              <w:jc w:val="center"/>
              <w:rPr>
                <w:b/>
                <w:color w:val="auto"/>
                <w:sz w:val="21"/>
                <w:szCs w:val="21"/>
              </w:rPr>
            </w:pPr>
            <w:r>
              <w:rPr>
                <w:b/>
                <w:color w:val="auto"/>
                <w:sz w:val="21"/>
                <w:szCs w:val="21"/>
              </w:rPr>
              <w:t>环境敏感程度（E）</w:t>
            </w:r>
          </w:p>
        </w:tc>
        <w:tc>
          <w:tcPr>
            <w:tcW w:w="6287" w:type="dxa"/>
            <w:gridSpan w:val="4"/>
            <w:vAlign w:val="center"/>
          </w:tcPr>
          <w:p>
            <w:pPr>
              <w:jc w:val="center"/>
              <w:rPr>
                <w:b/>
                <w:color w:val="auto"/>
                <w:sz w:val="21"/>
                <w:szCs w:val="21"/>
              </w:rPr>
            </w:pPr>
            <w:r>
              <w:rPr>
                <w:b/>
                <w:color w:val="auto"/>
                <w:sz w:val="21"/>
                <w:szCs w:val="21"/>
              </w:rPr>
              <w:t>危险物质及工艺系统危险性（P）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Merge w:val="continue"/>
            <w:vAlign w:val="center"/>
          </w:tcPr>
          <w:p>
            <w:pPr>
              <w:jc w:val="center"/>
              <w:rPr>
                <w:b/>
                <w:color w:val="auto"/>
                <w:sz w:val="21"/>
                <w:szCs w:val="21"/>
              </w:rPr>
            </w:pPr>
          </w:p>
        </w:tc>
        <w:tc>
          <w:tcPr>
            <w:tcW w:w="1559" w:type="dxa"/>
            <w:vAlign w:val="center"/>
          </w:tcPr>
          <w:p>
            <w:pPr>
              <w:jc w:val="center"/>
              <w:rPr>
                <w:b/>
                <w:color w:val="auto"/>
                <w:sz w:val="21"/>
                <w:szCs w:val="21"/>
              </w:rPr>
            </w:pPr>
            <w:r>
              <w:rPr>
                <w:b/>
                <w:color w:val="auto"/>
                <w:sz w:val="21"/>
                <w:szCs w:val="21"/>
              </w:rPr>
              <w:t>极高危害（P1）</w:t>
            </w:r>
          </w:p>
        </w:tc>
        <w:tc>
          <w:tcPr>
            <w:tcW w:w="1559" w:type="dxa"/>
            <w:vAlign w:val="center"/>
          </w:tcPr>
          <w:p>
            <w:pPr>
              <w:jc w:val="center"/>
              <w:rPr>
                <w:b/>
                <w:color w:val="auto"/>
                <w:sz w:val="21"/>
                <w:szCs w:val="21"/>
              </w:rPr>
            </w:pPr>
            <w:r>
              <w:rPr>
                <w:b/>
                <w:color w:val="auto"/>
                <w:sz w:val="21"/>
                <w:szCs w:val="21"/>
              </w:rPr>
              <w:t>高度危害（P2）</w:t>
            </w:r>
          </w:p>
        </w:tc>
        <w:tc>
          <w:tcPr>
            <w:tcW w:w="1559" w:type="dxa"/>
            <w:vAlign w:val="center"/>
          </w:tcPr>
          <w:p>
            <w:pPr>
              <w:jc w:val="center"/>
              <w:rPr>
                <w:b/>
                <w:color w:val="auto"/>
                <w:sz w:val="21"/>
                <w:szCs w:val="21"/>
              </w:rPr>
            </w:pPr>
            <w:r>
              <w:rPr>
                <w:b/>
                <w:color w:val="auto"/>
                <w:sz w:val="21"/>
                <w:szCs w:val="21"/>
              </w:rPr>
              <w:t>中度危害（P3）</w:t>
            </w:r>
          </w:p>
        </w:tc>
        <w:tc>
          <w:tcPr>
            <w:tcW w:w="1610" w:type="dxa"/>
            <w:vAlign w:val="center"/>
          </w:tcPr>
          <w:p>
            <w:pPr>
              <w:jc w:val="center"/>
              <w:rPr>
                <w:b/>
                <w:color w:val="auto"/>
                <w:sz w:val="21"/>
                <w:szCs w:val="21"/>
              </w:rPr>
            </w:pPr>
            <w:r>
              <w:rPr>
                <w:b/>
                <w:color w:val="auto"/>
                <w:sz w:val="21"/>
                <w:szCs w:val="21"/>
              </w:rPr>
              <w:t>轻度危害（P4）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jc w:val="center"/>
              <w:rPr>
                <w:color w:val="auto"/>
                <w:sz w:val="21"/>
                <w:szCs w:val="21"/>
              </w:rPr>
            </w:pPr>
            <w:r>
              <w:rPr>
                <w:color w:val="auto"/>
                <w:sz w:val="21"/>
                <w:szCs w:val="21"/>
              </w:rPr>
              <w:t>环境高度敏感区（E1）</w:t>
            </w:r>
          </w:p>
        </w:tc>
        <w:tc>
          <w:tcPr>
            <w:tcW w:w="1559" w:type="dxa"/>
            <w:vAlign w:val="center"/>
          </w:tcPr>
          <w:p>
            <w:pPr>
              <w:jc w:val="center"/>
              <w:rPr>
                <w:color w:val="auto"/>
                <w:sz w:val="21"/>
                <w:szCs w:val="21"/>
              </w:rPr>
            </w:pPr>
            <w:r>
              <w:rPr>
                <w:rFonts w:hAnsi="宋体"/>
                <w:color w:val="auto"/>
                <w:sz w:val="21"/>
                <w:szCs w:val="21"/>
              </w:rPr>
              <w:t>Ⅳ</w:t>
            </w:r>
            <w:r>
              <w:rPr>
                <w:color w:val="auto"/>
                <w:sz w:val="21"/>
                <w:szCs w:val="21"/>
                <w:vertAlign w:val="superscript"/>
              </w:rPr>
              <w:t>+</w:t>
            </w:r>
          </w:p>
        </w:tc>
        <w:tc>
          <w:tcPr>
            <w:tcW w:w="1559" w:type="dxa"/>
            <w:vAlign w:val="center"/>
          </w:tcPr>
          <w:p>
            <w:pPr>
              <w:jc w:val="center"/>
              <w:rPr>
                <w:color w:val="auto"/>
                <w:sz w:val="21"/>
                <w:szCs w:val="21"/>
              </w:rPr>
            </w:pPr>
            <w:r>
              <w:rPr>
                <w:rFonts w:hAnsi="宋体"/>
                <w:color w:val="auto"/>
                <w:sz w:val="21"/>
                <w:szCs w:val="21"/>
              </w:rPr>
              <w:t>Ⅳ</w:t>
            </w:r>
          </w:p>
        </w:tc>
        <w:tc>
          <w:tcPr>
            <w:tcW w:w="1559" w:type="dxa"/>
            <w:vAlign w:val="center"/>
          </w:tcPr>
          <w:p>
            <w:pPr>
              <w:jc w:val="center"/>
              <w:rPr>
                <w:color w:val="auto"/>
                <w:sz w:val="21"/>
                <w:szCs w:val="21"/>
              </w:rPr>
            </w:pPr>
            <w:r>
              <w:rPr>
                <w:rFonts w:hAnsi="宋体"/>
                <w:color w:val="auto"/>
                <w:sz w:val="21"/>
                <w:szCs w:val="21"/>
              </w:rPr>
              <w:t>Ⅲ</w:t>
            </w:r>
          </w:p>
        </w:tc>
        <w:tc>
          <w:tcPr>
            <w:tcW w:w="1610" w:type="dxa"/>
            <w:vAlign w:val="center"/>
          </w:tcPr>
          <w:p>
            <w:pPr>
              <w:jc w:val="center"/>
              <w:rPr>
                <w:color w:val="auto"/>
                <w:sz w:val="21"/>
                <w:szCs w:val="21"/>
              </w:rPr>
            </w:pPr>
            <w:r>
              <w:rPr>
                <w:rFonts w:hAnsi="宋体"/>
                <w:color w:val="auto"/>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jc w:val="center"/>
              <w:rPr>
                <w:color w:val="auto"/>
                <w:sz w:val="21"/>
                <w:szCs w:val="21"/>
              </w:rPr>
            </w:pPr>
            <w:r>
              <w:rPr>
                <w:color w:val="auto"/>
                <w:sz w:val="21"/>
                <w:szCs w:val="21"/>
              </w:rPr>
              <w:t>环境中度敏感区（E2）</w:t>
            </w:r>
          </w:p>
        </w:tc>
        <w:tc>
          <w:tcPr>
            <w:tcW w:w="1559" w:type="dxa"/>
            <w:vAlign w:val="center"/>
          </w:tcPr>
          <w:p>
            <w:pPr>
              <w:jc w:val="center"/>
              <w:rPr>
                <w:color w:val="auto"/>
                <w:sz w:val="21"/>
                <w:szCs w:val="21"/>
              </w:rPr>
            </w:pPr>
            <w:r>
              <w:rPr>
                <w:rFonts w:hAnsi="宋体"/>
                <w:color w:val="auto"/>
                <w:sz w:val="21"/>
                <w:szCs w:val="21"/>
              </w:rPr>
              <w:t>Ⅳ</w:t>
            </w:r>
          </w:p>
        </w:tc>
        <w:tc>
          <w:tcPr>
            <w:tcW w:w="1559" w:type="dxa"/>
            <w:vAlign w:val="center"/>
          </w:tcPr>
          <w:p>
            <w:pPr>
              <w:jc w:val="center"/>
              <w:rPr>
                <w:color w:val="auto"/>
                <w:sz w:val="21"/>
                <w:szCs w:val="21"/>
              </w:rPr>
            </w:pPr>
            <w:r>
              <w:rPr>
                <w:rFonts w:hAnsi="宋体"/>
                <w:color w:val="auto"/>
                <w:sz w:val="21"/>
                <w:szCs w:val="21"/>
              </w:rPr>
              <w:t>Ⅲ</w:t>
            </w:r>
          </w:p>
        </w:tc>
        <w:tc>
          <w:tcPr>
            <w:tcW w:w="1559" w:type="dxa"/>
            <w:vAlign w:val="center"/>
          </w:tcPr>
          <w:p>
            <w:pPr>
              <w:jc w:val="center"/>
              <w:rPr>
                <w:color w:val="auto"/>
                <w:sz w:val="21"/>
                <w:szCs w:val="21"/>
              </w:rPr>
            </w:pPr>
            <w:r>
              <w:rPr>
                <w:rFonts w:hAnsi="宋体"/>
                <w:color w:val="auto"/>
                <w:sz w:val="21"/>
                <w:szCs w:val="21"/>
              </w:rPr>
              <w:t>Ⅲ</w:t>
            </w:r>
          </w:p>
        </w:tc>
        <w:tc>
          <w:tcPr>
            <w:tcW w:w="1610" w:type="dxa"/>
            <w:vAlign w:val="center"/>
          </w:tcPr>
          <w:p>
            <w:pPr>
              <w:jc w:val="center"/>
              <w:rPr>
                <w:color w:val="auto"/>
                <w:sz w:val="21"/>
                <w:szCs w:val="21"/>
              </w:rPr>
            </w:pPr>
            <w:r>
              <w:rPr>
                <w:rFonts w:hAnsi="宋体"/>
                <w:color w:val="auto"/>
                <w:sz w:val="21"/>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jc w:val="center"/>
              <w:rPr>
                <w:color w:val="auto"/>
                <w:sz w:val="21"/>
                <w:szCs w:val="21"/>
              </w:rPr>
            </w:pPr>
            <w:r>
              <w:rPr>
                <w:color w:val="auto"/>
                <w:sz w:val="21"/>
                <w:szCs w:val="21"/>
              </w:rPr>
              <w:t>环境低度敏感区（E3）</w:t>
            </w:r>
          </w:p>
        </w:tc>
        <w:tc>
          <w:tcPr>
            <w:tcW w:w="1559" w:type="dxa"/>
            <w:vAlign w:val="center"/>
          </w:tcPr>
          <w:p>
            <w:pPr>
              <w:jc w:val="center"/>
              <w:rPr>
                <w:color w:val="auto"/>
                <w:sz w:val="21"/>
                <w:szCs w:val="21"/>
              </w:rPr>
            </w:pPr>
            <w:r>
              <w:rPr>
                <w:rFonts w:hAnsi="宋体"/>
                <w:color w:val="auto"/>
                <w:sz w:val="21"/>
                <w:szCs w:val="21"/>
              </w:rPr>
              <w:t>Ⅲ</w:t>
            </w:r>
          </w:p>
        </w:tc>
        <w:tc>
          <w:tcPr>
            <w:tcW w:w="1559" w:type="dxa"/>
            <w:vAlign w:val="center"/>
          </w:tcPr>
          <w:p>
            <w:pPr>
              <w:jc w:val="center"/>
              <w:rPr>
                <w:color w:val="auto"/>
                <w:sz w:val="21"/>
                <w:szCs w:val="21"/>
              </w:rPr>
            </w:pPr>
            <w:r>
              <w:rPr>
                <w:rFonts w:hAnsi="宋体"/>
                <w:color w:val="auto"/>
                <w:sz w:val="21"/>
                <w:szCs w:val="21"/>
              </w:rPr>
              <w:t>Ⅲ</w:t>
            </w:r>
          </w:p>
        </w:tc>
        <w:tc>
          <w:tcPr>
            <w:tcW w:w="1559" w:type="dxa"/>
            <w:vAlign w:val="center"/>
          </w:tcPr>
          <w:p>
            <w:pPr>
              <w:jc w:val="center"/>
              <w:rPr>
                <w:color w:val="auto"/>
                <w:sz w:val="21"/>
                <w:szCs w:val="21"/>
              </w:rPr>
            </w:pPr>
            <w:r>
              <w:rPr>
                <w:rFonts w:hAnsi="宋体"/>
                <w:color w:val="auto"/>
                <w:sz w:val="21"/>
                <w:szCs w:val="21"/>
              </w:rPr>
              <w:t>Ⅱ</w:t>
            </w:r>
          </w:p>
        </w:tc>
        <w:tc>
          <w:tcPr>
            <w:tcW w:w="1610" w:type="dxa"/>
            <w:vAlign w:val="center"/>
          </w:tcPr>
          <w:p>
            <w:pPr>
              <w:jc w:val="center"/>
              <w:rPr>
                <w:color w:val="auto"/>
                <w:sz w:val="21"/>
                <w:szCs w:val="21"/>
              </w:rPr>
            </w:pPr>
            <w:r>
              <w:rPr>
                <w:rFonts w:hAnsi="宋体"/>
                <w:color w:val="auto"/>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jc w:val="left"/>
              <w:rPr>
                <w:color w:val="auto"/>
                <w:sz w:val="21"/>
                <w:szCs w:val="21"/>
              </w:rPr>
            </w:pPr>
            <w:r>
              <w:rPr>
                <w:color w:val="auto"/>
                <w:sz w:val="21"/>
                <w:szCs w:val="21"/>
              </w:rPr>
              <w:t>注：Ⅳ</w:t>
            </w:r>
            <w:r>
              <w:rPr>
                <w:color w:val="auto"/>
                <w:sz w:val="21"/>
                <w:szCs w:val="21"/>
                <w:vertAlign w:val="superscript"/>
              </w:rPr>
              <w:t>+</w:t>
            </w:r>
            <w:r>
              <w:rPr>
                <w:color w:val="auto"/>
                <w:sz w:val="21"/>
                <w:szCs w:val="21"/>
              </w:rPr>
              <w:t>为极高环境风险。</w:t>
            </w:r>
          </w:p>
        </w:tc>
      </w:tr>
    </w:tbl>
    <w:p>
      <w:pPr>
        <w:spacing w:line="360" w:lineRule="auto"/>
        <w:ind w:firstLine="480" w:firstLineChars="200"/>
        <w:jc w:val="left"/>
        <w:rPr>
          <w:color w:val="auto"/>
          <w:sz w:val="24"/>
          <w:szCs w:val="24"/>
        </w:rPr>
      </w:pPr>
      <w:r>
        <w:rPr>
          <w:rFonts w:hint="eastAsia"/>
          <w:color w:val="auto"/>
          <w:sz w:val="24"/>
          <w:szCs w:val="24"/>
        </w:rPr>
        <w:t>分析建设项目生产、使用、储存过程中涉及的有毒有害、易燃易爆物质，参见《建设项目环境风险评价技术导则》(HJ169-2018)附录B确定危险物质的临界量。定量分析危险物质数量与临界量的比值（Q）和所属行业及生产工艺特点（M），按《建设项目环境风险评价技术导则》(HJ169-2018)附录C对危险物质及工艺系统危险性（P）等级进行判断。</w:t>
      </w:r>
    </w:p>
    <w:p>
      <w:pPr>
        <w:spacing w:line="360" w:lineRule="auto"/>
        <w:ind w:firstLine="480" w:firstLineChars="200"/>
        <w:jc w:val="left"/>
        <w:rPr>
          <w:color w:val="auto"/>
          <w:sz w:val="24"/>
          <w:szCs w:val="24"/>
        </w:rPr>
      </w:pPr>
      <w:r>
        <w:rPr>
          <w:rFonts w:hint="eastAsia"/>
          <w:color w:val="auto"/>
          <w:sz w:val="24"/>
          <w:szCs w:val="24"/>
        </w:rPr>
        <w:t>计算所涉及的每种危险物质在厂界内的最大存在总量与其在《建设项目环境风险评价技术导则》(HJ169-2018)附录B中对应临界Q。当只涉及一种危险物质时，计算该物质的总量与其临界量比值，即为Q；当存在多种危险物质时，则按下式计算物质总量与其临界量比值（Q）：</w:t>
      </w:r>
    </w:p>
    <w:p>
      <w:pPr>
        <w:spacing w:line="360" w:lineRule="auto"/>
        <w:jc w:val="center"/>
        <w:rPr>
          <w:color w:val="auto"/>
          <w:sz w:val="24"/>
          <w:szCs w:val="24"/>
        </w:rPr>
      </w:pPr>
      <w:r>
        <w:rPr>
          <w:rFonts w:hint="eastAsia"/>
          <w:color w:val="auto"/>
          <w:sz w:val="24"/>
          <w:szCs w:val="24"/>
        </w:rPr>
        <w:drawing>
          <wp:inline distT="0" distB="0" distL="0" distR="0">
            <wp:extent cx="1492250" cy="396875"/>
            <wp:effectExtent l="19050" t="0" r="0" b="0"/>
            <wp:docPr id="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
                    <pic:cNvPicPr>
                      <a:picLocks noChangeAspect="1" noChangeArrowheads="1"/>
                    </pic:cNvPicPr>
                  </pic:nvPicPr>
                  <pic:blipFill>
                    <a:blip r:embed="rId19" cstate="print"/>
                    <a:srcRect/>
                    <a:stretch>
                      <a:fillRect/>
                    </a:stretch>
                  </pic:blipFill>
                  <pic:spPr>
                    <a:xfrm>
                      <a:off x="0" y="0"/>
                      <a:ext cx="1492250" cy="396875"/>
                    </a:xfrm>
                    <a:prstGeom prst="rect">
                      <a:avLst/>
                    </a:prstGeom>
                    <a:noFill/>
                    <a:ln w="9525">
                      <a:noFill/>
                      <a:miter lim="800000"/>
                      <a:headEnd/>
                      <a:tailEnd/>
                    </a:ln>
                  </pic:spPr>
                </pic:pic>
              </a:graphicData>
            </a:graphic>
          </wp:inline>
        </w:drawing>
      </w:r>
    </w:p>
    <w:p>
      <w:pPr>
        <w:spacing w:line="360" w:lineRule="auto"/>
        <w:ind w:firstLine="480" w:firstLineChars="200"/>
        <w:jc w:val="left"/>
        <w:rPr>
          <w:color w:val="auto"/>
          <w:sz w:val="24"/>
          <w:szCs w:val="24"/>
        </w:rPr>
      </w:pPr>
      <w:r>
        <w:rPr>
          <w:rFonts w:hint="eastAsia"/>
          <w:color w:val="auto"/>
          <w:sz w:val="24"/>
          <w:szCs w:val="24"/>
        </w:rPr>
        <w:t>式中：q</w:t>
      </w:r>
      <w:r>
        <w:rPr>
          <w:rFonts w:hint="eastAsia"/>
          <w:color w:val="auto"/>
          <w:sz w:val="24"/>
          <w:szCs w:val="24"/>
          <w:vertAlign w:val="subscript"/>
        </w:rPr>
        <w:t>1</w:t>
      </w:r>
      <w:r>
        <w:rPr>
          <w:rFonts w:hint="eastAsia"/>
          <w:color w:val="auto"/>
          <w:sz w:val="24"/>
          <w:szCs w:val="24"/>
        </w:rPr>
        <w:t>，q</w:t>
      </w:r>
      <w:r>
        <w:rPr>
          <w:rFonts w:hint="eastAsia"/>
          <w:color w:val="auto"/>
          <w:sz w:val="24"/>
          <w:szCs w:val="24"/>
          <w:vertAlign w:val="subscript"/>
        </w:rPr>
        <w:t>2</w:t>
      </w:r>
      <w:r>
        <w:rPr>
          <w:rFonts w:hint="eastAsia"/>
          <w:color w:val="auto"/>
          <w:sz w:val="24"/>
          <w:szCs w:val="24"/>
        </w:rPr>
        <w:t>，...，q</w:t>
      </w:r>
      <w:r>
        <w:rPr>
          <w:rFonts w:hint="eastAsia"/>
          <w:color w:val="auto"/>
          <w:sz w:val="24"/>
          <w:szCs w:val="24"/>
          <w:vertAlign w:val="subscript"/>
        </w:rPr>
        <w:t>n</w:t>
      </w:r>
      <w:r>
        <w:rPr>
          <w:rFonts w:hint="eastAsia"/>
          <w:color w:val="auto"/>
          <w:sz w:val="24"/>
          <w:szCs w:val="24"/>
        </w:rPr>
        <w:t>—每种危险物质的最大存在总量，t；</w:t>
      </w:r>
    </w:p>
    <w:p>
      <w:pPr>
        <w:spacing w:line="360" w:lineRule="auto"/>
        <w:ind w:firstLine="480" w:firstLineChars="200"/>
        <w:jc w:val="left"/>
        <w:rPr>
          <w:color w:val="auto"/>
          <w:sz w:val="24"/>
          <w:szCs w:val="24"/>
        </w:rPr>
      </w:pPr>
      <w:r>
        <w:rPr>
          <w:rFonts w:hint="eastAsia"/>
          <w:color w:val="auto"/>
          <w:sz w:val="24"/>
          <w:szCs w:val="24"/>
        </w:rPr>
        <w:t>Q</w:t>
      </w:r>
      <w:r>
        <w:rPr>
          <w:rFonts w:hint="eastAsia"/>
          <w:color w:val="auto"/>
          <w:sz w:val="24"/>
          <w:szCs w:val="24"/>
          <w:vertAlign w:val="subscript"/>
        </w:rPr>
        <w:t>1</w:t>
      </w:r>
      <w:r>
        <w:rPr>
          <w:rFonts w:hint="eastAsia"/>
          <w:color w:val="auto"/>
          <w:sz w:val="24"/>
          <w:szCs w:val="24"/>
        </w:rPr>
        <w:t>, Q</w:t>
      </w:r>
      <w:r>
        <w:rPr>
          <w:rFonts w:hint="eastAsia"/>
          <w:color w:val="auto"/>
          <w:sz w:val="24"/>
          <w:szCs w:val="24"/>
          <w:vertAlign w:val="subscript"/>
        </w:rPr>
        <w:t>2</w:t>
      </w:r>
      <w:r>
        <w:rPr>
          <w:rFonts w:hint="eastAsia"/>
          <w:color w:val="auto"/>
          <w:sz w:val="24"/>
          <w:szCs w:val="24"/>
        </w:rPr>
        <w:t>, ..., Q</w:t>
      </w:r>
      <w:r>
        <w:rPr>
          <w:rFonts w:hint="eastAsia"/>
          <w:color w:val="auto"/>
          <w:sz w:val="24"/>
          <w:szCs w:val="24"/>
          <w:vertAlign w:val="subscript"/>
        </w:rPr>
        <w:t>n</w:t>
      </w:r>
      <w:r>
        <w:rPr>
          <w:rFonts w:hint="eastAsia"/>
          <w:color w:val="auto"/>
          <w:sz w:val="24"/>
          <w:szCs w:val="24"/>
        </w:rPr>
        <w:t>—每种危险物质的临界量，t。</w:t>
      </w:r>
    </w:p>
    <w:p>
      <w:pPr>
        <w:spacing w:line="360" w:lineRule="auto"/>
        <w:ind w:firstLine="480" w:firstLineChars="200"/>
        <w:jc w:val="left"/>
        <w:rPr>
          <w:color w:val="auto"/>
          <w:sz w:val="24"/>
          <w:szCs w:val="24"/>
        </w:rPr>
      </w:pPr>
      <w:r>
        <w:rPr>
          <w:rFonts w:hint="eastAsia"/>
          <w:color w:val="auto"/>
          <w:sz w:val="24"/>
          <w:szCs w:val="24"/>
        </w:rPr>
        <w:t>当Q＜1 时，该项目环境风险潜势为Ⅰ。</w:t>
      </w:r>
    </w:p>
    <w:p>
      <w:pPr>
        <w:spacing w:line="360" w:lineRule="auto"/>
        <w:ind w:firstLine="480" w:firstLineChars="200"/>
        <w:jc w:val="left"/>
        <w:rPr>
          <w:color w:val="auto"/>
          <w:sz w:val="24"/>
          <w:szCs w:val="24"/>
        </w:rPr>
      </w:pPr>
      <w:r>
        <w:rPr>
          <w:rFonts w:hint="eastAsia"/>
          <w:color w:val="auto"/>
          <w:sz w:val="24"/>
          <w:szCs w:val="24"/>
        </w:rPr>
        <w:t>当Q≥1 时，将Q 值划分为：（1）1≤Q＜10；（2）10≤Q＜100；（3）Q≥100。</w:t>
      </w:r>
    </w:p>
    <w:p>
      <w:pPr>
        <w:spacing w:line="360" w:lineRule="auto"/>
        <w:ind w:firstLine="480" w:firstLineChars="200"/>
        <w:jc w:val="left"/>
        <w:rPr>
          <w:color w:val="auto"/>
          <w:sz w:val="24"/>
          <w:szCs w:val="24"/>
        </w:rPr>
      </w:pPr>
      <w:r>
        <w:rPr>
          <w:rFonts w:hint="eastAsia"/>
          <w:color w:val="auto"/>
          <w:sz w:val="24"/>
          <w:szCs w:val="24"/>
        </w:rPr>
        <w:t>本项目涉及危险物质总量与其临界量比值详见下表。</w:t>
      </w:r>
    </w:p>
    <w:p>
      <w:pPr>
        <w:spacing w:line="360" w:lineRule="auto"/>
        <w:jc w:val="center"/>
        <w:rPr>
          <w:b/>
          <w:color w:val="auto"/>
          <w:sz w:val="24"/>
          <w:szCs w:val="24"/>
        </w:rPr>
      </w:pPr>
      <w:r>
        <w:rPr>
          <w:rFonts w:hint="eastAsia"/>
          <w:b/>
          <w:color w:val="auto"/>
          <w:sz w:val="24"/>
          <w:szCs w:val="24"/>
        </w:rPr>
        <w:t>表5-2-32   建设项目 Q 值确定表</w:t>
      </w:r>
    </w:p>
    <w:tbl>
      <w:tblPr>
        <w:tblStyle w:val="29"/>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706"/>
        <w:gridCol w:w="1276"/>
        <w:gridCol w:w="1843"/>
        <w:gridCol w:w="127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adjustRightInd w:val="0"/>
              <w:snapToGrid w:val="0"/>
              <w:jc w:val="center"/>
              <w:rPr>
                <w:b/>
                <w:color w:val="auto"/>
                <w:sz w:val="21"/>
                <w:szCs w:val="21"/>
              </w:rPr>
            </w:pPr>
            <w:r>
              <w:rPr>
                <w:b/>
                <w:color w:val="auto"/>
                <w:sz w:val="21"/>
                <w:szCs w:val="21"/>
              </w:rPr>
              <w:t>序号</w:t>
            </w:r>
          </w:p>
        </w:tc>
        <w:tc>
          <w:tcPr>
            <w:tcW w:w="1706" w:type="dxa"/>
            <w:vAlign w:val="center"/>
          </w:tcPr>
          <w:p>
            <w:pPr>
              <w:adjustRightInd w:val="0"/>
              <w:snapToGrid w:val="0"/>
              <w:jc w:val="center"/>
              <w:rPr>
                <w:b/>
                <w:color w:val="auto"/>
                <w:sz w:val="21"/>
                <w:szCs w:val="21"/>
              </w:rPr>
            </w:pPr>
            <w:r>
              <w:rPr>
                <w:b/>
                <w:color w:val="auto"/>
                <w:sz w:val="21"/>
                <w:szCs w:val="21"/>
              </w:rPr>
              <w:t>危险物质名称</w:t>
            </w:r>
          </w:p>
        </w:tc>
        <w:tc>
          <w:tcPr>
            <w:tcW w:w="1276" w:type="dxa"/>
            <w:vAlign w:val="center"/>
          </w:tcPr>
          <w:p>
            <w:pPr>
              <w:adjustRightInd w:val="0"/>
              <w:snapToGrid w:val="0"/>
              <w:jc w:val="center"/>
              <w:rPr>
                <w:b/>
                <w:color w:val="auto"/>
                <w:sz w:val="21"/>
                <w:szCs w:val="21"/>
              </w:rPr>
            </w:pPr>
            <w:r>
              <w:rPr>
                <w:b/>
                <w:color w:val="auto"/>
                <w:sz w:val="21"/>
                <w:szCs w:val="21"/>
              </w:rPr>
              <w:t>CAS号</w:t>
            </w:r>
          </w:p>
        </w:tc>
        <w:tc>
          <w:tcPr>
            <w:tcW w:w="1843" w:type="dxa"/>
            <w:vAlign w:val="center"/>
          </w:tcPr>
          <w:p>
            <w:pPr>
              <w:adjustRightInd w:val="0"/>
              <w:snapToGrid w:val="0"/>
              <w:jc w:val="center"/>
              <w:rPr>
                <w:b/>
                <w:color w:val="auto"/>
                <w:sz w:val="21"/>
                <w:szCs w:val="21"/>
              </w:rPr>
            </w:pPr>
            <w:r>
              <w:rPr>
                <w:b/>
                <w:color w:val="auto"/>
                <w:sz w:val="21"/>
                <w:szCs w:val="21"/>
              </w:rPr>
              <w:t>最大存在总量q</w:t>
            </w:r>
            <w:r>
              <w:rPr>
                <w:b/>
                <w:color w:val="auto"/>
                <w:sz w:val="21"/>
                <w:szCs w:val="21"/>
                <w:vertAlign w:val="subscript"/>
              </w:rPr>
              <w:t>n</w:t>
            </w:r>
            <w:r>
              <w:rPr>
                <w:b/>
                <w:color w:val="auto"/>
                <w:sz w:val="21"/>
                <w:szCs w:val="21"/>
              </w:rPr>
              <w:t>/t</w:t>
            </w:r>
          </w:p>
        </w:tc>
        <w:tc>
          <w:tcPr>
            <w:tcW w:w="1276" w:type="dxa"/>
            <w:vAlign w:val="center"/>
          </w:tcPr>
          <w:p>
            <w:pPr>
              <w:adjustRightInd w:val="0"/>
              <w:snapToGrid w:val="0"/>
              <w:jc w:val="center"/>
              <w:rPr>
                <w:b/>
                <w:color w:val="auto"/>
                <w:sz w:val="21"/>
                <w:szCs w:val="21"/>
              </w:rPr>
            </w:pPr>
            <w:r>
              <w:rPr>
                <w:b/>
                <w:color w:val="auto"/>
                <w:sz w:val="21"/>
                <w:szCs w:val="21"/>
              </w:rPr>
              <w:t>临界量Q</w:t>
            </w:r>
            <w:r>
              <w:rPr>
                <w:b/>
                <w:color w:val="auto"/>
                <w:sz w:val="21"/>
                <w:szCs w:val="21"/>
                <w:vertAlign w:val="subscript"/>
              </w:rPr>
              <w:t>n</w:t>
            </w:r>
            <w:r>
              <w:rPr>
                <w:b/>
                <w:color w:val="auto"/>
                <w:sz w:val="21"/>
                <w:szCs w:val="21"/>
              </w:rPr>
              <w:t>/t</w:t>
            </w:r>
          </w:p>
        </w:tc>
        <w:tc>
          <w:tcPr>
            <w:tcW w:w="1984" w:type="dxa"/>
            <w:vAlign w:val="center"/>
          </w:tcPr>
          <w:p>
            <w:pPr>
              <w:adjustRightInd w:val="0"/>
              <w:snapToGrid w:val="0"/>
              <w:jc w:val="center"/>
              <w:rPr>
                <w:b/>
                <w:color w:val="auto"/>
                <w:sz w:val="21"/>
                <w:szCs w:val="21"/>
              </w:rPr>
            </w:pPr>
            <w:r>
              <w:rPr>
                <w:b/>
                <w:color w:val="auto"/>
                <w:sz w:val="21"/>
                <w:szCs w:val="21"/>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adjustRightInd w:val="0"/>
              <w:snapToGrid w:val="0"/>
              <w:jc w:val="center"/>
              <w:rPr>
                <w:color w:val="auto"/>
                <w:sz w:val="21"/>
                <w:szCs w:val="21"/>
              </w:rPr>
            </w:pPr>
            <w:r>
              <w:rPr>
                <w:color w:val="auto"/>
                <w:sz w:val="21"/>
                <w:szCs w:val="21"/>
              </w:rPr>
              <w:t>1</w:t>
            </w:r>
          </w:p>
        </w:tc>
        <w:tc>
          <w:tcPr>
            <w:tcW w:w="1706" w:type="dxa"/>
            <w:vAlign w:val="center"/>
          </w:tcPr>
          <w:p>
            <w:pPr>
              <w:adjustRightInd w:val="0"/>
              <w:snapToGrid w:val="0"/>
              <w:jc w:val="center"/>
              <w:rPr>
                <w:color w:val="auto"/>
                <w:sz w:val="21"/>
                <w:szCs w:val="21"/>
              </w:rPr>
            </w:pPr>
            <w:r>
              <w:rPr>
                <w:color w:val="auto"/>
                <w:sz w:val="21"/>
                <w:szCs w:val="21"/>
              </w:rPr>
              <w:t>10% NaClO溶液</w:t>
            </w:r>
          </w:p>
        </w:tc>
        <w:tc>
          <w:tcPr>
            <w:tcW w:w="1276" w:type="dxa"/>
            <w:vAlign w:val="center"/>
          </w:tcPr>
          <w:p>
            <w:pPr>
              <w:adjustRightInd w:val="0"/>
              <w:snapToGrid w:val="0"/>
              <w:jc w:val="center"/>
              <w:rPr>
                <w:color w:val="auto"/>
                <w:sz w:val="22"/>
                <w:szCs w:val="22"/>
              </w:rPr>
            </w:pPr>
            <w:r>
              <w:rPr>
                <w:rFonts w:hint="eastAsia"/>
                <w:color w:val="auto"/>
                <w:sz w:val="22"/>
                <w:szCs w:val="22"/>
              </w:rPr>
              <w:t>7681-52-9</w:t>
            </w:r>
          </w:p>
        </w:tc>
        <w:tc>
          <w:tcPr>
            <w:tcW w:w="1843" w:type="dxa"/>
            <w:vAlign w:val="center"/>
          </w:tcPr>
          <w:p>
            <w:pPr>
              <w:adjustRightInd w:val="0"/>
              <w:snapToGrid w:val="0"/>
              <w:jc w:val="center"/>
              <w:rPr>
                <w:color w:val="auto"/>
                <w:sz w:val="21"/>
                <w:szCs w:val="21"/>
              </w:rPr>
            </w:pPr>
            <w:r>
              <w:rPr>
                <w:color w:val="auto"/>
                <w:sz w:val="21"/>
                <w:szCs w:val="21"/>
              </w:rPr>
              <w:t>2（折纯）</w:t>
            </w:r>
          </w:p>
        </w:tc>
        <w:tc>
          <w:tcPr>
            <w:tcW w:w="1276" w:type="dxa"/>
            <w:vAlign w:val="center"/>
          </w:tcPr>
          <w:p>
            <w:pPr>
              <w:adjustRightInd w:val="0"/>
              <w:snapToGrid w:val="0"/>
              <w:jc w:val="center"/>
              <w:rPr>
                <w:color w:val="auto"/>
                <w:sz w:val="22"/>
                <w:szCs w:val="22"/>
              </w:rPr>
            </w:pPr>
            <w:r>
              <w:rPr>
                <w:rFonts w:hint="eastAsia"/>
                <w:color w:val="auto"/>
                <w:sz w:val="22"/>
                <w:szCs w:val="22"/>
              </w:rPr>
              <w:t>5</w:t>
            </w:r>
          </w:p>
        </w:tc>
        <w:tc>
          <w:tcPr>
            <w:tcW w:w="1984" w:type="dxa"/>
            <w:vAlign w:val="center"/>
          </w:tcPr>
          <w:p>
            <w:pPr>
              <w:adjustRightInd w:val="0"/>
              <w:snapToGrid w:val="0"/>
              <w:jc w:val="center"/>
              <w:rPr>
                <w:color w:val="auto"/>
                <w:sz w:val="22"/>
                <w:szCs w:val="22"/>
              </w:rPr>
            </w:pPr>
            <w:r>
              <w:rPr>
                <w:rFonts w:hint="eastAsia"/>
                <w:color w:val="auto"/>
                <w:sz w:val="22"/>
                <w:szCs w:val="22"/>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adjustRightInd w:val="0"/>
              <w:snapToGrid w:val="0"/>
              <w:jc w:val="center"/>
              <w:rPr>
                <w:color w:val="auto"/>
                <w:sz w:val="21"/>
                <w:szCs w:val="21"/>
              </w:rPr>
            </w:pPr>
            <w:r>
              <w:rPr>
                <w:color w:val="auto"/>
                <w:sz w:val="21"/>
                <w:szCs w:val="21"/>
              </w:rPr>
              <w:t>2</w:t>
            </w:r>
          </w:p>
        </w:tc>
        <w:tc>
          <w:tcPr>
            <w:tcW w:w="1706" w:type="dxa"/>
            <w:vAlign w:val="center"/>
          </w:tcPr>
          <w:p>
            <w:pPr>
              <w:adjustRightInd w:val="0"/>
              <w:snapToGrid w:val="0"/>
              <w:jc w:val="center"/>
              <w:rPr>
                <w:color w:val="auto"/>
                <w:sz w:val="21"/>
                <w:szCs w:val="21"/>
              </w:rPr>
            </w:pPr>
            <w:r>
              <w:rPr>
                <w:color w:val="auto"/>
                <w:sz w:val="21"/>
                <w:szCs w:val="21"/>
              </w:rPr>
              <w:t>10% PAC溶液</w:t>
            </w:r>
          </w:p>
        </w:tc>
        <w:tc>
          <w:tcPr>
            <w:tcW w:w="1276" w:type="dxa"/>
            <w:vAlign w:val="center"/>
          </w:tcPr>
          <w:p>
            <w:pPr>
              <w:adjustRightInd w:val="0"/>
              <w:snapToGrid w:val="0"/>
              <w:jc w:val="center"/>
              <w:rPr>
                <w:color w:val="auto"/>
                <w:sz w:val="22"/>
                <w:szCs w:val="22"/>
              </w:rPr>
            </w:pPr>
            <w:r>
              <w:rPr>
                <w:color w:val="auto"/>
                <w:sz w:val="22"/>
                <w:szCs w:val="22"/>
              </w:rPr>
              <w:t>1327-41-9</w:t>
            </w:r>
          </w:p>
        </w:tc>
        <w:tc>
          <w:tcPr>
            <w:tcW w:w="1843" w:type="dxa"/>
            <w:vAlign w:val="center"/>
          </w:tcPr>
          <w:p>
            <w:pPr>
              <w:adjustRightInd w:val="0"/>
              <w:snapToGrid w:val="0"/>
              <w:jc w:val="center"/>
              <w:rPr>
                <w:color w:val="auto"/>
                <w:sz w:val="21"/>
                <w:szCs w:val="21"/>
              </w:rPr>
            </w:pPr>
            <w:r>
              <w:rPr>
                <w:color w:val="auto"/>
                <w:sz w:val="21"/>
                <w:szCs w:val="21"/>
              </w:rPr>
              <w:t>2（折纯）</w:t>
            </w:r>
          </w:p>
        </w:tc>
        <w:tc>
          <w:tcPr>
            <w:tcW w:w="1276" w:type="dxa"/>
            <w:vAlign w:val="center"/>
          </w:tcPr>
          <w:p>
            <w:pPr>
              <w:adjustRightInd w:val="0"/>
              <w:snapToGrid w:val="0"/>
              <w:jc w:val="center"/>
              <w:rPr>
                <w:color w:val="auto"/>
                <w:sz w:val="22"/>
                <w:szCs w:val="22"/>
              </w:rPr>
            </w:pPr>
            <w:r>
              <w:rPr>
                <w:color w:val="auto"/>
                <w:sz w:val="22"/>
                <w:szCs w:val="22"/>
              </w:rPr>
              <w:t>50</w:t>
            </w:r>
          </w:p>
        </w:tc>
        <w:tc>
          <w:tcPr>
            <w:tcW w:w="1984" w:type="dxa"/>
            <w:vAlign w:val="center"/>
          </w:tcPr>
          <w:p>
            <w:pPr>
              <w:adjustRightInd w:val="0"/>
              <w:snapToGrid w:val="0"/>
              <w:jc w:val="center"/>
              <w:rPr>
                <w:color w:val="auto"/>
                <w:sz w:val="22"/>
                <w:szCs w:val="22"/>
              </w:rPr>
            </w:pPr>
            <w:r>
              <w:rPr>
                <w:color w:val="auto"/>
                <w:sz w:val="22"/>
                <w:szCs w:val="22"/>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0" w:type="dxa"/>
            <w:vAlign w:val="center"/>
          </w:tcPr>
          <w:p>
            <w:pPr>
              <w:autoSpaceDE w:val="0"/>
              <w:autoSpaceDN w:val="0"/>
              <w:adjustRightInd w:val="0"/>
              <w:snapToGrid w:val="0"/>
              <w:jc w:val="center"/>
              <w:rPr>
                <w:color w:val="auto"/>
                <w:sz w:val="21"/>
                <w:szCs w:val="21"/>
              </w:rPr>
            </w:pPr>
            <w:r>
              <w:rPr>
                <w:color w:val="auto"/>
                <w:sz w:val="21"/>
                <w:szCs w:val="21"/>
              </w:rPr>
              <w:t>3</w:t>
            </w:r>
          </w:p>
        </w:tc>
        <w:tc>
          <w:tcPr>
            <w:tcW w:w="1706" w:type="dxa"/>
            <w:vAlign w:val="center"/>
          </w:tcPr>
          <w:p>
            <w:pPr>
              <w:autoSpaceDE w:val="0"/>
              <w:autoSpaceDN w:val="0"/>
              <w:adjustRightInd w:val="0"/>
              <w:snapToGrid w:val="0"/>
              <w:jc w:val="center"/>
              <w:rPr>
                <w:color w:val="auto"/>
                <w:sz w:val="21"/>
                <w:szCs w:val="21"/>
              </w:rPr>
            </w:pPr>
            <w:r>
              <w:rPr>
                <w:rFonts w:hint="eastAsia"/>
                <w:color w:val="auto"/>
                <w:sz w:val="21"/>
                <w:szCs w:val="21"/>
              </w:rPr>
              <w:t>石灰</w:t>
            </w:r>
          </w:p>
        </w:tc>
        <w:tc>
          <w:tcPr>
            <w:tcW w:w="1276" w:type="dxa"/>
            <w:vAlign w:val="center"/>
          </w:tcPr>
          <w:p>
            <w:pPr>
              <w:autoSpaceDE w:val="0"/>
              <w:autoSpaceDN w:val="0"/>
              <w:adjustRightInd w:val="0"/>
              <w:snapToGrid w:val="0"/>
              <w:jc w:val="center"/>
              <w:rPr>
                <w:color w:val="auto"/>
                <w:sz w:val="22"/>
                <w:szCs w:val="22"/>
              </w:rPr>
            </w:pPr>
            <w:r>
              <w:rPr>
                <w:color w:val="auto"/>
                <w:sz w:val="22"/>
                <w:szCs w:val="22"/>
              </w:rPr>
              <w:t>1305-78-8</w:t>
            </w:r>
          </w:p>
        </w:tc>
        <w:tc>
          <w:tcPr>
            <w:tcW w:w="1843" w:type="dxa"/>
            <w:vAlign w:val="center"/>
          </w:tcPr>
          <w:p>
            <w:pPr>
              <w:adjustRightInd w:val="0"/>
              <w:snapToGrid w:val="0"/>
              <w:jc w:val="center"/>
              <w:rPr>
                <w:color w:val="auto"/>
                <w:sz w:val="21"/>
                <w:szCs w:val="21"/>
              </w:rPr>
            </w:pPr>
            <w:r>
              <w:rPr>
                <w:rFonts w:hint="eastAsia"/>
                <w:color w:val="auto"/>
                <w:sz w:val="21"/>
                <w:szCs w:val="21"/>
              </w:rPr>
              <w:t>9</w:t>
            </w:r>
          </w:p>
        </w:tc>
        <w:tc>
          <w:tcPr>
            <w:tcW w:w="1276" w:type="dxa"/>
            <w:vAlign w:val="center"/>
          </w:tcPr>
          <w:p>
            <w:pPr>
              <w:adjustRightInd w:val="0"/>
              <w:snapToGrid w:val="0"/>
              <w:jc w:val="center"/>
              <w:rPr>
                <w:color w:val="auto"/>
                <w:sz w:val="22"/>
                <w:szCs w:val="22"/>
              </w:rPr>
            </w:pPr>
            <w:r>
              <w:rPr>
                <w:color w:val="auto"/>
                <w:sz w:val="22"/>
                <w:szCs w:val="22"/>
              </w:rPr>
              <w:t>50</w:t>
            </w:r>
          </w:p>
        </w:tc>
        <w:tc>
          <w:tcPr>
            <w:tcW w:w="1984" w:type="dxa"/>
            <w:vAlign w:val="center"/>
          </w:tcPr>
          <w:p>
            <w:pPr>
              <w:adjustRightInd w:val="0"/>
              <w:snapToGrid w:val="0"/>
              <w:jc w:val="center"/>
              <w:rPr>
                <w:color w:val="auto"/>
                <w:sz w:val="22"/>
                <w:szCs w:val="22"/>
              </w:rPr>
            </w:pPr>
            <w:r>
              <w:rPr>
                <w:rFonts w:hint="eastAsia"/>
                <w:color w:val="auto"/>
                <w:sz w:val="22"/>
                <w:szCs w:val="22"/>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Align w:val="center"/>
          </w:tcPr>
          <w:p>
            <w:pPr>
              <w:adjustRightInd w:val="0"/>
              <w:snapToGrid w:val="0"/>
              <w:jc w:val="center"/>
              <w:rPr>
                <w:color w:val="auto"/>
                <w:sz w:val="21"/>
                <w:szCs w:val="21"/>
              </w:rPr>
            </w:pPr>
            <w:r>
              <w:rPr>
                <w:color w:val="auto"/>
                <w:sz w:val="21"/>
                <w:szCs w:val="21"/>
              </w:rPr>
              <w:t>4</w:t>
            </w:r>
          </w:p>
        </w:tc>
        <w:tc>
          <w:tcPr>
            <w:tcW w:w="1706" w:type="dxa"/>
            <w:vAlign w:val="center"/>
          </w:tcPr>
          <w:p>
            <w:pPr>
              <w:adjustRightInd w:val="0"/>
              <w:snapToGrid w:val="0"/>
              <w:jc w:val="center"/>
              <w:rPr>
                <w:color w:val="auto"/>
                <w:sz w:val="21"/>
                <w:szCs w:val="21"/>
              </w:rPr>
            </w:pPr>
            <w:r>
              <w:rPr>
                <w:color w:val="auto"/>
                <w:sz w:val="21"/>
                <w:szCs w:val="21"/>
              </w:rPr>
              <w:t>30% 铁盐溶液</w:t>
            </w:r>
          </w:p>
        </w:tc>
        <w:tc>
          <w:tcPr>
            <w:tcW w:w="1276" w:type="dxa"/>
            <w:vAlign w:val="center"/>
          </w:tcPr>
          <w:p>
            <w:pPr>
              <w:adjustRightInd w:val="0"/>
              <w:snapToGrid w:val="0"/>
              <w:jc w:val="center"/>
              <w:rPr>
                <w:color w:val="auto"/>
                <w:sz w:val="22"/>
                <w:szCs w:val="22"/>
              </w:rPr>
            </w:pPr>
            <w:r>
              <w:rPr>
                <w:color w:val="auto"/>
                <w:sz w:val="22"/>
                <w:szCs w:val="22"/>
              </w:rPr>
              <w:t>10028-22-5</w:t>
            </w:r>
          </w:p>
        </w:tc>
        <w:tc>
          <w:tcPr>
            <w:tcW w:w="1843" w:type="dxa"/>
            <w:vAlign w:val="center"/>
          </w:tcPr>
          <w:p>
            <w:pPr>
              <w:adjustRightInd w:val="0"/>
              <w:snapToGrid w:val="0"/>
              <w:jc w:val="center"/>
              <w:rPr>
                <w:color w:val="auto"/>
                <w:sz w:val="21"/>
                <w:szCs w:val="21"/>
              </w:rPr>
            </w:pPr>
            <w:r>
              <w:rPr>
                <w:color w:val="auto"/>
                <w:sz w:val="21"/>
                <w:szCs w:val="21"/>
              </w:rPr>
              <w:t>4.5（折纯）</w:t>
            </w:r>
          </w:p>
        </w:tc>
        <w:tc>
          <w:tcPr>
            <w:tcW w:w="1276" w:type="dxa"/>
            <w:vAlign w:val="center"/>
          </w:tcPr>
          <w:p>
            <w:pPr>
              <w:adjustRightInd w:val="0"/>
              <w:snapToGrid w:val="0"/>
              <w:jc w:val="center"/>
              <w:rPr>
                <w:color w:val="auto"/>
                <w:sz w:val="22"/>
                <w:szCs w:val="22"/>
              </w:rPr>
            </w:pPr>
            <w:r>
              <w:rPr>
                <w:color w:val="auto"/>
                <w:sz w:val="22"/>
                <w:szCs w:val="22"/>
              </w:rPr>
              <w:t>50</w:t>
            </w:r>
          </w:p>
        </w:tc>
        <w:tc>
          <w:tcPr>
            <w:tcW w:w="1984" w:type="dxa"/>
            <w:vAlign w:val="center"/>
          </w:tcPr>
          <w:p>
            <w:pPr>
              <w:adjustRightInd w:val="0"/>
              <w:snapToGrid w:val="0"/>
              <w:jc w:val="center"/>
              <w:rPr>
                <w:color w:val="auto"/>
                <w:sz w:val="22"/>
                <w:szCs w:val="22"/>
              </w:rPr>
            </w:pPr>
            <w:r>
              <w:rPr>
                <w:color w:val="auto"/>
                <w:sz w:val="22"/>
                <w:szCs w:val="22"/>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1" w:type="dxa"/>
            <w:gridSpan w:val="5"/>
            <w:vAlign w:val="center"/>
          </w:tcPr>
          <w:p>
            <w:pPr>
              <w:adjustRightInd w:val="0"/>
              <w:snapToGrid w:val="0"/>
              <w:jc w:val="center"/>
              <w:rPr>
                <w:color w:val="auto"/>
                <w:sz w:val="24"/>
                <w:szCs w:val="24"/>
              </w:rPr>
            </w:pPr>
            <w:r>
              <w:rPr>
                <w:color w:val="auto"/>
                <w:sz w:val="21"/>
                <w:szCs w:val="21"/>
              </w:rPr>
              <w:t>项目Q值Σ</w:t>
            </w:r>
          </w:p>
        </w:tc>
        <w:tc>
          <w:tcPr>
            <w:tcW w:w="1984" w:type="dxa"/>
            <w:vAlign w:val="center"/>
          </w:tcPr>
          <w:p>
            <w:pPr>
              <w:adjustRightInd w:val="0"/>
              <w:snapToGrid w:val="0"/>
              <w:jc w:val="center"/>
              <w:rPr>
                <w:color w:val="auto"/>
                <w:sz w:val="22"/>
                <w:szCs w:val="22"/>
              </w:rPr>
            </w:pPr>
            <w:r>
              <w:rPr>
                <w:rFonts w:hint="eastAsia"/>
                <w:color w:val="auto"/>
                <w:sz w:val="22"/>
                <w:szCs w:val="22"/>
              </w:rPr>
              <w:t>0.71</w:t>
            </w:r>
          </w:p>
        </w:tc>
      </w:tr>
    </w:tbl>
    <w:p>
      <w:pPr>
        <w:spacing w:line="360" w:lineRule="auto"/>
        <w:ind w:firstLine="480" w:firstLineChars="200"/>
        <w:jc w:val="left"/>
        <w:rPr>
          <w:color w:val="auto"/>
          <w:sz w:val="24"/>
          <w:szCs w:val="24"/>
        </w:rPr>
      </w:pPr>
      <w:r>
        <w:rPr>
          <w:rFonts w:hint="eastAsia"/>
          <w:color w:val="auto"/>
          <w:sz w:val="24"/>
          <w:szCs w:val="24"/>
        </w:rPr>
        <w:t>注：危险物质储存临界量出自《建设项目环境风险评价技术导则》(HJ169-2018)附录B。除</w:t>
      </w:r>
      <w:r>
        <w:rPr>
          <w:color w:val="auto"/>
          <w:sz w:val="24"/>
          <w:szCs w:val="24"/>
        </w:rPr>
        <w:t>NaClO</w:t>
      </w:r>
      <w:r>
        <w:rPr>
          <w:rFonts w:hint="eastAsia"/>
          <w:color w:val="auto"/>
          <w:sz w:val="24"/>
          <w:szCs w:val="24"/>
        </w:rPr>
        <w:t>外其他危险物质无明显临界量，取“健康危险急性毒性物质（类别2，类别3）”50t。</w:t>
      </w:r>
    </w:p>
    <w:p>
      <w:pPr>
        <w:spacing w:line="360" w:lineRule="auto"/>
        <w:ind w:firstLine="480" w:firstLineChars="200"/>
        <w:jc w:val="left"/>
        <w:rPr>
          <w:color w:val="auto"/>
          <w:sz w:val="24"/>
          <w:szCs w:val="24"/>
        </w:rPr>
      </w:pPr>
      <w:r>
        <w:rPr>
          <w:rFonts w:hint="eastAsia"/>
          <w:color w:val="auto"/>
          <w:sz w:val="24"/>
          <w:szCs w:val="24"/>
        </w:rPr>
        <w:t>本项目物质总量与其临界量比值（Q）为0.71＜1，因此，环境风险潜势为Ⅰ。</w:t>
      </w:r>
    </w:p>
    <w:p>
      <w:pPr>
        <w:spacing w:line="360" w:lineRule="auto"/>
        <w:ind w:firstLine="482" w:firstLineChars="200"/>
        <w:jc w:val="left"/>
        <w:rPr>
          <w:b/>
          <w:color w:val="auto"/>
          <w:sz w:val="24"/>
          <w:szCs w:val="24"/>
        </w:rPr>
      </w:pPr>
      <w:r>
        <w:rPr>
          <w:rFonts w:hint="eastAsia"/>
          <w:b/>
          <w:color w:val="auto"/>
          <w:sz w:val="24"/>
          <w:szCs w:val="24"/>
        </w:rPr>
        <w:t>3、评价等级判定</w:t>
      </w:r>
    </w:p>
    <w:p>
      <w:pPr>
        <w:spacing w:line="360" w:lineRule="auto"/>
        <w:ind w:firstLine="480" w:firstLineChars="200"/>
        <w:jc w:val="left"/>
        <w:rPr>
          <w:color w:val="auto"/>
          <w:sz w:val="24"/>
          <w:szCs w:val="24"/>
        </w:rPr>
      </w:pPr>
      <w:r>
        <w:rPr>
          <w:rFonts w:hint="eastAsia"/>
          <w:color w:val="auto"/>
          <w:sz w:val="24"/>
          <w:szCs w:val="24"/>
        </w:rPr>
        <w:t>根据《建设项目环境风险评价技术导则》(HJ169-2018)，环境风险评价工作等级划分依据如下：</w:t>
      </w:r>
    </w:p>
    <w:p>
      <w:pPr>
        <w:spacing w:line="360" w:lineRule="auto"/>
        <w:jc w:val="center"/>
        <w:rPr>
          <w:b/>
          <w:color w:val="auto"/>
          <w:sz w:val="24"/>
          <w:szCs w:val="24"/>
        </w:rPr>
      </w:pPr>
      <w:r>
        <w:rPr>
          <w:rFonts w:hint="eastAsia"/>
          <w:b/>
          <w:color w:val="auto"/>
          <w:sz w:val="24"/>
          <w:szCs w:val="24"/>
        </w:rPr>
        <w:t>表5-2-33   评价工作等级划分</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1704"/>
        <w:gridCol w:w="1705"/>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Align w:val="center"/>
          </w:tcPr>
          <w:p>
            <w:pPr>
              <w:jc w:val="center"/>
              <w:rPr>
                <w:color w:val="auto"/>
                <w:sz w:val="21"/>
                <w:szCs w:val="21"/>
              </w:rPr>
            </w:pPr>
            <w:r>
              <w:rPr>
                <w:rFonts w:hint="eastAsia"/>
                <w:color w:val="auto"/>
                <w:sz w:val="21"/>
                <w:szCs w:val="21"/>
              </w:rPr>
              <w:t>环境风险潜势</w:t>
            </w:r>
          </w:p>
        </w:tc>
        <w:tc>
          <w:tcPr>
            <w:tcW w:w="1704" w:type="dxa"/>
            <w:vAlign w:val="center"/>
          </w:tcPr>
          <w:p>
            <w:pPr>
              <w:jc w:val="center"/>
              <w:rPr>
                <w:color w:val="auto"/>
                <w:sz w:val="21"/>
                <w:szCs w:val="21"/>
              </w:rPr>
            </w:pPr>
            <w:r>
              <w:rPr>
                <w:rFonts w:hint="eastAsia"/>
                <w:color w:val="auto"/>
                <w:sz w:val="21"/>
                <w:szCs w:val="21"/>
              </w:rPr>
              <w:t>Ⅳ、Ⅳ</w:t>
            </w:r>
            <w:r>
              <w:rPr>
                <w:rFonts w:hint="eastAsia"/>
                <w:color w:val="auto"/>
                <w:sz w:val="21"/>
                <w:szCs w:val="21"/>
                <w:vertAlign w:val="superscript"/>
              </w:rPr>
              <w:t>+</w:t>
            </w:r>
          </w:p>
        </w:tc>
        <w:tc>
          <w:tcPr>
            <w:tcW w:w="1705" w:type="dxa"/>
            <w:vAlign w:val="center"/>
          </w:tcPr>
          <w:p>
            <w:pPr>
              <w:jc w:val="center"/>
              <w:rPr>
                <w:color w:val="auto"/>
                <w:sz w:val="21"/>
                <w:szCs w:val="21"/>
              </w:rPr>
            </w:pPr>
            <w:r>
              <w:rPr>
                <w:rFonts w:hint="eastAsia"/>
                <w:color w:val="auto"/>
                <w:sz w:val="21"/>
                <w:szCs w:val="21"/>
              </w:rPr>
              <w:t>Ⅲ</w:t>
            </w:r>
          </w:p>
        </w:tc>
        <w:tc>
          <w:tcPr>
            <w:tcW w:w="1705" w:type="dxa"/>
            <w:vAlign w:val="center"/>
          </w:tcPr>
          <w:p>
            <w:pPr>
              <w:jc w:val="center"/>
              <w:rPr>
                <w:color w:val="auto"/>
                <w:sz w:val="21"/>
                <w:szCs w:val="21"/>
              </w:rPr>
            </w:pPr>
            <w:r>
              <w:rPr>
                <w:rFonts w:hint="eastAsia"/>
                <w:color w:val="auto"/>
                <w:sz w:val="21"/>
                <w:szCs w:val="21"/>
              </w:rPr>
              <w:t>Ⅱ</w:t>
            </w:r>
          </w:p>
        </w:tc>
        <w:tc>
          <w:tcPr>
            <w:tcW w:w="1705" w:type="dxa"/>
            <w:vAlign w:val="center"/>
          </w:tcPr>
          <w:p>
            <w:pPr>
              <w:jc w:val="center"/>
              <w:rPr>
                <w:color w:val="auto"/>
                <w:sz w:val="21"/>
                <w:szCs w:val="21"/>
              </w:rPr>
            </w:pPr>
            <w:r>
              <w:rPr>
                <w:rFonts w:hint="eastAsia"/>
                <w:color w:val="auto"/>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Align w:val="center"/>
          </w:tcPr>
          <w:p>
            <w:pPr>
              <w:jc w:val="center"/>
              <w:rPr>
                <w:color w:val="auto"/>
                <w:sz w:val="21"/>
                <w:szCs w:val="21"/>
              </w:rPr>
            </w:pPr>
            <w:r>
              <w:rPr>
                <w:rFonts w:hint="eastAsia"/>
                <w:color w:val="auto"/>
                <w:sz w:val="21"/>
                <w:szCs w:val="21"/>
              </w:rPr>
              <w:t>评价工作等级</w:t>
            </w:r>
          </w:p>
        </w:tc>
        <w:tc>
          <w:tcPr>
            <w:tcW w:w="1704" w:type="dxa"/>
            <w:vAlign w:val="center"/>
          </w:tcPr>
          <w:p>
            <w:pPr>
              <w:jc w:val="center"/>
              <w:rPr>
                <w:color w:val="auto"/>
                <w:sz w:val="21"/>
                <w:szCs w:val="21"/>
              </w:rPr>
            </w:pPr>
            <w:r>
              <w:rPr>
                <w:rFonts w:hint="eastAsia"/>
                <w:color w:val="auto"/>
                <w:sz w:val="21"/>
                <w:szCs w:val="21"/>
              </w:rPr>
              <w:t>一</w:t>
            </w:r>
          </w:p>
        </w:tc>
        <w:tc>
          <w:tcPr>
            <w:tcW w:w="1705" w:type="dxa"/>
            <w:vAlign w:val="center"/>
          </w:tcPr>
          <w:p>
            <w:pPr>
              <w:jc w:val="center"/>
              <w:rPr>
                <w:color w:val="auto"/>
                <w:sz w:val="21"/>
                <w:szCs w:val="21"/>
              </w:rPr>
            </w:pPr>
            <w:r>
              <w:rPr>
                <w:rFonts w:hint="eastAsia"/>
                <w:color w:val="auto"/>
                <w:sz w:val="21"/>
                <w:szCs w:val="21"/>
              </w:rPr>
              <w:t>二</w:t>
            </w:r>
          </w:p>
        </w:tc>
        <w:tc>
          <w:tcPr>
            <w:tcW w:w="1705" w:type="dxa"/>
            <w:vAlign w:val="center"/>
          </w:tcPr>
          <w:p>
            <w:pPr>
              <w:jc w:val="center"/>
              <w:rPr>
                <w:color w:val="auto"/>
                <w:sz w:val="21"/>
                <w:szCs w:val="21"/>
              </w:rPr>
            </w:pPr>
            <w:r>
              <w:rPr>
                <w:rFonts w:hint="eastAsia"/>
                <w:color w:val="auto"/>
                <w:sz w:val="21"/>
                <w:szCs w:val="21"/>
              </w:rPr>
              <w:t>三</w:t>
            </w:r>
          </w:p>
        </w:tc>
        <w:tc>
          <w:tcPr>
            <w:tcW w:w="1705" w:type="dxa"/>
            <w:vAlign w:val="center"/>
          </w:tcPr>
          <w:p>
            <w:pPr>
              <w:jc w:val="center"/>
              <w:rPr>
                <w:color w:val="auto"/>
                <w:sz w:val="21"/>
                <w:szCs w:val="21"/>
              </w:rPr>
            </w:pPr>
            <w:r>
              <w:rPr>
                <w:rFonts w:hint="eastAsia"/>
                <w:color w:val="auto"/>
                <w:sz w:val="21"/>
                <w:szCs w:val="21"/>
              </w:rPr>
              <w:t>简单分析</w:t>
            </w:r>
            <w:r>
              <w:rPr>
                <w:rFonts w:hint="eastAsia"/>
                <w:color w:val="auto"/>
                <w:sz w:val="21"/>
                <w:szCs w:val="21"/>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jc w:val="left"/>
              <w:rPr>
                <w:color w:val="auto"/>
                <w:sz w:val="21"/>
                <w:szCs w:val="21"/>
              </w:rPr>
            </w:pPr>
            <w:r>
              <w:rPr>
                <w:rFonts w:hint="eastAsia"/>
                <w:color w:val="auto"/>
                <w:sz w:val="21"/>
                <w:szCs w:val="21"/>
                <w:vertAlign w:val="superscript"/>
              </w:rPr>
              <w:t>a</w:t>
            </w:r>
            <w:r>
              <w:rPr>
                <w:rFonts w:hint="eastAsia"/>
                <w:color w:val="auto"/>
                <w:sz w:val="21"/>
                <w:szCs w:val="21"/>
              </w:rPr>
              <w:t>是相对于详细评价工作内容而言，在描述危险物质、环境影响途径、环境危害后果、风险防范措施等方面给出定性的说明。</w:t>
            </w:r>
          </w:p>
        </w:tc>
      </w:tr>
    </w:tbl>
    <w:p>
      <w:pPr>
        <w:spacing w:line="360" w:lineRule="auto"/>
        <w:ind w:firstLine="480" w:firstLineChars="200"/>
        <w:jc w:val="left"/>
        <w:rPr>
          <w:color w:val="auto"/>
          <w:sz w:val="24"/>
          <w:szCs w:val="24"/>
        </w:rPr>
      </w:pPr>
      <w:r>
        <w:rPr>
          <w:rFonts w:hint="eastAsia"/>
          <w:color w:val="auto"/>
          <w:sz w:val="24"/>
          <w:szCs w:val="24"/>
        </w:rPr>
        <w:t>根据评价工作等级划分表，本项目风险评价等级为“简要分析”。</w:t>
      </w:r>
    </w:p>
    <w:p>
      <w:pPr>
        <w:pStyle w:val="5"/>
        <w:rPr>
          <w:color w:val="auto"/>
        </w:rPr>
      </w:pPr>
      <w:r>
        <w:rPr>
          <w:rFonts w:hint="eastAsia"/>
          <w:color w:val="auto"/>
        </w:rPr>
        <w:t>5.2.6.2环境敏感目标概况</w:t>
      </w:r>
    </w:p>
    <w:p>
      <w:pPr>
        <w:spacing w:line="360" w:lineRule="auto"/>
        <w:ind w:firstLine="480" w:firstLineChars="200"/>
        <w:rPr>
          <w:color w:val="auto"/>
          <w:sz w:val="24"/>
          <w:szCs w:val="24"/>
        </w:rPr>
      </w:pPr>
      <w:r>
        <w:rPr>
          <w:rFonts w:hint="eastAsia"/>
          <w:color w:val="auto"/>
          <w:sz w:val="24"/>
          <w:szCs w:val="24"/>
        </w:rPr>
        <w:t>环境敏感目标概况详见上表2-9-1。</w:t>
      </w:r>
    </w:p>
    <w:p>
      <w:pPr>
        <w:pStyle w:val="5"/>
        <w:rPr>
          <w:color w:val="auto"/>
        </w:rPr>
      </w:pPr>
      <w:r>
        <w:rPr>
          <w:rFonts w:hint="eastAsia"/>
          <w:color w:val="auto"/>
        </w:rPr>
        <w:t>5.2.6.3环境风险识别</w:t>
      </w:r>
    </w:p>
    <w:p>
      <w:pPr>
        <w:spacing w:line="360" w:lineRule="auto"/>
        <w:ind w:firstLine="482" w:firstLineChars="200"/>
        <w:rPr>
          <w:b/>
          <w:color w:val="auto"/>
          <w:sz w:val="24"/>
          <w:szCs w:val="24"/>
        </w:rPr>
      </w:pPr>
      <w:r>
        <w:rPr>
          <w:rFonts w:hint="eastAsia"/>
          <w:b/>
          <w:color w:val="auto"/>
          <w:sz w:val="24"/>
          <w:szCs w:val="24"/>
        </w:rPr>
        <w:t>1、物质风险性识别</w:t>
      </w:r>
    </w:p>
    <w:p>
      <w:pPr>
        <w:spacing w:line="360" w:lineRule="auto"/>
        <w:jc w:val="center"/>
        <w:rPr>
          <w:b/>
          <w:color w:val="auto"/>
          <w:sz w:val="24"/>
          <w:szCs w:val="24"/>
        </w:rPr>
      </w:pPr>
      <w:r>
        <w:rPr>
          <w:rFonts w:hint="eastAsia"/>
          <w:b/>
          <w:color w:val="auto"/>
          <w:sz w:val="24"/>
          <w:szCs w:val="24"/>
        </w:rPr>
        <w:t>表5-2-34    项目危险化学品物化性质一览表</w:t>
      </w:r>
    </w:p>
    <w:tbl>
      <w:tblPr>
        <w:tblStyle w:val="29"/>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701"/>
        <w:gridCol w:w="680"/>
        <w:gridCol w:w="596"/>
        <w:gridCol w:w="283"/>
        <w:gridCol w:w="851"/>
        <w:gridCol w:w="651"/>
        <w:gridCol w:w="199"/>
        <w:gridCol w:w="2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gridSpan w:val="9"/>
            <w:vAlign w:val="center"/>
          </w:tcPr>
          <w:p>
            <w:pPr>
              <w:jc w:val="center"/>
              <w:rPr>
                <w:b/>
                <w:color w:val="auto"/>
                <w:sz w:val="21"/>
                <w:szCs w:val="21"/>
              </w:rPr>
            </w:pPr>
            <w:r>
              <w:rPr>
                <w:rFonts w:hint="eastAsia"/>
                <w:b/>
                <w:color w:val="auto"/>
                <w:sz w:val="21"/>
                <w:szCs w:val="21"/>
              </w:rPr>
              <w:t>聚合氯化铝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CAS号</w:t>
            </w:r>
          </w:p>
        </w:tc>
        <w:tc>
          <w:tcPr>
            <w:tcW w:w="7144" w:type="dxa"/>
            <w:gridSpan w:val="8"/>
            <w:vAlign w:val="center"/>
          </w:tcPr>
          <w:p>
            <w:pPr>
              <w:jc w:val="center"/>
              <w:rPr>
                <w:color w:val="auto"/>
                <w:sz w:val="21"/>
                <w:szCs w:val="21"/>
              </w:rPr>
            </w:pPr>
            <w:r>
              <w:rPr>
                <w:rFonts w:hint="eastAsia"/>
                <w:color w:val="auto"/>
                <w:sz w:val="21"/>
                <w:szCs w:val="21"/>
              </w:rPr>
              <w:t>1327-41-9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中文名称</w:t>
            </w:r>
          </w:p>
        </w:tc>
        <w:tc>
          <w:tcPr>
            <w:tcW w:w="7144" w:type="dxa"/>
            <w:gridSpan w:val="8"/>
            <w:vAlign w:val="center"/>
          </w:tcPr>
          <w:p>
            <w:pPr>
              <w:jc w:val="center"/>
              <w:rPr>
                <w:color w:val="auto"/>
                <w:sz w:val="21"/>
                <w:szCs w:val="21"/>
              </w:rPr>
            </w:pPr>
            <w:r>
              <w:rPr>
                <w:rFonts w:hint="eastAsia"/>
                <w:color w:val="auto"/>
                <w:sz w:val="21"/>
                <w:szCs w:val="21"/>
              </w:rPr>
              <w:t>聚合氯化铝（简称聚合铝）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英文名称</w:t>
            </w:r>
          </w:p>
        </w:tc>
        <w:tc>
          <w:tcPr>
            <w:tcW w:w="7144" w:type="dxa"/>
            <w:gridSpan w:val="8"/>
            <w:vAlign w:val="center"/>
          </w:tcPr>
          <w:p>
            <w:pPr>
              <w:jc w:val="center"/>
              <w:rPr>
                <w:color w:val="auto"/>
                <w:sz w:val="21"/>
                <w:szCs w:val="21"/>
              </w:rPr>
            </w:pPr>
            <w:r>
              <w:rPr>
                <w:rFonts w:hint="eastAsia"/>
                <w:color w:val="auto"/>
                <w:sz w:val="21"/>
                <w:szCs w:val="21"/>
              </w:rPr>
              <w:t>PolyaluminiumChloride，缩写为PAC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分子式</w:t>
            </w:r>
          </w:p>
        </w:tc>
        <w:tc>
          <w:tcPr>
            <w:tcW w:w="1701" w:type="dxa"/>
            <w:vAlign w:val="center"/>
          </w:tcPr>
          <w:p>
            <w:pPr>
              <w:jc w:val="center"/>
              <w:rPr>
                <w:color w:val="auto"/>
                <w:sz w:val="21"/>
                <w:szCs w:val="21"/>
              </w:rPr>
            </w:pPr>
            <w:r>
              <w:rPr>
                <w:rFonts w:hint="eastAsia"/>
                <w:color w:val="auto"/>
                <w:sz w:val="21"/>
                <w:szCs w:val="21"/>
              </w:rPr>
              <w:t>Al</w:t>
            </w:r>
            <w:r>
              <w:rPr>
                <w:rFonts w:hint="eastAsia"/>
                <w:color w:val="auto"/>
                <w:sz w:val="21"/>
                <w:szCs w:val="21"/>
                <w:vertAlign w:val="subscript"/>
              </w:rPr>
              <w:t>2</w:t>
            </w:r>
            <w:r>
              <w:rPr>
                <w:rFonts w:hint="eastAsia"/>
                <w:color w:val="auto"/>
                <w:sz w:val="21"/>
                <w:szCs w:val="21"/>
              </w:rPr>
              <w:t>Cl(OH)</w:t>
            </w:r>
            <w:r>
              <w:rPr>
                <w:rFonts w:hint="eastAsia"/>
                <w:color w:val="auto"/>
                <w:sz w:val="21"/>
                <w:szCs w:val="21"/>
                <w:vertAlign w:val="subscript"/>
              </w:rPr>
              <w:t>5</w:t>
            </w:r>
          </w:p>
        </w:tc>
        <w:tc>
          <w:tcPr>
            <w:tcW w:w="1276" w:type="dxa"/>
            <w:gridSpan w:val="2"/>
            <w:vAlign w:val="center"/>
          </w:tcPr>
          <w:p>
            <w:pPr>
              <w:jc w:val="center"/>
              <w:rPr>
                <w:color w:val="auto"/>
                <w:sz w:val="21"/>
                <w:szCs w:val="21"/>
              </w:rPr>
            </w:pPr>
            <w:r>
              <w:rPr>
                <w:rFonts w:hint="eastAsia"/>
                <w:color w:val="auto"/>
                <w:sz w:val="21"/>
                <w:szCs w:val="21"/>
              </w:rPr>
              <w:t>外观与性状</w:t>
            </w:r>
          </w:p>
        </w:tc>
        <w:tc>
          <w:tcPr>
            <w:tcW w:w="4167" w:type="dxa"/>
            <w:gridSpan w:val="5"/>
            <w:vAlign w:val="center"/>
          </w:tcPr>
          <w:p>
            <w:pPr>
              <w:jc w:val="center"/>
              <w:rPr>
                <w:color w:val="auto"/>
                <w:sz w:val="21"/>
                <w:szCs w:val="21"/>
              </w:rPr>
            </w:pPr>
            <w:r>
              <w:rPr>
                <w:rFonts w:hint="eastAsia"/>
                <w:color w:val="auto"/>
                <w:sz w:val="21"/>
                <w:szCs w:val="21"/>
              </w:rPr>
              <w:t>白色、金黄色、金褐色、红褐色颗粒状/片状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分子量</w:t>
            </w:r>
          </w:p>
        </w:tc>
        <w:tc>
          <w:tcPr>
            <w:tcW w:w="1701" w:type="dxa"/>
            <w:vAlign w:val="center"/>
          </w:tcPr>
          <w:p>
            <w:pPr>
              <w:jc w:val="center"/>
              <w:rPr>
                <w:color w:val="auto"/>
                <w:sz w:val="21"/>
                <w:szCs w:val="21"/>
              </w:rPr>
            </w:pPr>
            <w:r>
              <w:rPr>
                <w:rFonts w:hint="eastAsia"/>
                <w:color w:val="auto"/>
                <w:sz w:val="21"/>
                <w:szCs w:val="21"/>
              </w:rPr>
              <w:t>174.45</w:t>
            </w:r>
          </w:p>
        </w:tc>
        <w:tc>
          <w:tcPr>
            <w:tcW w:w="1276" w:type="dxa"/>
            <w:gridSpan w:val="2"/>
            <w:vAlign w:val="center"/>
          </w:tcPr>
          <w:p>
            <w:pPr>
              <w:jc w:val="center"/>
              <w:rPr>
                <w:color w:val="auto"/>
                <w:sz w:val="21"/>
                <w:szCs w:val="21"/>
              </w:rPr>
            </w:pPr>
            <w:r>
              <w:rPr>
                <w:rFonts w:hint="eastAsia"/>
                <w:color w:val="auto"/>
                <w:sz w:val="21"/>
                <w:szCs w:val="21"/>
              </w:rPr>
              <w:t>蒸汽压</w:t>
            </w:r>
          </w:p>
        </w:tc>
        <w:tc>
          <w:tcPr>
            <w:tcW w:w="4167" w:type="dxa"/>
            <w:gridSpan w:val="5"/>
            <w:vAlign w:val="center"/>
          </w:tcPr>
          <w:p>
            <w:pPr>
              <w:jc w:val="center"/>
              <w:rPr>
                <w:color w:val="auto"/>
                <w:sz w:val="21"/>
                <w:szCs w:val="21"/>
              </w:rPr>
            </w:pPr>
            <w:r>
              <w:rPr>
                <w:rFonts w:hint="eastAsia"/>
                <w:color w:val="auto"/>
                <w:sz w:val="21"/>
                <w:szCs w:val="21"/>
              </w:rPr>
              <w:t>0.13kPa/100℃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熔点</w:t>
            </w:r>
          </w:p>
        </w:tc>
        <w:tc>
          <w:tcPr>
            <w:tcW w:w="1701" w:type="dxa"/>
            <w:vAlign w:val="center"/>
          </w:tcPr>
          <w:p>
            <w:pPr>
              <w:jc w:val="center"/>
              <w:rPr>
                <w:color w:val="auto"/>
                <w:sz w:val="21"/>
                <w:szCs w:val="21"/>
              </w:rPr>
            </w:pPr>
            <w:r>
              <w:rPr>
                <w:rFonts w:hint="eastAsia"/>
                <w:color w:val="auto"/>
                <w:sz w:val="21"/>
                <w:szCs w:val="21"/>
              </w:rPr>
              <w:t>190℃</w:t>
            </w:r>
          </w:p>
        </w:tc>
        <w:tc>
          <w:tcPr>
            <w:tcW w:w="1276" w:type="dxa"/>
            <w:gridSpan w:val="2"/>
            <w:vAlign w:val="center"/>
          </w:tcPr>
          <w:p>
            <w:pPr>
              <w:jc w:val="center"/>
              <w:rPr>
                <w:color w:val="auto"/>
                <w:sz w:val="21"/>
                <w:szCs w:val="21"/>
              </w:rPr>
            </w:pPr>
            <w:r>
              <w:rPr>
                <w:rFonts w:hint="eastAsia"/>
                <w:color w:val="auto"/>
                <w:sz w:val="21"/>
                <w:szCs w:val="21"/>
              </w:rPr>
              <w:t>密度</w:t>
            </w:r>
          </w:p>
        </w:tc>
        <w:tc>
          <w:tcPr>
            <w:tcW w:w="4167" w:type="dxa"/>
            <w:gridSpan w:val="5"/>
            <w:vAlign w:val="center"/>
          </w:tcPr>
          <w:p>
            <w:pPr>
              <w:jc w:val="center"/>
              <w:rPr>
                <w:color w:val="auto"/>
                <w:sz w:val="21"/>
                <w:szCs w:val="21"/>
              </w:rPr>
            </w:pPr>
            <w:r>
              <w:rPr>
                <w:rFonts w:hint="eastAsia"/>
                <w:color w:val="auto"/>
                <w:sz w:val="21"/>
                <w:szCs w:val="21"/>
              </w:rPr>
              <w:t>相对密度(=1)2.44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溶解性</w:t>
            </w:r>
          </w:p>
        </w:tc>
        <w:tc>
          <w:tcPr>
            <w:tcW w:w="1701" w:type="dxa"/>
            <w:vAlign w:val="center"/>
          </w:tcPr>
          <w:p>
            <w:pPr>
              <w:jc w:val="center"/>
              <w:rPr>
                <w:color w:val="auto"/>
                <w:sz w:val="21"/>
                <w:szCs w:val="21"/>
              </w:rPr>
            </w:pPr>
            <w:r>
              <w:rPr>
                <w:rFonts w:hint="eastAsia"/>
                <w:color w:val="auto"/>
                <w:sz w:val="21"/>
                <w:szCs w:val="21"/>
              </w:rPr>
              <w:t>易溶于水，醇，氯仿，微溶于苯</w:t>
            </w:r>
          </w:p>
        </w:tc>
        <w:tc>
          <w:tcPr>
            <w:tcW w:w="1276" w:type="dxa"/>
            <w:gridSpan w:val="2"/>
            <w:vAlign w:val="center"/>
          </w:tcPr>
          <w:p>
            <w:pPr>
              <w:jc w:val="center"/>
              <w:rPr>
                <w:color w:val="auto"/>
                <w:sz w:val="21"/>
                <w:szCs w:val="21"/>
              </w:rPr>
            </w:pPr>
            <w:r>
              <w:rPr>
                <w:rFonts w:hint="eastAsia"/>
                <w:color w:val="auto"/>
                <w:sz w:val="21"/>
                <w:szCs w:val="21"/>
              </w:rPr>
              <w:t>稳定性</w:t>
            </w:r>
          </w:p>
        </w:tc>
        <w:tc>
          <w:tcPr>
            <w:tcW w:w="4167" w:type="dxa"/>
            <w:gridSpan w:val="5"/>
            <w:vAlign w:val="center"/>
          </w:tcPr>
          <w:p>
            <w:pPr>
              <w:jc w:val="center"/>
              <w:rPr>
                <w:color w:val="auto"/>
                <w:sz w:val="21"/>
                <w:szCs w:val="21"/>
              </w:rPr>
            </w:pPr>
            <w:r>
              <w:rPr>
                <w:rFonts w:hint="eastAsia"/>
                <w:color w:val="auto"/>
                <w:sz w:val="21"/>
                <w:szCs w:val="21"/>
              </w:rPr>
              <w:t>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危险标记</w:t>
            </w:r>
          </w:p>
        </w:tc>
        <w:tc>
          <w:tcPr>
            <w:tcW w:w="1701" w:type="dxa"/>
            <w:vAlign w:val="center"/>
          </w:tcPr>
          <w:p>
            <w:pPr>
              <w:jc w:val="center"/>
              <w:rPr>
                <w:color w:val="auto"/>
                <w:sz w:val="21"/>
                <w:szCs w:val="21"/>
              </w:rPr>
            </w:pPr>
            <w:r>
              <w:rPr>
                <w:rFonts w:hint="eastAsia"/>
                <w:color w:val="auto"/>
                <w:sz w:val="21"/>
                <w:szCs w:val="21"/>
              </w:rPr>
              <w:t>8(酸性腐蚀品)</w:t>
            </w:r>
          </w:p>
        </w:tc>
        <w:tc>
          <w:tcPr>
            <w:tcW w:w="1276" w:type="dxa"/>
            <w:gridSpan w:val="2"/>
            <w:vAlign w:val="center"/>
          </w:tcPr>
          <w:p>
            <w:pPr>
              <w:jc w:val="center"/>
              <w:rPr>
                <w:color w:val="auto"/>
                <w:sz w:val="21"/>
                <w:szCs w:val="21"/>
              </w:rPr>
            </w:pPr>
            <w:r>
              <w:rPr>
                <w:rFonts w:hint="eastAsia"/>
                <w:color w:val="auto"/>
                <w:sz w:val="21"/>
                <w:szCs w:val="21"/>
              </w:rPr>
              <w:t>主要用途</w:t>
            </w:r>
          </w:p>
        </w:tc>
        <w:tc>
          <w:tcPr>
            <w:tcW w:w="4167" w:type="dxa"/>
            <w:gridSpan w:val="5"/>
            <w:vAlign w:val="center"/>
          </w:tcPr>
          <w:p>
            <w:pPr>
              <w:jc w:val="center"/>
              <w:rPr>
                <w:color w:val="auto"/>
                <w:sz w:val="21"/>
                <w:szCs w:val="21"/>
              </w:rPr>
            </w:pPr>
            <w:r>
              <w:rPr>
                <w:rFonts w:hint="eastAsia"/>
                <w:color w:val="auto"/>
                <w:sz w:val="21"/>
                <w:szCs w:val="21"/>
              </w:rPr>
              <w:t>本品为絮凝剂，主要用于净化饮用水，还用于给水的特殊水质处理、除铁、除镉等。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进入途径</w:t>
            </w:r>
          </w:p>
        </w:tc>
        <w:tc>
          <w:tcPr>
            <w:tcW w:w="7144" w:type="dxa"/>
            <w:gridSpan w:val="8"/>
            <w:vAlign w:val="center"/>
          </w:tcPr>
          <w:p>
            <w:pPr>
              <w:jc w:val="left"/>
              <w:rPr>
                <w:color w:val="auto"/>
                <w:sz w:val="21"/>
                <w:szCs w:val="21"/>
              </w:rPr>
            </w:pPr>
            <w:r>
              <w:rPr>
                <w:rFonts w:hint="eastAsia"/>
                <w:color w:val="auto"/>
                <w:sz w:val="21"/>
                <w:szCs w:val="21"/>
              </w:rPr>
              <w:t>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健康危害</w:t>
            </w:r>
          </w:p>
        </w:tc>
        <w:tc>
          <w:tcPr>
            <w:tcW w:w="7144" w:type="dxa"/>
            <w:gridSpan w:val="8"/>
            <w:vAlign w:val="center"/>
          </w:tcPr>
          <w:p>
            <w:pPr>
              <w:jc w:val="left"/>
              <w:rPr>
                <w:color w:val="auto"/>
                <w:sz w:val="21"/>
                <w:szCs w:val="21"/>
              </w:rPr>
            </w:pPr>
            <w:r>
              <w:rPr>
                <w:rFonts w:hint="eastAsia"/>
                <w:color w:val="auto"/>
                <w:sz w:val="21"/>
                <w:szCs w:val="21"/>
              </w:rPr>
              <w:t>本品对皮肤、粘膜有刺激作用。吸入高浓度可引起支气管炎，个别人引起支气管哮喘。误服量大时，可引起口腔糜烂、胃炎、胃出血和粘膜坏死。慢性影响:长期接触可引起头疼、头晕、食欲减退、咳嗽、鼻塞、胸痛等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毒性</w:t>
            </w:r>
          </w:p>
        </w:tc>
        <w:tc>
          <w:tcPr>
            <w:tcW w:w="7144" w:type="dxa"/>
            <w:gridSpan w:val="8"/>
            <w:vAlign w:val="center"/>
          </w:tcPr>
          <w:p>
            <w:pPr>
              <w:jc w:val="left"/>
              <w:rPr>
                <w:color w:val="auto"/>
                <w:sz w:val="24"/>
                <w:szCs w:val="24"/>
              </w:rPr>
            </w:pPr>
            <w:r>
              <w:rPr>
                <w:rFonts w:hint="eastAsia"/>
                <w:color w:val="auto"/>
                <w:sz w:val="21"/>
                <w:szCs w:val="21"/>
              </w:rPr>
              <w:t>急性毒性：LD</w:t>
            </w:r>
            <w:r>
              <w:rPr>
                <w:rFonts w:hint="eastAsia"/>
                <w:color w:val="auto"/>
                <w:sz w:val="21"/>
                <w:szCs w:val="21"/>
                <w:vertAlign w:val="subscript"/>
              </w:rPr>
              <w:t>50</w:t>
            </w:r>
            <w:r>
              <w:rPr>
                <w:rFonts w:hint="eastAsia"/>
                <w:color w:val="auto"/>
                <w:sz w:val="21"/>
                <w:szCs w:val="21"/>
              </w:rPr>
              <w:t>：3730mg/m</w:t>
            </w:r>
            <w:r>
              <w:rPr>
                <w:rFonts w:hint="eastAsia"/>
                <w:color w:val="auto"/>
                <w:sz w:val="21"/>
                <w:szCs w:val="21"/>
                <w:vertAlign w:val="superscript"/>
              </w:rPr>
              <w:t>3</w:t>
            </w:r>
            <w:r>
              <w:rPr>
                <w:rFonts w:hint="eastAsia"/>
                <w:color w:val="auto"/>
                <w:sz w:val="21"/>
                <w:szCs w:val="21"/>
              </w:rPr>
              <w:t>(大鼠经口)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gridSpan w:val="9"/>
            <w:vAlign w:val="center"/>
          </w:tcPr>
          <w:p>
            <w:pPr>
              <w:jc w:val="center"/>
              <w:rPr>
                <w:b/>
                <w:color w:val="auto"/>
                <w:sz w:val="21"/>
                <w:szCs w:val="21"/>
              </w:rPr>
            </w:pPr>
            <w:r>
              <w:rPr>
                <w:rFonts w:hint="eastAsia"/>
                <w:b/>
                <w:color w:val="auto"/>
                <w:sz w:val="21"/>
                <w:szCs w:val="21"/>
              </w:rPr>
              <w:t>次氯酸钠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CAS号</w:t>
            </w:r>
          </w:p>
        </w:tc>
        <w:tc>
          <w:tcPr>
            <w:tcW w:w="7144" w:type="dxa"/>
            <w:gridSpan w:val="8"/>
            <w:vAlign w:val="center"/>
          </w:tcPr>
          <w:p>
            <w:pPr>
              <w:jc w:val="center"/>
              <w:rPr>
                <w:color w:val="auto"/>
                <w:sz w:val="21"/>
                <w:szCs w:val="21"/>
              </w:rPr>
            </w:pPr>
            <w:r>
              <w:rPr>
                <w:color w:val="auto"/>
                <w:sz w:val="21"/>
                <w:szCs w:val="21"/>
              </w:rPr>
              <w:t>7681-52-9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中文名称</w:t>
            </w:r>
          </w:p>
        </w:tc>
        <w:tc>
          <w:tcPr>
            <w:tcW w:w="7144" w:type="dxa"/>
            <w:gridSpan w:val="8"/>
            <w:vAlign w:val="center"/>
          </w:tcPr>
          <w:p>
            <w:pPr>
              <w:jc w:val="center"/>
              <w:rPr>
                <w:color w:val="auto"/>
                <w:sz w:val="21"/>
                <w:szCs w:val="21"/>
              </w:rPr>
            </w:pPr>
            <w:r>
              <w:rPr>
                <w:rFonts w:hint="eastAsia"/>
                <w:color w:val="auto"/>
                <w:sz w:val="21"/>
                <w:szCs w:val="21"/>
              </w:rPr>
              <w:t>次氯酸钠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英文名称</w:t>
            </w:r>
          </w:p>
        </w:tc>
        <w:tc>
          <w:tcPr>
            <w:tcW w:w="7144" w:type="dxa"/>
            <w:gridSpan w:val="8"/>
            <w:vAlign w:val="center"/>
          </w:tcPr>
          <w:p>
            <w:pPr>
              <w:jc w:val="center"/>
              <w:rPr>
                <w:color w:val="auto"/>
                <w:sz w:val="21"/>
                <w:szCs w:val="21"/>
              </w:rPr>
            </w:pPr>
            <w:r>
              <w:rPr>
                <w:color w:val="auto"/>
                <w:sz w:val="21"/>
                <w:szCs w:val="21"/>
              </w:rPr>
              <w:t>Sodium hypochlorite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分子式</w:t>
            </w:r>
          </w:p>
        </w:tc>
        <w:tc>
          <w:tcPr>
            <w:tcW w:w="2381" w:type="dxa"/>
            <w:gridSpan w:val="2"/>
            <w:vAlign w:val="center"/>
          </w:tcPr>
          <w:p>
            <w:pPr>
              <w:jc w:val="center"/>
              <w:rPr>
                <w:color w:val="auto"/>
                <w:sz w:val="21"/>
                <w:szCs w:val="21"/>
              </w:rPr>
            </w:pPr>
            <w:r>
              <w:rPr>
                <w:color w:val="auto"/>
                <w:sz w:val="21"/>
                <w:szCs w:val="21"/>
              </w:rPr>
              <w:t>ClNaO</w:t>
            </w:r>
          </w:p>
        </w:tc>
        <w:tc>
          <w:tcPr>
            <w:tcW w:w="1730" w:type="dxa"/>
            <w:gridSpan w:val="3"/>
            <w:vAlign w:val="center"/>
          </w:tcPr>
          <w:p>
            <w:pPr>
              <w:jc w:val="center"/>
              <w:rPr>
                <w:color w:val="auto"/>
                <w:sz w:val="21"/>
                <w:szCs w:val="21"/>
              </w:rPr>
            </w:pPr>
            <w:r>
              <w:rPr>
                <w:rFonts w:hint="eastAsia"/>
                <w:color w:val="auto"/>
                <w:sz w:val="21"/>
                <w:szCs w:val="21"/>
              </w:rPr>
              <w:t>外观与性状</w:t>
            </w:r>
          </w:p>
        </w:tc>
        <w:tc>
          <w:tcPr>
            <w:tcW w:w="3033" w:type="dxa"/>
            <w:gridSpan w:val="3"/>
            <w:vAlign w:val="center"/>
          </w:tcPr>
          <w:p>
            <w:pPr>
              <w:jc w:val="center"/>
              <w:rPr>
                <w:color w:val="auto"/>
                <w:sz w:val="21"/>
                <w:szCs w:val="21"/>
              </w:rPr>
            </w:pPr>
            <w:r>
              <w:rPr>
                <w:rFonts w:hint="eastAsia"/>
                <w:color w:val="auto"/>
                <w:sz w:val="21"/>
                <w:szCs w:val="21"/>
              </w:rPr>
              <w:t>微黄色溶液，有似氯气的气味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分子量</w:t>
            </w:r>
          </w:p>
        </w:tc>
        <w:tc>
          <w:tcPr>
            <w:tcW w:w="2381" w:type="dxa"/>
            <w:gridSpan w:val="2"/>
            <w:vAlign w:val="center"/>
          </w:tcPr>
          <w:p>
            <w:pPr>
              <w:jc w:val="center"/>
              <w:rPr>
                <w:color w:val="auto"/>
                <w:sz w:val="21"/>
                <w:szCs w:val="21"/>
              </w:rPr>
            </w:pPr>
            <w:r>
              <w:rPr>
                <w:rFonts w:hint="eastAsia"/>
                <w:color w:val="auto"/>
                <w:sz w:val="21"/>
                <w:szCs w:val="21"/>
              </w:rPr>
              <w:t>74.44</w:t>
            </w:r>
          </w:p>
        </w:tc>
        <w:tc>
          <w:tcPr>
            <w:tcW w:w="1730" w:type="dxa"/>
            <w:gridSpan w:val="3"/>
            <w:vAlign w:val="center"/>
          </w:tcPr>
          <w:p>
            <w:pPr>
              <w:jc w:val="center"/>
              <w:rPr>
                <w:color w:val="auto"/>
                <w:sz w:val="21"/>
                <w:szCs w:val="21"/>
              </w:rPr>
            </w:pPr>
            <w:r>
              <w:rPr>
                <w:rFonts w:hint="eastAsia"/>
                <w:color w:val="auto"/>
                <w:sz w:val="21"/>
                <w:szCs w:val="21"/>
              </w:rPr>
              <w:t>沸点</w:t>
            </w:r>
          </w:p>
        </w:tc>
        <w:tc>
          <w:tcPr>
            <w:tcW w:w="3033" w:type="dxa"/>
            <w:gridSpan w:val="3"/>
            <w:vAlign w:val="center"/>
          </w:tcPr>
          <w:p>
            <w:pPr>
              <w:jc w:val="center"/>
              <w:rPr>
                <w:rFonts w:ascii="宋体" w:hAnsi="宋体" w:cs="宋体"/>
                <w:color w:val="auto"/>
                <w:sz w:val="21"/>
                <w:szCs w:val="21"/>
              </w:rPr>
            </w:pPr>
            <w:r>
              <w:rPr>
                <w:color w:val="auto"/>
                <w:sz w:val="21"/>
                <w:szCs w:val="21"/>
              </w:rPr>
              <w:t>102.2</w:t>
            </w: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熔点</w:t>
            </w:r>
          </w:p>
        </w:tc>
        <w:tc>
          <w:tcPr>
            <w:tcW w:w="2381" w:type="dxa"/>
            <w:gridSpan w:val="2"/>
            <w:vAlign w:val="center"/>
          </w:tcPr>
          <w:p>
            <w:pPr>
              <w:jc w:val="center"/>
              <w:rPr>
                <w:color w:val="auto"/>
                <w:sz w:val="21"/>
                <w:szCs w:val="21"/>
              </w:rPr>
            </w:pPr>
            <w:r>
              <w:rPr>
                <w:rFonts w:hint="eastAsia"/>
                <w:color w:val="auto"/>
                <w:sz w:val="21"/>
                <w:szCs w:val="21"/>
              </w:rPr>
              <w:t>-6</w:t>
            </w:r>
          </w:p>
        </w:tc>
        <w:tc>
          <w:tcPr>
            <w:tcW w:w="1730" w:type="dxa"/>
            <w:gridSpan w:val="3"/>
            <w:vAlign w:val="center"/>
          </w:tcPr>
          <w:p>
            <w:pPr>
              <w:jc w:val="center"/>
              <w:rPr>
                <w:color w:val="auto"/>
                <w:sz w:val="21"/>
                <w:szCs w:val="21"/>
              </w:rPr>
            </w:pPr>
            <w:r>
              <w:rPr>
                <w:rFonts w:hint="eastAsia"/>
                <w:color w:val="auto"/>
                <w:sz w:val="21"/>
                <w:szCs w:val="21"/>
              </w:rPr>
              <w:t>密度</w:t>
            </w:r>
          </w:p>
        </w:tc>
        <w:tc>
          <w:tcPr>
            <w:tcW w:w="3033" w:type="dxa"/>
            <w:gridSpan w:val="3"/>
            <w:vAlign w:val="center"/>
          </w:tcPr>
          <w:p>
            <w:pPr>
              <w:jc w:val="center"/>
              <w:rPr>
                <w:color w:val="auto"/>
                <w:sz w:val="21"/>
                <w:szCs w:val="21"/>
              </w:rPr>
            </w:pPr>
            <w:r>
              <w:rPr>
                <w:rFonts w:hint="eastAsia"/>
                <w:color w:val="auto"/>
                <w:sz w:val="21"/>
                <w:szCs w:val="21"/>
              </w:rPr>
              <w:t>相对密度(=1)1.20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稳定性</w:t>
            </w:r>
          </w:p>
        </w:tc>
        <w:tc>
          <w:tcPr>
            <w:tcW w:w="7144" w:type="dxa"/>
            <w:gridSpan w:val="8"/>
            <w:vAlign w:val="center"/>
          </w:tcPr>
          <w:p>
            <w:pPr>
              <w:jc w:val="center"/>
              <w:rPr>
                <w:color w:val="auto"/>
                <w:sz w:val="21"/>
                <w:szCs w:val="21"/>
              </w:rPr>
            </w:pPr>
            <w:r>
              <w:rPr>
                <w:rFonts w:hint="eastAsia"/>
                <w:color w:val="auto"/>
                <w:sz w:val="21"/>
                <w:szCs w:val="21"/>
              </w:rPr>
              <w:t>不稳定，见光分解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主要用途</w:t>
            </w:r>
          </w:p>
        </w:tc>
        <w:tc>
          <w:tcPr>
            <w:tcW w:w="7144" w:type="dxa"/>
            <w:gridSpan w:val="8"/>
            <w:vAlign w:val="center"/>
          </w:tcPr>
          <w:p>
            <w:pPr>
              <w:jc w:val="left"/>
              <w:rPr>
                <w:color w:val="auto"/>
                <w:sz w:val="21"/>
                <w:szCs w:val="21"/>
              </w:rPr>
            </w:pPr>
            <w:r>
              <w:rPr>
                <w:rFonts w:hint="eastAsia"/>
                <w:color w:val="auto"/>
                <w:sz w:val="21"/>
                <w:szCs w:val="21"/>
              </w:rPr>
              <w:t>强氧化剂，用作漂白剂、氧化剂及水净化剂用于造纸、纺织、轻工业等，具有漂白、杀菌、消毒的作用。</w:t>
            </w:r>
          </w:p>
          <w:p>
            <w:pPr>
              <w:jc w:val="left"/>
              <w:rPr>
                <w:color w:val="auto"/>
                <w:sz w:val="21"/>
                <w:szCs w:val="21"/>
              </w:rPr>
            </w:pPr>
            <w:r>
              <w:rPr>
                <w:rFonts w:hint="eastAsia"/>
                <w:color w:val="auto"/>
                <w:sz w:val="21"/>
                <w:szCs w:val="21"/>
              </w:rPr>
              <w:t>用于水的净化，以及作消毒剂、纸浆漂白等，医药工业中用制氯胺等。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燃烧爆炸性</w:t>
            </w:r>
          </w:p>
        </w:tc>
        <w:tc>
          <w:tcPr>
            <w:tcW w:w="7144" w:type="dxa"/>
            <w:gridSpan w:val="8"/>
            <w:vAlign w:val="center"/>
          </w:tcPr>
          <w:p>
            <w:pPr>
              <w:jc w:val="left"/>
              <w:rPr>
                <w:color w:val="auto"/>
                <w:sz w:val="21"/>
                <w:szCs w:val="21"/>
              </w:rPr>
            </w:pPr>
            <w:r>
              <w:rPr>
                <w:rFonts w:hint="eastAsia"/>
                <w:color w:val="auto"/>
                <w:sz w:val="21"/>
                <w:szCs w:val="21"/>
              </w:rPr>
              <w:t>本品不燃，具腐蚀性，可致人体灼伤，具有致敏性。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毒性</w:t>
            </w:r>
          </w:p>
        </w:tc>
        <w:tc>
          <w:tcPr>
            <w:tcW w:w="7144" w:type="dxa"/>
            <w:gridSpan w:val="8"/>
            <w:vAlign w:val="center"/>
          </w:tcPr>
          <w:p>
            <w:pPr>
              <w:jc w:val="left"/>
              <w:rPr>
                <w:color w:val="auto"/>
                <w:sz w:val="21"/>
                <w:szCs w:val="21"/>
              </w:rPr>
            </w:pPr>
            <w:r>
              <w:rPr>
                <w:rFonts w:hint="eastAsia"/>
                <w:color w:val="auto"/>
                <w:sz w:val="21"/>
                <w:szCs w:val="21"/>
              </w:rPr>
              <w:t>本品放出的游离氯气可引起中毒，也可引起皮肤病。其溶液有腐蚀性，能伤害皮肤。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储运特性</w:t>
            </w:r>
          </w:p>
        </w:tc>
        <w:tc>
          <w:tcPr>
            <w:tcW w:w="7144" w:type="dxa"/>
            <w:gridSpan w:val="8"/>
            <w:vAlign w:val="center"/>
          </w:tcPr>
          <w:p>
            <w:pPr>
              <w:jc w:val="left"/>
              <w:rPr>
                <w:color w:val="auto"/>
                <w:sz w:val="21"/>
                <w:szCs w:val="21"/>
              </w:rPr>
            </w:pPr>
            <w:r>
              <w:rPr>
                <w:rFonts w:hint="eastAsia"/>
                <w:color w:val="auto"/>
                <w:sz w:val="21"/>
                <w:szCs w:val="21"/>
              </w:rPr>
              <w:t>库房通风低温干燥；与易燃物分开存放。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gridSpan w:val="9"/>
            <w:vAlign w:val="center"/>
          </w:tcPr>
          <w:p>
            <w:pPr>
              <w:jc w:val="center"/>
              <w:rPr>
                <w:b/>
                <w:color w:val="auto"/>
                <w:sz w:val="21"/>
                <w:szCs w:val="21"/>
              </w:rPr>
            </w:pPr>
            <w:r>
              <w:rPr>
                <w:rFonts w:hint="eastAsia"/>
                <w:b/>
                <w:color w:val="auto"/>
                <w:sz w:val="21"/>
                <w:szCs w:val="21"/>
              </w:rPr>
              <w:t>氧化钙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CAS号</w:t>
            </w:r>
          </w:p>
        </w:tc>
        <w:tc>
          <w:tcPr>
            <w:tcW w:w="7144" w:type="dxa"/>
            <w:gridSpan w:val="8"/>
            <w:vAlign w:val="center"/>
          </w:tcPr>
          <w:p>
            <w:pPr>
              <w:jc w:val="center"/>
              <w:rPr>
                <w:color w:val="auto"/>
                <w:sz w:val="21"/>
                <w:szCs w:val="21"/>
              </w:rPr>
            </w:pPr>
            <w:r>
              <w:rPr>
                <w:color w:val="auto"/>
                <w:sz w:val="21"/>
                <w:szCs w:val="21"/>
              </w:rPr>
              <w:t>215-138-9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中文名称</w:t>
            </w:r>
          </w:p>
        </w:tc>
        <w:tc>
          <w:tcPr>
            <w:tcW w:w="7144" w:type="dxa"/>
            <w:gridSpan w:val="8"/>
            <w:vAlign w:val="center"/>
          </w:tcPr>
          <w:p>
            <w:pPr>
              <w:jc w:val="center"/>
              <w:rPr>
                <w:color w:val="auto"/>
                <w:sz w:val="21"/>
                <w:szCs w:val="21"/>
              </w:rPr>
            </w:pPr>
            <w:r>
              <w:rPr>
                <w:rFonts w:hint="eastAsia"/>
                <w:color w:val="auto"/>
                <w:sz w:val="21"/>
                <w:szCs w:val="21"/>
              </w:rPr>
              <w:t>氧化钙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英文名称</w:t>
            </w:r>
          </w:p>
        </w:tc>
        <w:tc>
          <w:tcPr>
            <w:tcW w:w="7144" w:type="dxa"/>
            <w:gridSpan w:val="8"/>
            <w:vAlign w:val="center"/>
          </w:tcPr>
          <w:p>
            <w:pPr>
              <w:jc w:val="center"/>
              <w:rPr>
                <w:color w:val="auto"/>
                <w:sz w:val="21"/>
                <w:szCs w:val="21"/>
              </w:rPr>
            </w:pPr>
            <w:r>
              <w:rPr>
                <w:color w:val="auto"/>
                <w:sz w:val="21"/>
                <w:szCs w:val="21"/>
              </w:rPr>
              <w:t>Calcium oxide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分子式</w:t>
            </w:r>
          </w:p>
        </w:tc>
        <w:tc>
          <w:tcPr>
            <w:tcW w:w="3260" w:type="dxa"/>
            <w:gridSpan w:val="4"/>
            <w:vAlign w:val="center"/>
          </w:tcPr>
          <w:p>
            <w:pPr>
              <w:jc w:val="center"/>
              <w:rPr>
                <w:color w:val="auto"/>
                <w:sz w:val="21"/>
                <w:szCs w:val="21"/>
              </w:rPr>
            </w:pPr>
            <w:r>
              <w:rPr>
                <w:color w:val="auto"/>
                <w:sz w:val="21"/>
                <w:szCs w:val="21"/>
              </w:rPr>
              <w:t>CaO</w:t>
            </w:r>
          </w:p>
        </w:tc>
        <w:tc>
          <w:tcPr>
            <w:tcW w:w="1502" w:type="dxa"/>
            <w:gridSpan w:val="2"/>
            <w:vAlign w:val="center"/>
          </w:tcPr>
          <w:p>
            <w:pPr>
              <w:jc w:val="center"/>
              <w:rPr>
                <w:color w:val="auto"/>
                <w:sz w:val="21"/>
                <w:szCs w:val="21"/>
              </w:rPr>
            </w:pPr>
            <w:r>
              <w:rPr>
                <w:rFonts w:hint="eastAsia"/>
                <w:color w:val="auto"/>
                <w:sz w:val="21"/>
                <w:szCs w:val="21"/>
              </w:rPr>
              <w:t>外观与性状</w:t>
            </w:r>
          </w:p>
        </w:tc>
        <w:tc>
          <w:tcPr>
            <w:tcW w:w="2382" w:type="dxa"/>
            <w:gridSpan w:val="2"/>
            <w:vAlign w:val="center"/>
          </w:tcPr>
          <w:p>
            <w:pPr>
              <w:jc w:val="center"/>
              <w:rPr>
                <w:color w:val="auto"/>
                <w:sz w:val="21"/>
                <w:szCs w:val="21"/>
              </w:rPr>
            </w:pPr>
            <w:r>
              <w:rPr>
                <w:rFonts w:hint="eastAsia"/>
                <w:color w:val="auto"/>
                <w:sz w:val="21"/>
                <w:szCs w:val="21"/>
              </w:rPr>
              <w:t>白色固体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分子量</w:t>
            </w:r>
          </w:p>
        </w:tc>
        <w:tc>
          <w:tcPr>
            <w:tcW w:w="3260" w:type="dxa"/>
            <w:gridSpan w:val="4"/>
            <w:vAlign w:val="center"/>
          </w:tcPr>
          <w:p>
            <w:pPr>
              <w:jc w:val="center"/>
              <w:rPr>
                <w:color w:val="auto"/>
                <w:sz w:val="21"/>
                <w:szCs w:val="21"/>
              </w:rPr>
            </w:pPr>
            <w:r>
              <w:rPr>
                <w:color w:val="auto"/>
                <w:sz w:val="21"/>
                <w:szCs w:val="21"/>
              </w:rPr>
              <w:t>56.077</w:t>
            </w:r>
          </w:p>
        </w:tc>
        <w:tc>
          <w:tcPr>
            <w:tcW w:w="1502" w:type="dxa"/>
            <w:gridSpan w:val="2"/>
            <w:vAlign w:val="center"/>
          </w:tcPr>
          <w:p>
            <w:pPr>
              <w:jc w:val="center"/>
              <w:rPr>
                <w:color w:val="auto"/>
                <w:sz w:val="21"/>
                <w:szCs w:val="21"/>
              </w:rPr>
            </w:pPr>
            <w:r>
              <w:rPr>
                <w:rFonts w:hint="eastAsia"/>
                <w:color w:val="auto"/>
                <w:sz w:val="21"/>
                <w:szCs w:val="21"/>
              </w:rPr>
              <w:t>沸点</w:t>
            </w:r>
          </w:p>
        </w:tc>
        <w:tc>
          <w:tcPr>
            <w:tcW w:w="2382" w:type="dxa"/>
            <w:gridSpan w:val="2"/>
            <w:vAlign w:val="center"/>
          </w:tcPr>
          <w:p>
            <w:pPr>
              <w:jc w:val="center"/>
              <w:rPr>
                <w:color w:val="auto"/>
                <w:sz w:val="21"/>
                <w:szCs w:val="21"/>
              </w:rPr>
            </w:pPr>
            <w:r>
              <w:rPr>
                <w:rFonts w:hint="eastAsia"/>
                <w:color w:val="auto"/>
                <w:sz w:val="21"/>
                <w:szCs w:val="21"/>
              </w:rPr>
              <w:t>2850℃（3123K）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熔点</w:t>
            </w:r>
          </w:p>
        </w:tc>
        <w:tc>
          <w:tcPr>
            <w:tcW w:w="3260" w:type="dxa"/>
            <w:gridSpan w:val="4"/>
            <w:vAlign w:val="center"/>
          </w:tcPr>
          <w:p>
            <w:pPr>
              <w:jc w:val="center"/>
              <w:rPr>
                <w:color w:val="auto"/>
                <w:sz w:val="21"/>
                <w:szCs w:val="21"/>
              </w:rPr>
            </w:pPr>
            <w:r>
              <w:rPr>
                <w:rFonts w:hint="eastAsia"/>
                <w:color w:val="auto"/>
                <w:sz w:val="21"/>
                <w:szCs w:val="21"/>
              </w:rPr>
              <w:t>2572℃（2845K）</w:t>
            </w:r>
          </w:p>
        </w:tc>
        <w:tc>
          <w:tcPr>
            <w:tcW w:w="1502" w:type="dxa"/>
            <w:gridSpan w:val="2"/>
            <w:vAlign w:val="center"/>
          </w:tcPr>
          <w:p>
            <w:pPr>
              <w:jc w:val="center"/>
              <w:rPr>
                <w:color w:val="auto"/>
                <w:sz w:val="21"/>
                <w:szCs w:val="21"/>
              </w:rPr>
            </w:pPr>
            <w:r>
              <w:rPr>
                <w:rFonts w:hint="eastAsia"/>
                <w:color w:val="auto"/>
                <w:sz w:val="21"/>
                <w:szCs w:val="21"/>
              </w:rPr>
              <w:t>密度</w:t>
            </w:r>
          </w:p>
        </w:tc>
        <w:tc>
          <w:tcPr>
            <w:tcW w:w="2382" w:type="dxa"/>
            <w:gridSpan w:val="2"/>
            <w:vAlign w:val="center"/>
          </w:tcPr>
          <w:p>
            <w:pPr>
              <w:jc w:val="center"/>
              <w:rPr>
                <w:color w:val="auto"/>
                <w:sz w:val="21"/>
                <w:szCs w:val="21"/>
              </w:rPr>
            </w:pPr>
            <w:r>
              <w:rPr>
                <w:color w:val="auto"/>
                <w:sz w:val="21"/>
                <w:szCs w:val="21"/>
              </w:rPr>
              <w:t>3.350g/cm</w:t>
            </w:r>
            <w:r>
              <w:rPr>
                <w:rFonts w:hint="eastAsia"/>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水溶性</w:t>
            </w:r>
          </w:p>
        </w:tc>
        <w:tc>
          <w:tcPr>
            <w:tcW w:w="3260" w:type="dxa"/>
            <w:gridSpan w:val="4"/>
            <w:vAlign w:val="center"/>
          </w:tcPr>
          <w:p>
            <w:pPr>
              <w:jc w:val="center"/>
              <w:rPr>
                <w:color w:val="auto"/>
                <w:sz w:val="21"/>
                <w:szCs w:val="21"/>
              </w:rPr>
            </w:pPr>
            <w:r>
              <w:rPr>
                <w:rFonts w:hint="eastAsia"/>
                <w:color w:val="auto"/>
                <w:sz w:val="21"/>
                <w:szCs w:val="21"/>
              </w:rPr>
              <w:t>与水反应，生成微溶的氢氧化钙</w:t>
            </w:r>
          </w:p>
        </w:tc>
        <w:tc>
          <w:tcPr>
            <w:tcW w:w="1502" w:type="dxa"/>
            <w:gridSpan w:val="2"/>
            <w:vAlign w:val="center"/>
          </w:tcPr>
          <w:p>
            <w:pPr>
              <w:jc w:val="center"/>
              <w:rPr>
                <w:color w:val="auto"/>
                <w:sz w:val="21"/>
                <w:szCs w:val="21"/>
              </w:rPr>
            </w:pPr>
            <w:r>
              <w:rPr>
                <w:rFonts w:hint="eastAsia"/>
                <w:color w:val="auto"/>
                <w:sz w:val="21"/>
                <w:szCs w:val="21"/>
              </w:rPr>
              <w:t>稳定性</w:t>
            </w:r>
          </w:p>
        </w:tc>
        <w:tc>
          <w:tcPr>
            <w:tcW w:w="2382" w:type="dxa"/>
            <w:gridSpan w:val="2"/>
            <w:vAlign w:val="center"/>
          </w:tcPr>
          <w:p>
            <w:pPr>
              <w:jc w:val="center"/>
              <w:rPr>
                <w:color w:val="auto"/>
                <w:sz w:val="21"/>
                <w:szCs w:val="21"/>
              </w:rPr>
            </w:pPr>
            <w:r>
              <w:rPr>
                <w:rFonts w:hint="eastAsia"/>
                <w:color w:val="auto"/>
                <w:sz w:val="21"/>
                <w:szCs w:val="21"/>
              </w:rPr>
              <w:t>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主要用途</w:t>
            </w:r>
          </w:p>
        </w:tc>
        <w:tc>
          <w:tcPr>
            <w:tcW w:w="7144" w:type="dxa"/>
            <w:gridSpan w:val="8"/>
            <w:vAlign w:val="center"/>
          </w:tcPr>
          <w:p>
            <w:pPr>
              <w:jc w:val="left"/>
              <w:rPr>
                <w:color w:val="auto"/>
                <w:sz w:val="21"/>
                <w:szCs w:val="21"/>
              </w:rPr>
            </w:pPr>
            <w:r>
              <w:rPr>
                <w:rFonts w:hint="eastAsia"/>
                <w:color w:val="auto"/>
                <w:sz w:val="21"/>
                <w:szCs w:val="21"/>
              </w:rPr>
              <w:t>用于钢铁、农药、医药、非铁金属、肥料、制革、制氢氧化钙、实验室氨气的干燥、二氧化碳吸收剂、醇的脱水等。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燃烧爆炸性</w:t>
            </w:r>
          </w:p>
        </w:tc>
        <w:tc>
          <w:tcPr>
            <w:tcW w:w="7144" w:type="dxa"/>
            <w:gridSpan w:val="8"/>
            <w:vAlign w:val="center"/>
          </w:tcPr>
          <w:p>
            <w:pPr>
              <w:jc w:val="left"/>
              <w:rPr>
                <w:color w:val="auto"/>
                <w:sz w:val="21"/>
                <w:szCs w:val="21"/>
              </w:rPr>
            </w:pPr>
            <w:r>
              <w:rPr>
                <w:rFonts w:hint="eastAsia"/>
                <w:color w:val="auto"/>
                <w:sz w:val="21"/>
                <w:szCs w:val="21"/>
              </w:rPr>
              <w:t>粉状氧化钙与水混合可爆炸；与醇的混合物加热会燃烧、爆炸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毒性</w:t>
            </w:r>
          </w:p>
        </w:tc>
        <w:tc>
          <w:tcPr>
            <w:tcW w:w="7144" w:type="dxa"/>
            <w:gridSpan w:val="8"/>
            <w:vAlign w:val="center"/>
          </w:tcPr>
          <w:p>
            <w:pPr>
              <w:jc w:val="left"/>
              <w:rPr>
                <w:color w:val="auto"/>
                <w:sz w:val="21"/>
                <w:szCs w:val="21"/>
              </w:rPr>
            </w:pPr>
            <w:r>
              <w:rPr>
                <w:rFonts w:hint="eastAsia"/>
                <w:color w:val="auto"/>
                <w:sz w:val="21"/>
                <w:szCs w:val="21"/>
              </w:rPr>
              <w:t>本品属碱性氧化物，与人体中的水反应，生成强碱氢氧化钙并放出大量热，有刺激和腐蚀作用。对呼吸道有强烈刺激性，吸入本品粉尘可致化学性肺炎。对眼和皮肤有强烈刺激性，可致灼伤。口服刺激和灼伤消化道。长期接触本品可致手掌皮肤角化、皲裂、指变形（匙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gridSpan w:val="9"/>
            <w:vAlign w:val="center"/>
          </w:tcPr>
          <w:p>
            <w:pPr>
              <w:jc w:val="center"/>
              <w:rPr>
                <w:b/>
                <w:color w:val="auto"/>
                <w:sz w:val="21"/>
                <w:szCs w:val="21"/>
              </w:rPr>
            </w:pPr>
            <w:r>
              <w:rPr>
                <w:rFonts w:hint="eastAsia"/>
                <w:b/>
                <w:color w:val="auto"/>
                <w:sz w:val="21"/>
                <w:szCs w:val="21"/>
              </w:rPr>
              <w:t>聚合硫酸铁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CAS号</w:t>
            </w:r>
          </w:p>
        </w:tc>
        <w:tc>
          <w:tcPr>
            <w:tcW w:w="7144" w:type="dxa"/>
            <w:gridSpan w:val="8"/>
            <w:vAlign w:val="center"/>
          </w:tcPr>
          <w:p>
            <w:pPr>
              <w:jc w:val="center"/>
              <w:rPr>
                <w:color w:val="auto"/>
                <w:sz w:val="21"/>
                <w:szCs w:val="21"/>
              </w:rPr>
            </w:pPr>
            <w:r>
              <w:rPr>
                <w:color w:val="auto"/>
                <w:sz w:val="22"/>
                <w:szCs w:val="22"/>
              </w:rPr>
              <w:t>10028-22-5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中文名称</w:t>
            </w:r>
          </w:p>
        </w:tc>
        <w:tc>
          <w:tcPr>
            <w:tcW w:w="7144" w:type="dxa"/>
            <w:gridSpan w:val="8"/>
            <w:vAlign w:val="center"/>
          </w:tcPr>
          <w:p>
            <w:pPr>
              <w:jc w:val="center"/>
              <w:rPr>
                <w:color w:val="auto"/>
                <w:sz w:val="21"/>
                <w:szCs w:val="21"/>
              </w:rPr>
            </w:pPr>
            <w:r>
              <w:rPr>
                <w:rFonts w:hint="eastAsia"/>
                <w:color w:val="auto"/>
                <w:sz w:val="21"/>
                <w:szCs w:val="21"/>
              </w:rPr>
              <w:t>聚合硫酸铁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英文名称</w:t>
            </w:r>
          </w:p>
        </w:tc>
        <w:tc>
          <w:tcPr>
            <w:tcW w:w="7144" w:type="dxa"/>
            <w:gridSpan w:val="8"/>
            <w:vAlign w:val="center"/>
          </w:tcPr>
          <w:p>
            <w:pPr>
              <w:jc w:val="center"/>
              <w:rPr>
                <w:color w:val="auto"/>
                <w:sz w:val="21"/>
                <w:szCs w:val="21"/>
              </w:rPr>
            </w:pPr>
            <w:r>
              <w:rPr>
                <w:color w:val="auto"/>
                <w:sz w:val="21"/>
                <w:szCs w:val="21"/>
              </w:rPr>
              <w:t>Ferric sulfate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分子式</w:t>
            </w:r>
          </w:p>
        </w:tc>
        <w:tc>
          <w:tcPr>
            <w:tcW w:w="7144" w:type="dxa"/>
            <w:gridSpan w:val="8"/>
            <w:vAlign w:val="center"/>
          </w:tcPr>
          <w:p>
            <w:pPr>
              <w:jc w:val="center"/>
              <w:rPr>
                <w:color w:val="auto"/>
                <w:sz w:val="21"/>
                <w:szCs w:val="21"/>
              </w:rPr>
            </w:pPr>
            <w:r>
              <w:rPr>
                <w:rFonts w:hint="eastAsia"/>
                <w:color w:val="auto"/>
                <w:sz w:val="21"/>
                <w:szCs w:val="21"/>
              </w:rPr>
              <w:t>[Fe2(OH)n(SO4)3-n/2]m (其中n&lt;2, m=f(n))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外观与性状</w:t>
            </w:r>
          </w:p>
        </w:tc>
        <w:tc>
          <w:tcPr>
            <w:tcW w:w="7144" w:type="dxa"/>
            <w:gridSpan w:val="8"/>
            <w:vAlign w:val="center"/>
          </w:tcPr>
          <w:p>
            <w:pPr>
              <w:jc w:val="center"/>
              <w:rPr>
                <w:color w:val="auto"/>
                <w:sz w:val="21"/>
                <w:szCs w:val="21"/>
              </w:rPr>
            </w:pPr>
            <w:r>
              <w:rPr>
                <w:rFonts w:hint="eastAsia"/>
                <w:color w:val="auto"/>
                <w:sz w:val="21"/>
                <w:szCs w:val="21"/>
              </w:rPr>
              <w:t>黄色或红褐色无定形粉末或颗粒状固体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熔点</w:t>
            </w:r>
          </w:p>
        </w:tc>
        <w:tc>
          <w:tcPr>
            <w:tcW w:w="4111" w:type="dxa"/>
            <w:gridSpan w:val="5"/>
            <w:vAlign w:val="center"/>
          </w:tcPr>
          <w:p>
            <w:pPr>
              <w:jc w:val="center"/>
              <w:rPr>
                <w:color w:val="auto"/>
                <w:sz w:val="21"/>
                <w:szCs w:val="21"/>
              </w:rPr>
            </w:pPr>
            <w:r>
              <w:rPr>
                <w:color w:val="auto"/>
                <w:sz w:val="21"/>
                <w:szCs w:val="21"/>
              </w:rPr>
              <w:t>190(253kPa)</w:t>
            </w:r>
          </w:p>
        </w:tc>
        <w:tc>
          <w:tcPr>
            <w:tcW w:w="850" w:type="dxa"/>
            <w:gridSpan w:val="2"/>
            <w:vAlign w:val="center"/>
          </w:tcPr>
          <w:p>
            <w:pPr>
              <w:jc w:val="center"/>
              <w:rPr>
                <w:color w:val="auto"/>
                <w:sz w:val="21"/>
                <w:szCs w:val="21"/>
              </w:rPr>
            </w:pPr>
            <w:r>
              <w:rPr>
                <w:rFonts w:hint="eastAsia"/>
                <w:color w:val="auto"/>
                <w:sz w:val="21"/>
                <w:szCs w:val="21"/>
              </w:rPr>
              <w:t>密度</w:t>
            </w:r>
          </w:p>
        </w:tc>
        <w:tc>
          <w:tcPr>
            <w:tcW w:w="2183" w:type="dxa"/>
            <w:vAlign w:val="center"/>
          </w:tcPr>
          <w:p>
            <w:pPr>
              <w:jc w:val="left"/>
              <w:rPr>
                <w:color w:val="auto"/>
                <w:sz w:val="21"/>
                <w:szCs w:val="21"/>
              </w:rPr>
            </w:pPr>
            <w:r>
              <w:rPr>
                <w:rFonts w:hint="eastAsia"/>
                <w:color w:val="auto"/>
                <w:sz w:val="21"/>
                <w:szCs w:val="21"/>
              </w:rPr>
              <w:t>相对密度(水=1)：2.44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溶解性</w:t>
            </w:r>
          </w:p>
        </w:tc>
        <w:tc>
          <w:tcPr>
            <w:tcW w:w="4111" w:type="dxa"/>
            <w:gridSpan w:val="5"/>
            <w:vAlign w:val="center"/>
          </w:tcPr>
          <w:p>
            <w:pPr>
              <w:jc w:val="center"/>
              <w:rPr>
                <w:color w:val="auto"/>
                <w:sz w:val="21"/>
                <w:szCs w:val="21"/>
              </w:rPr>
            </w:pPr>
            <w:r>
              <w:rPr>
                <w:rFonts w:hint="eastAsia"/>
                <w:color w:val="auto"/>
                <w:sz w:val="21"/>
                <w:szCs w:val="21"/>
              </w:rPr>
              <w:t>易溶于水、醇、氯仿、四氯化碳，微溶于苯。</w:t>
            </w:r>
          </w:p>
        </w:tc>
        <w:tc>
          <w:tcPr>
            <w:tcW w:w="850" w:type="dxa"/>
            <w:gridSpan w:val="2"/>
            <w:vAlign w:val="center"/>
          </w:tcPr>
          <w:p>
            <w:pPr>
              <w:jc w:val="left"/>
              <w:rPr>
                <w:color w:val="auto"/>
                <w:sz w:val="21"/>
                <w:szCs w:val="21"/>
              </w:rPr>
            </w:pPr>
            <w:r>
              <w:rPr>
                <w:rFonts w:hint="eastAsia"/>
                <w:color w:val="auto"/>
                <w:sz w:val="21"/>
                <w:szCs w:val="21"/>
              </w:rPr>
              <w:t>稳定性</w:t>
            </w:r>
          </w:p>
        </w:tc>
        <w:tc>
          <w:tcPr>
            <w:tcW w:w="2183" w:type="dxa"/>
            <w:vAlign w:val="center"/>
          </w:tcPr>
          <w:p>
            <w:pPr>
              <w:jc w:val="center"/>
              <w:rPr>
                <w:color w:val="auto"/>
                <w:sz w:val="21"/>
                <w:szCs w:val="21"/>
              </w:rPr>
            </w:pPr>
            <w:r>
              <w:rPr>
                <w:rFonts w:hint="eastAsia"/>
                <w:color w:val="auto"/>
                <w:sz w:val="21"/>
                <w:szCs w:val="21"/>
              </w:rPr>
              <w:t>比较稳定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主要用途</w:t>
            </w:r>
          </w:p>
        </w:tc>
        <w:tc>
          <w:tcPr>
            <w:tcW w:w="7144" w:type="dxa"/>
            <w:gridSpan w:val="8"/>
            <w:vAlign w:val="center"/>
          </w:tcPr>
          <w:p>
            <w:pPr>
              <w:jc w:val="left"/>
              <w:rPr>
                <w:color w:val="auto"/>
                <w:sz w:val="21"/>
                <w:szCs w:val="21"/>
              </w:rPr>
            </w:pPr>
            <w:r>
              <w:rPr>
                <w:rFonts w:hint="eastAsia"/>
                <w:color w:val="auto"/>
                <w:sz w:val="21"/>
                <w:szCs w:val="21"/>
              </w:rPr>
              <w:t>用于制颜料、药物，并用作媒染剂、净水剂等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燃烧爆炸性</w:t>
            </w:r>
          </w:p>
        </w:tc>
        <w:tc>
          <w:tcPr>
            <w:tcW w:w="7144" w:type="dxa"/>
            <w:gridSpan w:val="8"/>
            <w:vAlign w:val="center"/>
          </w:tcPr>
          <w:p>
            <w:pPr>
              <w:jc w:val="left"/>
              <w:rPr>
                <w:color w:val="auto"/>
                <w:sz w:val="21"/>
                <w:szCs w:val="21"/>
              </w:rPr>
            </w:pPr>
            <w:r>
              <w:rPr>
                <w:rFonts w:hint="eastAsia"/>
                <w:color w:val="auto"/>
                <w:sz w:val="21"/>
                <w:szCs w:val="21"/>
              </w:rPr>
              <w:t>不可燃烧；火场产生有毒含铁, 硫氧化物烟雾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jc w:val="center"/>
              <w:rPr>
                <w:color w:val="auto"/>
                <w:sz w:val="21"/>
                <w:szCs w:val="21"/>
              </w:rPr>
            </w:pPr>
            <w:r>
              <w:rPr>
                <w:rFonts w:hint="eastAsia"/>
                <w:color w:val="auto"/>
                <w:sz w:val="21"/>
                <w:szCs w:val="21"/>
              </w:rPr>
              <w:t>毒性</w:t>
            </w:r>
          </w:p>
        </w:tc>
        <w:tc>
          <w:tcPr>
            <w:tcW w:w="7144" w:type="dxa"/>
            <w:gridSpan w:val="8"/>
            <w:vAlign w:val="center"/>
          </w:tcPr>
          <w:p>
            <w:pPr>
              <w:jc w:val="left"/>
              <w:rPr>
                <w:color w:val="auto"/>
                <w:sz w:val="21"/>
                <w:szCs w:val="21"/>
              </w:rPr>
            </w:pPr>
            <w:r>
              <w:rPr>
                <w:rFonts w:hint="eastAsia"/>
                <w:color w:val="auto"/>
                <w:sz w:val="21"/>
                <w:szCs w:val="21"/>
              </w:rPr>
              <w:t>急性毒性：LD</w:t>
            </w:r>
            <w:r>
              <w:rPr>
                <w:rFonts w:hint="eastAsia"/>
                <w:color w:val="auto"/>
                <w:sz w:val="21"/>
                <w:szCs w:val="21"/>
                <w:vertAlign w:val="subscript"/>
              </w:rPr>
              <w:t>50</w:t>
            </w:r>
            <w:r>
              <w:rPr>
                <w:rFonts w:hint="eastAsia"/>
                <w:color w:val="auto"/>
                <w:sz w:val="21"/>
                <w:szCs w:val="21"/>
              </w:rPr>
              <w:t>：3730 mg/kg(大鼠经口)；LC</w:t>
            </w:r>
            <w:r>
              <w:rPr>
                <w:rFonts w:hint="eastAsia"/>
                <w:color w:val="auto"/>
                <w:sz w:val="21"/>
                <w:szCs w:val="21"/>
                <w:vertAlign w:val="subscript"/>
              </w:rPr>
              <w:t>50</w:t>
            </w:r>
            <w:r>
              <w:rPr>
                <w:rFonts w:hint="eastAsia"/>
                <w:color w:val="auto"/>
                <w:sz w:val="21"/>
                <w:szCs w:val="21"/>
              </w:rPr>
              <w:t>：QYSEM-0810</w:t>
            </w:r>
          </w:p>
        </w:tc>
      </w:tr>
    </w:tbl>
    <w:p>
      <w:pPr>
        <w:spacing w:line="360" w:lineRule="auto"/>
        <w:ind w:firstLine="480" w:firstLineChars="200"/>
        <w:rPr>
          <w:color w:val="auto"/>
          <w:sz w:val="24"/>
          <w:szCs w:val="24"/>
        </w:rPr>
      </w:pPr>
      <w:r>
        <w:rPr>
          <w:rFonts w:hint="eastAsia"/>
          <w:color w:val="auto"/>
          <w:sz w:val="24"/>
          <w:szCs w:val="24"/>
        </w:rPr>
        <w:t>本项目危险化学品主要以溶液形式贮存，生态毒性及环境危害性有所降低。据分析，本项目主要物质风险性为：①NaClO溶液、石灰泄露对周围物体造成腐蚀或对工作人员造成灼伤；②若厂区发生火灾事故，NaClO溶液受高热分解会产生有毒的腐蚀性烟气，将扩散入周边大气环境。</w:t>
      </w:r>
    </w:p>
    <w:p>
      <w:pPr>
        <w:spacing w:line="360" w:lineRule="auto"/>
        <w:ind w:firstLine="482" w:firstLineChars="200"/>
        <w:rPr>
          <w:b/>
          <w:color w:val="auto"/>
          <w:sz w:val="24"/>
          <w:szCs w:val="24"/>
        </w:rPr>
      </w:pPr>
      <w:r>
        <w:rPr>
          <w:rFonts w:hint="eastAsia"/>
          <w:b/>
          <w:color w:val="auto"/>
          <w:sz w:val="24"/>
          <w:szCs w:val="24"/>
        </w:rPr>
        <w:t>2、生产系统危险性识别</w:t>
      </w:r>
    </w:p>
    <w:p>
      <w:pPr>
        <w:spacing w:line="360" w:lineRule="auto"/>
        <w:ind w:firstLine="480" w:firstLineChars="200"/>
        <w:rPr>
          <w:color w:val="auto"/>
          <w:sz w:val="24"/>
          <w:szCs w:val="24"/>
        </w:rPr>
      </w:pPr>
      <w:r>
        <w:rPr>
          <w:rFonts w:hint="eastAsia"/>
          <w:color w:val="auto"/>
          <w:sz w:val="24"/>
          <w:szCs w:val="24"/>
        </w:rPr>
        <w:t>（1）工艺设施风险因素分析</w:t>
      </w:r>
    </w:p>
    <w:p>
      <w:pPr>
        <w:spacing w:line="360" w:lineRule="auto"/>
        <w:ind w:firstLine="480" w:firstLineChars="200"/>
        <w:rPr>
          <w:color w:val="auto"/>
          <w:sz w:val="24"/>
          <w:szCs w:val="24"/>
        </w:rPr>
      </w:pPr>
      <w:r>
        <w:rPr>
          <w:rFonts w:hint="eastAsia"/>
          <w:color w:val="auto"/>
          <w:sz w:val="24"/>
          <w:szCs w:val="24"/>
        </w:rPr>
        <w:t>生产设施风险识别的范围包括生产装置、贮运系统、环保设施及辅助生产设施等。通过对本项目生产车间的工艺过程以及生产辅助系统、贮运系统的源项识别，分析确定项目存在的主要危险有害因素是火灾、泄漏事故。</w:t>
      </w:r>
    </w:p>
    <w:p>
      <w:pPr>
        <w:spacing w:line="360" w:lineRule="auto"/>
        <w:ind w:firstLine="480" w:firstLineChars="200"/>
        <w:rPr>
          <w:color w:val="auto"/>
          <w:sz w:val="24"/>
          <w:szCs w:val="24"/>
        </w:rPr>
      </w:pPr>
      <w:r>
        <w:rPr>
          <w:rFonts w:hint="eastAsia"/>
          <w:color w:val="auto"/>
          <w:sz w:val="24"/>
          <w:szCs w:val="24"/>
        </w:rPr>
        <w:t>（2）储存过程的潜在风险</w:t>
      </w:r>
    </w:p>
    <w:p>
      <w:pPr>
        <w:spacing w:line="360" w:lineRule="auto"/>
        <w:ind w:firstLine="480" w:firstLineChars="200"/>
        <w:rPr>
          <w:color w:val="auto"/>
          <w:sz w:val="24"/>
          <w:szCs w:val="24"/>
        </w:rPr>
      </w:pPr>
      <w:r>
        <w:rPr>
          <w:rFonts w:hint="eastAsia"/>
          <w:color w:val="auto"/>
          <w:sz w:val="24"/>
          <w:szCs w:val="24"/>
        </w:rPr>
        <w:t>项目涉及的危险化学品在储存的过程中因包装、设备、储罐、管道、阀门破裂等因素，会造成泄漏事故，泄漏后可能给操作人员身体健康造成伤害，且使周围局部环境空气或者水体受到污染，严重时可引起爆炸。</w:t>
      </w:r>
    </w:p>
    <w:p>
      <w:pPr>
        <w:spacing w:line="360" w:lineRule="auto"/>
        <w:ind w:firstLine="480" w:firstLineChars="200"/>
        <w:rPr>
          <w:color w:val="auto"/>
          <w:sz w:val="24"/>
          <w:szCs w:val="24"/>
        </w:rPr>
      </w:pPr>
      <w:r>
        <w:rPr>
          <w:rFonts w:hint="eastAsia"/>
          <w:color w:val="auto"/>
          <w:sz w:val="24"/>
          <w:szCs w:val="24"/>
        </w:rPr>
        <w:t>（3）水处理设施事故状态分析</w:t>
      </w:r>
    </w:p>
    <w:p>
      <w:pPr>
        <w:spacing w:line="360" w:lineRule="auto"/>
        <w:ind w:firstLine="480" w:firstLineChars="200"/>
        <w:rPr>
          <w:color w:val="auto"/>
          <w:sz w:val="24"/>
          <w:szCs w:val="24"/>
        </w:rPr>
      </w:pPr>
      <w:r>
        <w:rPr>
          <w:rFonts w:hint="eastAsia"/>
          <w:color w:val="auto"/>
          <w:sz w:val="24"/>
          <w:szCs w:val="24"/>
        </w:rPr>
        <w:t>本项目为水质净化厂新建项目，运营过程中若发生集水管网由于管道堵塞、破裂和管道接头处的破损，可能造成污水外溢，污染地下水；由于设备破损等原因使污水处理系统无法正常运行，可能造成受纳污水未经处理直接外排。以上两种情况下最不利情况为短时间内全部污水不经处理直接排入外环境，其水质即为污水处理工程进水水质，若发生外排或下渗情况，将对周边环境造成影响。</w:t>
      </w:r>
    </w:p>
    <w:p>
      <w:pPr>
        <w:spacing w:line="360" w:lineRule="auto"/>
        <w:ind w:firstLine="482" w:firstLineChars="200"/>
        <w:rPr>
          <w:b/>
          <w:color w:val="auto"/>
          <w:sz w:val="24"/>
          <w:szCs w:val="24"/>
        </w:rPr>
      </w:pPr>
      <w:r>
        <w:rPr>
          <w:rFonts w:hint="eastAsia"/>
          <w:b/>
          <w:color w:val="auto"/>
          <w:sz w:val="24"/>
          <w:szCs w:val="24"/>
        </w:rPr>
        <w:t>3、危险物质向环境转移的途径识别</w:t>
      </w:r>
    </w:p>
    <w:p>
      <w:pPr>
        <w:spacing w:line="360" w:lineRule="auto"/>
        <w:ind w:firstLine="480" w:firstLineChars="200"/>
        <w:rPr>
          <w:color w:val="auto"/>
          <w:sz w:val="24"/>
          <w:szCs w:val="24"/>
        </w:rPr>
      </w:pPr>
      <w:r>
        <w:rPr>
          <w:rFonts w:hint="eastAsia"/>
          <w:color w:val="auto"/>
          <w:sz w:val="24"/>
          <w:szCs w:val="24"/>
        </w:rPr>
        <w:t>大气扩散：本项目有毒有害物质泄漏后直接进入大气环境或挥发进入大气环境，或者易燃易爆物质泄漏发生火灾爆炸事故时伴生污染物进入大气环境，通过大气扩散对项目周围环境造成危害。</w:t>
      </w:r>
    </w:p>
    <w:p>
      <w:pPr>
        <w:spacing w:line="360" w:lineRule="auto"/>
        <w:ind w:firstLine="480" w:firstLineChars="200"/>
        <w:rPr>
          <w:color w:val="auto"/>
          <w:sz w:val="24"/>
          <w:szCs w:val="24"/>
        </w:rPr>
      </w:pPr>
      <w:r>
        <w:rPr>
          <w:rFonts w:hint="eastAsia"/>
          <w:color w:val="auto"/>
          <w:sz w:val="24"/>
          <w:szCs w:val="24"/>
        </w:rPr>
        <w:t>水环境扩散：非正常工况废水排放主要包括以下几个方面：进水水量、水质超标，停电，关键性设备故障等，非正常工况废水排放会使项目尾水超标排放，对受纳水体造成不利影响。此外，污水处理设施池体、管道泄露等情况也可能对区域地下水环境造成不良影响。</w:t>
      </w:r>
    </w:p>
    <w:p>
      <w:pPr>
        <w:spacing w:line="360" w:lineRule="auto"/>
        <w:ind w:firstLine="482" w:firstLineChars="200"/>
        <w:rPr>
          <w:b/>
          <w:color w:val="auto"/>
          <w:sz w:val="24"/>
          <w:szCs w:val="24"/>
        </w:rPr>
      </w:pPr>
      <w:r>
        <w:rPr>
          <w:rFonts w:hint="eastAsia"/>
          <w:b/>
          <w:color w:val="auto"/>
          <w:sz w:val="24"/>
          <w:szCs w:val="24"/>
        </w:rPr>
        <w:t>4、风险识别结果</w:t>
      </w:r>
    </w:p>
    <w:p>
      <w:pPr>
        <w:spacing w:line="360" w:lineRule="auto"/>
        <w:ind w:firstLine="480" w:firstLineChars="200"/>
        <w:rPr>
          <w:color w:val="auto"/>
          <w:sz w:val="24"/>
          <w:szCs w:val="24"/>
        </w:rPr>
      </w:pPr>
      <w:r>
        <w:rPr>
          <w:rFonts w:hint="eastAsia"/>
          <w:color w:val="auto"/>
          <w:sz w:val="24"/>
          <w:szCs w:val="24"/>
        </w:rPr>
        <w:t>根据本项目所涉及的有毒有害、易燃易爆物质危险性识别和生产过程潜在危险性识别结果，本项目环境风险识别详见下表。</w:t>
      </w:r>
    </w:p>
    <w:p>
      <w:pPr>
        <w:spacing w:line="360" w:lineRule="auto"/>
        <w:jc w:val="center"/>
        <w:rPr>
          <w:b/>
          <w:color w:val="auto"/>
          <w:sz w:val="24"/>
          <w:szCs w:val="24"/>
        </w:rPr>
      </w:pPr>
      <w:r>
        <w:rPr>
          <w:rFonts w:hint="eastAsia"/>
          <w:b/>
          <w:color w:val="auto"/>
          <w:sz w:val="24"/>
          <w:szCs w:val="24"/>
        </w:rPr>
        <w:t>表5-2-35   项目环境风险识别表</w:t>
      </w:r>
    </w:p>
    <w:tbl>
      <w:tblPr>
        <w:tblStyle w:val="29"/>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1418"/>
        <w:gridCol w:w="1134"/>
        <w:gridCol w:w="1559"/>
        <w:gridCol w:w="113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b/>
                <w:color w:val="auto"/>
                <w:sz w:val="21"/>
                <w:szCs w:val="21"/>
              </w:rPr>
            </w:pPr>
            <w:r>
              <w:rPr>
                <w:rFonts w:hint="eastAsia"/>
                <w:b/>
                <w:color w:val="auto"/>
                <w:sz w:val="21"/>
                <w:szCs w:val="21"/>
              </w:rPr>
              <w:t>序号</w:t>
            </w:r>
          </w:p>
        </w:tc>
        <w:tc>
          <w:tcPr>
            <w:tcW w:w="1134" w:type="dxa"/>
            <w:vAlign w:val="center"/>
          </w:tcPr>
          <w:p>
            <w:pPr>
              <w:jc w:val="center"/>
              <w:rPr>
                <w:b/>
                <w:color w:val="auto"/>
                <w:sz w:val="21"/>
                <w:szCs w:val="21"/>
              </w:rPr>
            </w:pPr>
            <w:r>
              <w:rPr>
                <w:rFonts w:hint="eastAsia"/>
                <w:b/>
                <w:color w:val="auto"/>
                <w:sz w:val="21"/>
                <w:szCs w:val="21"/>
              </w:rPr>
              <w:t>危险单元</w:t>
            </w:r>
          </w:p>
        </w:tc>
        <w:tc>
          <w:tcPr>
            <w:tcW w:w="1418" w:type="dxa"/>
            <w:vAlign w:val="center"/>
          </w:tcPr>
          <w:p>
            <w:pPr>
              <w:jc w:val="center"/>
              <w:rPr>
                <w:b/>
                <w:color w:val="auto"/>
                <w:sz w:val="21"/>
                <w:szCs w:val="21"/>
              </w:rPr>
            </w:pPr>
            <w:r>
              <w:rPr>
                <w:rFonts w:hint="eastAsia"/>
                <w:b/>
                <w:color w:val="auto"/>
                <w:sz w:val="21"/>
                <w:szCs w:val="21"/>
              </w:rPr>
              <w:t>风险源</w:t>
            </w:r>
          </w:p>
        </w:tc>
        <w:tc>
          <w:tcPr>
            <w:tcW w:w="1134" w:type="dxa"/>
            <w:vAlign w:val="center"/>
          </w:tcPr>
          <w:p>
            <w:pPr>
              <w:jc w:val="center"/>
              <w:rPr>
                <w:b/>
                <w:color w:val="auto"/>
                <w:sz w:val="21"/>
                <w:szCs w:val="21"/>
              </w:rPr>
            </w:pPr>
            <w:r>
              <w:rPr>
                <w:rFonts w:hint="eastAsia"/>
                <w:b/>
                <w:color w:val="auto"/>
                <w:sz w:val="21"/>
                <w:szCs w:val="21"/>
              </w:rPr>
              <w:t>主要危险物质</w:t>
            </w:r>
          </w:p>
        </w:tc>
        <w:tc>
          <w:tcPr>
            <w:tcW w:w="1559" w:type="dxa"/>
            <w:vAlign w:val="center"/>
          </w:tcPr>
          <w:p>
            <w:pPr>
              <w:jc w:val="center"/>
              <w:rPr>
                <w:b/>
                <w:color w:val="auto"/>
                <w:sz w:val="21"/>
                <w:szCs w:val="21"/>
              </w:rPr>
            </w:pPr>
            <w:r>
              <w:rPr>
                <w:rFonts w:hint="eastAsia"/>
                <w:b/>
                <w:color w:val="auto"/>
                <w:sz w:val="21"/>
                <w:szCs w:val="21"/>
              </w:rPr>
              <w:t>环境风险类型</w:t>
            </w:r>
          </w:p>
        </w:tc>
        <w:tc>
          <w:tcPr>
            <w:tcW w:w="1134" w:type="dxa"/>
            <w:vAlign w:val="center"/>
          </w:tcPr>
          <w:p>
            <w:pPr>
              <w:jc w:val="center"/>
              <w:rPr>
                <w:b/>
                <w:color w:val="auto"/>
                <w:sz w:val="21"/>
                <w:szCs w:val="21"/>
              </w:rPr>
            </w:pPr>
            <w:r>
              <w:rPr>
                <w:rFonts w:hint="eastAsia"/>
                <w:b/>
                <w:color w:val="auto"/>
                <w:sz w:val="21"/>
                <w:szCs w:val="21"/>
              </w:rPr>
              <w:t>环境影响途径</w:t>
            </w:r>
          </w:p>
        </w:tc>
        <w:tc>
          <w:tcPr>
            <w:tcW w:w="1701" w:type="dxa"/>
            <w:vAlign w:val="center"/>
          </w:tcPr>
          <w:p>
            <w:pPr>
              <w:jc w:val="center"/>
              <w:rPr>
                <w:b/>
                <w:color w:val="auto"/>
                <w:sz w:val="21"/>
                <w:szCs w:val="21"/>
              </w:rPr>
            </w:pPr>
            <w:r>
              <w:rPr>
                <w:rFonts w:hint="eastAsia"/>
                <w:b/>
                <w:color w:val="auto"/>
                <w:sz w:val="21"/>
                <w:szCs w:val="21"/>
              </w:rPr>
              <w:t>可能受影响的环境敏感目标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color w:val="auto"/>
                <w:sz w:val="21"/>
                <w:szCs w:val="21"/>
              </w:rPr>
            </w:pPr>
            <w:r>
              <w:rPr>
                <w:rFonts w:hint="eastAsia"/>
                <w:color w:val="auto"/>
                <w:sz w:val="21"/>
                <w:szCs w:val="21"/>
              </w:rPr>
              <w:t>1</w:t>
            </w:r>
          </w:p>
        </w:tc>
        <w:tc>
          <w:tcPr>
            <w:tcW w:w="1134" w:type="dxa"/>
            <w:vAlign w:val="center"/>
          </w:tcPr>
          <w:p>
            <w:pPr>
              <w:jc w:val="center"/>
              <w:rPr>
                <w:color w:val="auto"/>
                <w:sz w:val="21"/>
                <w:szCs w:val="21"/>
              </w:rPr>
            </w:pPr>
            <w:r>
              <w:rPr>
                <w:rFonts w:hint="eastAsia"/>
                <w:color w:val="auto"/>
                <w:sz w:val="21"/>
                <w:szCs w:val="21"/>
              </w:rPr>
              <w:t>加药间</w:t>
            </w:r>
          </w:p>
        </w:tc>
        <w:tc>
          <w:tcPr>
            <w:tcW w:w="1418" w:type="dxa"/>
            <w:vAlign w:val="center"/>
          </w:tcPr>
          <w:p>
            <w:pPr>
              <w:jc w:val="center"/>
              <w:rPr>
                <w:color w:val="auto"/>
                <w:sz w:val="21"/>
                <w:szCs w:val="21"/>
              </w:rPr>
            </w:pPr>
            <w:r>
              <w:rPr>
                <w:rFonts w:hint="eastAsia"/>
                <w:color w:val="auto"/>
                <w:sz w:val="21"/>
                <w:szCs w:val="21"/>
              </w:rPr>
              <w:t>化学品储存区</w:t>
            </w:r>
          </w:p>
        </w:tc>
        <w:tc>
          <w:tcPr>
            <w:tcW w:w="1134" w:type="dxa"/>
            <w:vAlign w:val="center"/>
          </w:tcPr>
          <w:p>
            <w:pPr>
              <w:jc w:val="center"/>
              <w:rPr>
                <w:color w:val="auto"/>
                <w:sz w:val="21"/>
                <w:szCs w:val="21"/>
              </w:rPr>
            </w:pPr>
            <w:r>
              <w:rPr>
                <w:rFonts w:hint="eastAsia"/>
                <w:color w:val="auto"/>
                <w:sz w:val="21"/>
                <w:szCs w:val="21"/>
              </w:rPr>
              <w:t>NaClO溶液、石灰</w:t>
            </w:r>
          </w:p>
        </w:tc>
        <w:tc>
          <w:tcPr>
            <w:tcW w:w="1559" w:type="dxa"/>
            <w:vAlign w:val="center"/>
          </w:tcPr>
          <w:p>
            <w:pPr>
              <w:jc w:val="center"/>
              <w:rPr>
                <w:color w:val="auto"/>
                <w:sz w:val="21"/>
                <w:szCs w:val="21"/>
              </w:rPr>
            </w:pPr>
            <w:r>
              <w:rPr>
                <w:rFonts w:hint="eastAsia"/>
                <w:color w:val="auto"/>
                <w:sz w:val="21"/>
                <w:szCs w:val="21"/>
              </w:rPr>
              <w:t>泄漏事故</w:t>
            </w:r>
          </w:p>
        </w:tc>
        <w:tc>
          <w:tcPr>
            <w:tcW w:w="1134" w:type="dxa"/>
            <w:vAlign w:val="center"/>
          </w:tcPr>
          <w:p>
            <w:pPr>
              <w:jc w:val="center"/>
              <w:rPr>
                <w:color w:val="auto"/>
                <w:sz w:val="21"/>
                <w:szCs w:val="21"/>
              </w:rPr>
            </w:pPr>
            <w:r>
              <w:rPr>
                <w:rFonts w:hint="eastAsia"/>
                <w:color w:val="auto"/>
                <w:sz w:val="21"/>
                <w:szCs w:val="21"/>
              </w:rPr>
              <w:t>地表径流</w:t>
            </w:r>
          </w:p>
        </w:tc>
        <w:tc>
          <w:tcPr>
            <w:tcW w:w="1701" w:type="dxa"/>
            <w:vAlign w:val="center"/>
          </w:tcPr>
          <w:p>
            <w:pPr>
              <w:jc w:val="center"/>
              <w:rPr>
                <w:color w:val="auto"/>
                <w:sz w:val="21"/>
                <w:szCs w:val="21"/>
              </w:rPr>
            </w:pPr>
            <w:r>
              <w:rPr>
                <w:rFonts w:hint="eastAsia"/>
                <w:color w:val="auto"/>
                <w:sz w:val="21"/>
                <w:szCs w:val="21"/>
              </w:rPr>
              <w:t>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color w:val="auto"/>
                <w:sz w:val="21"/>
                <w:szCs w:val="21"/>
              </w:rPr>
            </w:pPr>
            <w:r>
              <w:rPr>
                <w:rFonts w:hint="eastAsia"/>
                <w:color w:val="auto"/>
                <w:sz w:val="21"/>
                <w:szCs w:val="21"/>
              </w:rPr>
              <w:t>2</w:t>
            </w:r>
          </w:p>
        </w:tc>
        <w:tc>
          <w:tcPr>
            <w:tcW w:w="1134" w:type="dxa"/>
            <w:vAlign w:val="center"/>
          </w:tcPr>
          <w:p>
            <w:pPr>
              <w:jc w:val="center"/>
              <w:rPr>
                <w:color w:val="auto"/>
                <w:sz w:val="21"/>
                <w:szCs w:val="21"/>
              </w:rPr>
            </w:pPr>
            <w:r>
              <w:rPr>
                <w:rFonts w:hint="eastAsia"/>
                <w:color w:val="auto"/>
                <w:sz w:val="21"/>
                <w:szCs w:val="21"/>
              </w:rPr>
              <w:t>加药间</w:t>
            </w:r>
          </w:p>
        </w:tc>
        <w:tc>
          <w:tcPr>
            <w:tcW w:w="1418" w:type="dxa"/>
            <w:vAlign w:val="center"/>
          </w:tcPr>
          <w:p>
            <w:pPr>
              <w:jc w:val="center"/>
              <w:rPr>
                <w:color w:val="auto"/>
                <w:sz w:val="21"/>
                <w:szCs w:val="21"/>
              </w:rPr>
            </w:pPr>
            <w:r>
              <w:rPr>
                <w:rFonts w:hint="eastAsia"/>
                <w:color w:val="auto"/>
                <w:sz w:val="21"/>
                <w:szCs w:val="21"/>
              </w:rPr>
              <w:t>化学品储存区</w:t>
            </w:r>
          </w:p>
        </w:tc>
        <w:tc>
          <w:tcPr>
            <w:tcW w:w="1134" w:type="dxa"/>
            <w:vAlign w:val="center"/>
          </w:tcPr>
          <w:p>
            <w:pPr>
              <w:jc w:val="center"/>
              <w:rPr>
                <w:color w:val="auto"/>
                <w:sz w:val="21"/>
                <w:szCs w:val="21"/>
              </w:rPr>
            </w:pPr>
            <w:r>
              <w:rPr>
                <w:rFonts w:hint="eastAsia"/>
                <w:color w:val="auto"/>
                <w:sz w:val="21"/>
                <w:szCs w:val="21"/>
              </w:rPr>
              <w:t>NaClO溶液</w:t>
            </w:r>
          </w:p>
        </w:tc>
        <w:tc>
          <w:tcPr>
            <w:tcW w:w="1559" w:type="dxa"/>
            <w:vAlign w:val="center"/>
          </w:tcPr>
          <w:p>
            <w:pPr>
              <w:jc w:val="center"/>
              <w:rPr>
                <w:color w:val="auto"/>
                <w:sz w:val="21"/>
                <w:szCs w:val="21"/>
              </w:rPr>
            </w:pPr>
            <w:r>
              <w:rPr>
                <w:rFonts w:hint="eastAsia"/>
                <w:color w:val="auto"/>
                <w:sz w:val="21"/>
                <w:szCs w:val="21"/>
              </w:rPr>
              <w:t>火灾引发的次生环境事故</w:t>
            </w:r>
          </w:p>
        </w:tc>
        <w:tc>
          <w:tcPr>
            <w:tcW w:w="1134" w:type="dxa"/>
            <w:vAlign w:val="center"/>
          </w:tcPr>
          <w:p>
            <w:pPr>
              <w:jc w:val="center"/>
              <w:rPr>
                <w:color w:val="auto"/>
                <w:sz w:val="21"/>
                <w:szCs w:val="21"/>
              </w:rPr>
            </w:pPr>
            <w:r>
              <w:rPr>
                <w:rFonts w:hint="eastAsia"/>
                <w:color w:val="auto"/>
                <w:sz w:val="21"/>
                <w:szCs w:val="21"/>
              </w:rPr>
              <w:t>大气扩散</w:t>
            </w:r>
          </w:p>
        </w:tc>
        <w:tc>
          <w:tcPr>
            <w:tcW w:w="1701" w:type="dxa"/>
            <w:vAlign w:val="center"/>
          </w:tcPr>
          <w:p>
            <w:pPr>
              <w:jc w:val="center"/>
              <w:rPr>
                <w:color w:val="auto"/>
                <w:sz w:val="21"/>
                <w:szCs w:val="21"/>
              </w:rPr>
            </w:pPr>
            <w:r>
              <w:rPr>
                <w:rFonts w:hint="eastAsia"/>
                <w:color w:val="auto"/>
                <w:sz w:val="21"/>
                <w:szCs w:val="21"/>
              </w:rPr>
              <w:t>厂界外3000m范围内居民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color w:val="auto"/>
                <w:sz w:val="21"/>
                <w:szCs w:val="21"/>
              </w:rPr>
            </w:pPr>
            <w:r>
              <w:rPr>
                <w:rFonts w:hint="eastAsia"/>
                <w:color w:val="auto"/>
                <w:sz w:val="21"/>
                <w:szCs w:val="21"/>
              </w:rPr>
              <w:t>3</w:t>
            </w:r>
          </w:p>
        </w:tc>
        <w:tc>
          <w:tcPr>
            <w:tcW w:w="1134" w:type="dxa"/>
            <w:vAlign w:val="center"/>
          </w:tcPr>
          <w:p>
            <w:pPr>
              <w:jc w:val="center"/>
              <w:rPr>
                <w:color w:val="auto"/>
                <w:sz w:val="21"/>
                <w:szCs w:val="21"/>
              </w:rPr>
            </w:pPr>
            <w:r>
              <w:rPr>
                <w:rFonts w:hint="eastAsia"/>
                <w:color w:val="auto"/>
                <w:sz w:val="21"/>
                <w:szCs w:val="21"/>
              </w:rPr>
              <w:t>污水处理单元</w:t>
            </w:r>
          </w:p>
        </w:tc>
        <w:tc>
          <w:tcPr>
            <w:tcW w:w="1418" w:type="dxa"/>
            <w:vAlign w:val="center"/>
          </w:tcPr>
          <w:p>
            <w:pPr>
              <w:jc w:val="center"/>
              <w:rPr>
                <w:color w:val="auto"/>
                <w:sz w:val="21"/>
                <w:szCs w:val="21"/>
              </w:rPr>
            </w:pPr>
            <w:r>
              <w:rPr>
                <w:rFonts w:hint="eastAsia"/>
                <w:color w:val="auto"/>
                <w:sz w:val="21"/>
                <w:szCs w:val="21"/>
              </w:rPr>
              <w:t>非正常工况</w:t>
            </w:r>
          </w:p>
        </w:tc>
        <w:tc>
          <w:tcPr>
            <w:tcW w:w="1134" w:type="dxa"/>
            <w:vAlign w:val="center"/>
          </w:tcPr>
          <w:p>
            <w:pPr>
              <w:jc w:val="center"/>
              <w:rPr>
                <w:color w:val="auto"/>
                <w:sz w:val="21"/>
                <w:szCs w:val="21"/>
              </w:rPr>
            </w:pPr>
            <w:r>
              <w:rPr>
                <w:rFonts w:hint="eastAsia"/>
                <w:color w:val="auto"/>
                <w:sz w:val="21"/>
                <w:szCs w:val="21"/>
              </w:rPr>
              <w:t>COD、氨氮</w:t>
            </w:r>
          </w:p>
        </w:tc>
        <w:tc>
          <w:tcPr>
            <w:tcW w:w="1559" w:type="dxa"/>
            <w:vAlign w:val="center"/>
          </w:tcPr>
          <w:p>
            <w:pPr>
              <w:jc w:val="center"/>
              <w:rPr>
                <w:color w:val="auto"/>
                <w:sz w:val="21"/>
                <w:szCs w:val="21"/>
              </w:rPr>
            </w:pPr>
            <w:r>
              <w:rPr>
                <w:rFonts w:hint="eastAsia"/>
                <w:color w:val="auto"/>
                <w:sz w:val="21"/>
                <w:szCs w:val="21"/>
              </w:rPr>
              <w:t>事故排放</w:t>
            </w:r>
          </w:p>
        </w:tc>
        <w:tc>
          <w:tcPr>
            <w:tcW w:w="1134" w:type="dxa"/>
            <w:vAlign w:val="center"/>
          </w:tcPr>
          <w:p>
            <w:pPr>
              <w:jc w:val="center"/>
              <w:rPr>
                <w:color w:val="auto"/>
                <w:sz w:val="21"/>
                <w:szCs w:val="21"/>
              </w:rPr>
            </w:pPr>
            <w:r>
              <w:rPr>
                <w:rFonts w:hint="eastAsia"/>
                <w:color w:val="auto"/>
                <w:sz w:val="21"/>
                <w:szCs w:val="21"/>
              </w:rPr>
              <w:t>地表径流</w:t>
            </w:r>
          </w:p>
        </w:tc>
        <w:tc>
          <w:tcPr>
            <w:tcW w:w="1701" w:type="dxa"/>
            <w:vAlign w:val="center"/>
          </w:tcPr>
          <w:p>
            <w:pPr>
              <w:jc w:val="center"/>
              <w:rPr>
                <w:color w:val="auto"/>
                <w:sz w:val="21"/>
                <w:szCs w:val="21"/>
              </w:rPr>
            </w:pPr>
            <w:r>
              <w:rPr>
                <w:rFonts w:hint="eastAsia"/>
                <w:color w:val="auto"/>
                <w:sz w:val="21"/>
                <w:szCs w:val="21"/>
              </w:rPr>
              <w:t>受纳水体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color w:val="auto"/>
                <w:sz w:val="21"/>
                <w:szCs w:val="21"/>
              </w:rPr>
            </w:pPr>
            <w:r>
              <w:rPr>
                <w:rFonts w:hint="eastAsia"/>
                <w:color w:val="auto"/>
                <w:sz w:val="21"/>
                <w:szCs w:val="21"/>
              </w:rPr>
              <w:t>4</w:t>
            </w:r>
          </w:p>
        </w:tc>
        <w:tc>
          <w:tcPr>
            <w:tcW w:w="1134" w:type="dxa"/>
            <w:vAlign w:val="center"/>
          </w:tcPr>
          <w:p>
            <w:pPr>
              <w:jc w:val="center"/>
              <w:rPr>
                <w:color w:val="auto"/>
                <w:sz w:val="21"/>
                <w:szCs w:val="21"/>
              </w:rPr>
            </w:pPr>
            <w:r>
              <w:rPr>
                <w:rFonts w:hint="eastAsia"/>
                <w:color w:val="auto"/>
                <w:sz w:val="21"/>
                <w:szCs w:val="21"/>
              </w:rPr>
              <w:t>污水处理单元</w:t>
            </w:r>
          </w:p>
        </w:tc>
        <w:tc>
          <w:tcPr>
            <w:tcW w:w="1418" w:type="dxa"/>
            <w:vAlign w:val="center"/>
          </w:tcPr>
          <w:p>
            <w:pPr>
              <w:jc w:val="center"/>
              <w:rPr>
                <w:color w:val="auto"/>
                <w:sz w:val="21"/>
                <w:szCs w:val="21"/>
              </w:rPr>
            </w:pPr>
            <w:r>
              <w:rPr>
                <w:rFonts w:hint="eastAsia"/>
                <w:color w:val="auto"/>
                <w:sz w:val="21"/>
                <w:szCs w:val="21"/>
              </w:rPr>
              <w:t>污水处理设施、管道</w:t>
            </w:r>
          </w:p>
        </w:tc>
        <w:tc>
          <w:tcPr>
            <w:tcW w:w="1134" w:type="dxa"/>
            <w:vAlign w:val="center"/>
          </w:tcPr>
          <w:p>
            <w:pPr>
              <w:jc w:val="center"/>
              <w:rPr>
                <w:color w:val="auto"/>
                <w:sz w:val="21"/>
                <w:szCs w:val="21"/>
              </w:rPr>
            </w:pPr>
            <w:r>
              <w:rPr>
                <w:rFonts w:hint="eastAsia"/>
                <w:color w:val="auto"/>
                <w:sz w:val="21"/>
                <w:szCs w:val="21"/>
              </w:rPr>
              <w:t>COD、氨氮</w:t>
            </w:r>
          </w:p>
        </w:tc>
        <w:tc>
          <w:tcPr>
            <w:tcW w:w="1559" w:type="dxa"/>
            <w:vAlign w:val="center"/>
          </w:tcPr>
          <w:p>
            <w:pPr>
              <w:jc w:val="center"/>
              <w:rPr>
                <w:color w:val="auto"/>
                <w:sz w:val="21"/>
                <w:szCs w:val="21"/>
              </w:rPr>
            </w:pPr>
            <w:r>
              <w:rPr>
                <w:rFonts w:hint="eastAsia"/>
                <w:color w:val="auto"/>
                <w:sz w:val="21"/>
                <w:szCs w:val="21"/>
              </w:rPr>
              <w:t>泄漏事故</w:t>
            </w:r>
          </w:p>
        </w:tc>
        <w:tc>
          <w:tcPr>
            <w:tcW w:w="1134" w:type="dxa"/>
            <w:vAlign w:val="center"/>
          </w:tcPr>
          <w:p>
            <w:pPr>
              <w:jc w:val="center"/>
              <w:rPr>
                <w:color w:val="auto"/>
                <w:sz w:val="21"/>
                <w:szCs w:val="21"/>
              </w:rPr>
            </w:pPr>
            <w:r>
              <w:rPr>
                <w:rFonts w:hint="eastAsia"/>
                <w:color w:val="auto"/>
                <w:sz w:val="21"/>
                <w:szCs w:val="21"/>
              </w:rPr>
              <w:t>地下渗流</w:t>
            </w:r>
          </w:p>
        </w:tc>
        <w:tc>
          <w:tcPr>
            <w:tcW w:w="1701" w:type="dxa"/>
            <w:vAlign w:val="center"/>
          </w:tcPr>
          <w:p>
            <w:pPr>
              <w:jc w:val="center"/>
              <w:rPr>
                <w:color w:val="auto"/>
                <w:sz w:val="21"/>
                <w:szCs w:val="21"/>
              </w:rPr>
            </w:pPr>
            <w:r>
              <w:rPr>
                <w:rFonts w:hint="eastAsia"/>
                <w:color w:val="auto"/>
                <w:sz w:val="21"/>
                <w:szCs w:val="21"/>
              </w:rPr>
              <w:t>区域地下水</w:t>
            </w:r>
          </w:p>
        </w:tc>
      </w:tr>
    </w:tbl>
    <w:p>
      <w:pPr>
        <w:pStyle w:val="5"/>
        <w:rPr>
          <w:color w:val="auto"/>
        </w:rPr>
      </w:pPr>
      <w:r>
        <w:rPr>
          <w:rFonts w:hint="eastAsia"/>
          <w:color w:val="auto"/>
        </w:rPr>
        <w:t>5.2.6.4环境风险分析</w:t>
      </w:r>
    </w:p>
    <w:p>
      <w:pPr>
        <w:spacing w:line="360" w:lineRule="auto"/>
        <w:ind w:firstLine="480" w:firstLineChars="200"/>
        <w:rPr>
          <w:color w:val="auto"/>
          <w:sz w:val="24"/>
          <w:szCs w:val="24"/>
        </w:rPr>
      </w:pPr>
      <w:r>
        <w:rPr>
          <w:rFonts w:hint="eastAsia"/>
          <w:color w:val="auto"/>
          <w:sz w:val="24"/>
          <w:szCs w:val="24"/>
        </w:rPr>
        <w:t>本项目所涉及的环境风险事故主要包括：发生火灾爆炸事故时，NaClO溶液受高热分解产生的伴生污染物进入大气环境，通过大气扩散对项目周围环境造成危害；非正常工况下，项目尾水超标排放，对受纳水体造成不利影响；污水处理设施池体、管道泄露等情况对区域地下水环境造成不良影响。</w:t>
      </w:r>
    </w:p>
    <w:p>
      <w:pPr>
        <w:spacing w:line="360" w:lineRule="auto"/>
        <w:ind w:firstLine="480" w:firstLineChars="200"/>
        <w:rPr>
          <w:color w:val="auto"/>
          <w:sz w:val="24"/>
          <w:szCs w:val="24"/>
        </w:rPr>
      </w:pPr>
      <w:r>
        <w:rPr>
          <w:rFonts w:hint="eastAsia"/>
          <w:color w:val="auto"/>
          <w:sz w:val="24"/>
          <w:szCs w:val="24"/>
        </w:rPr>
        <w:t>环境空气：若厂区发生火灾事故，NaClO溶液受高热分解会产生有毒的腐蚀性烟气，扩散入周边大气环境将使局部空气浓度超标，威胁厂区工作人员及周边群众生命财产安全。</w:t>
      </w:r>
    </w:p>
    <w:p>
      <w:pPr>
        <w:spacing w:line="360" w:lineRule="auto"/>
        <w:ind w:firstLine="480" w:firstLineChars="200"/>
        <w:rPr>
          <w:color w:val="auto"/>
          <w:sz w:val="24"/>
          <w:szCs w:val="24"/>
        </w:rPr>
      </w:pPr>
      <w:r>
        <w:rPr>
          <w:rFonts w:hint="eastAsia"/>
          <w:color w:val="auto"/>
          <w:sz w:val="24"/>
          <w:szCs w:val="24"/>
        </w:rPr>
        <w:t>地表水环境：非正常工况废水排放主要包括以下几个方面：进水水量、水质超标，停电，关键性设备故障等。当发生上述情况时，项目尾水可能超标排放，造成受纳水体污染物浓度超标。</w:t>
      </w:r>
    </w:p>
    <w:p>
      <w:pPr>
        <w:spacing w:line="360" w:lineRule="auto"/>
        <w:ind w:firstLine="480" w:firstLineChars="200"/>
        <w:rPr>
          <w:color w:val="auto"/>
          <w:sz w:val="24"/>
          <w:szCs w:val="24"/>
        </w:rPr>
      </w:pPr>
      <w:r>
        <w:rPr>
          <w:rFonts w:hint="eastAsia"/>
          <w:color w:val="auto"/>
          <w:sz w:val="24"/>
          <w:szCs w:val="24"/>
        </w:rPr>
        <w:t>地下水环境：本项目为水质净化厂建设项目，当污水处理设施池体、管道等区域发生泄露事故时，未经有效处理的废水可能渗流入地下，若进入地下水环境，可能造成地下水污染物浓度超标。</w:t>
      </w:r>
    </w:p>
    <w:p>
      <w:pPr>
        <w:pStyle w:val="5"/>
        <w:rPr>
          <w:color w:val="auto"/>
        </w:rPr>
      </w:pPr>
      <w:r>
        <w:rPr>
          <w:rFonts w:hint="eastAsia"/>
          <w:color w:val="auto"/>
        </w:rPr>
        <w:t>5.2.6.5环境风险防范措施及应急要求</w:t>
      </w:r>
    </w:p>
    <w:p>
      <w:pPr>
        <w:spacing w:line="360" w:lineRule="auto"/>
        <w:ind w:firstLine="482" w:firstLineChars="200"/>
        <w:rPr>
          <w:b/>
          <w:color w:val="auto"/>
          <w:sz w:val="24"/>
          <w:szCs w:val="24"/>
        </w:rPr>
      </w:pPr>
      <w:r>
        <w:rPr>
          <w:rFonts w:hint="eastAsia"/>
          <w:b/>
          <w:color w:val="auto"/>
          <w:sz w:val="24"/>
          <w:szCs w:val="24"/>
        </w:rPr>
        <w:t>1、环境风险防范措施</w:t>
      </w:r>
    </w:p>
    <w:p>
      <w:pPr>
        <w:spacing w:line="360" w:lineRule="auto"/>
        <w:ind w:firstLine="480" w:firstLineChars="200"/>
        <w:rPr>
          <w:color w:val="auto"/>
          <w:sz w:val="24"/>
          <w:szCs w:val="24"/>
        </w:rPr>
      </w:pPr>
      <w:r>
        <w:rPr>
          <w:rFonts w:hint="eastAsia"/>
          <w:color w:val="auto"/>
          <w:sz w:val="24"/>
          <w:szCs w:val="24"/>
        </w:rPr>
        <w:t>（1）火灾引发的次生环境事故防范措施</w:t>
      </w:r>
    </w:p>
    <w:p>
      <w:pPr>
        <w:spacing w:line="360" w:lineRule="auto"/>
        <w:ind w:firstLine="480" w:firstLineChars="200"/>
        <w:rPr>
          <w:color w:val="auto"/>
          <w:sz w:val="24"/>
          <w:szCs w:val="24"/>
        </w:rPr>
      </w:pPr>
      <w:r>
        <w:rPr>
          <w:rFonts w:hint="eastAsia"/>
          <w:color w:val="auto"/>
          <w:sz w:val="24"/>
          <w:szCs w:val="24"/>
        </w:rPr>
        <w:t>①保持作业场所的环境卫生，保持清洁、干燥，物品摆放整齐，道路通畅。</w:t>
      </w:r>
    </w:p>
    <w:p>
      <w:pPr>
        <w:spacing w:line="360" w:lineRule="auto"/>
        <w:ind w:firstLine="480" w:firstLineChars="200"/>
        <w:rPr>
          <w:color w:val="auto"/>
          <w:sz w:val="24"/>
          <w:szCs w:val="24"/>
        </w:rPr>
      </w:pPr>
      <w:r>
        <w:rPr>
          <w:rFonts w:hint="eastAsia"/>
          <w:color w:val="auto"/>
          <w:sz w:val="24"/>
          <w:szCs w:val="24"/>
        </w:rPr>
        <w:t>②加强设备维护保养管理，机泵设备转动部位要保持清洁，防止因摩擦引起杂物等燃烧。</w:t>
      </w:r>
    </w:p>
    <w:p>
      <w:pPr>
        <w:spacing w:line="360" w:lineRule="auto"/>
        <w:ind w:firstLine="480" w:firstLineChars="200"/>
        <w:rPr>
          <w:color w:val="auto"/>
          <w:sz w:val="24"/>
          <w:szCs w:val="24"/>
        </w:rPr>
      </w:pPr>
      <w:r>
        <w:rPr>
          <w:rFonts w:hint="eastAsia"/>
          <w:color w:val="auto"/>
          <w:sz w:val="24"/>
          <w:szCs w:val="24"/>
        </w:rPr>
        <w:t>③加强电气安全管理，定期对电气设备进行维护保养。</w:t>
      </w:r>
    </w:p>
    <w:p>
      <w:pPr>
        <w:spacing w:line="360" w:lineRule="auto"/>
        <w:ind w:firstLine="480" w:firstLineChars="200"/>
        <w:rPr>
          <w:color w:val="auto"/>
          <w:sz w:val="24"/>
          <w:szCs w:val="24"/>
        </w:rPr>
      </w:pPr>
      <w:r>
        <w:rPr>
          <w:rFonts w:hint="eastAsia"/>
          <w:color w:val="auto"/>
          <w:sz w:val="24"/>
          <w:szCs w:val="24"/>
        </w:rPr>
        <w:t>④加强对安全设施、设备检测检验工作，对消防器材和安全设施应定期进行检查，使其保持良好状态。</w:t>
      </w:r>
    </w:p>
    <w:p>
      <w:pPr>
        <w:spacing w:line="360" w:lineRule="auto"/>
        <w:ind w:firstLine="480" w:firstLineChars="200"/>
        <w:rPr>
          <w:color w:val="auto"/>
          <w:sz w:val="24"/>
          <w:szCs w:val="24"/>
        </w:rPr>
      </w:pPr>
      <w:r>
        <w:rPr>
          <w:rFonts w:hint="eastAsia"/>
          <w:color w:val="auto"/>
          <w:sz w:val="24"/>
          <w:szCs w:val="24"/>
        </w:rPr>
        <w:t>⑤严格危险化学品存放点的安全管理，掌握危险化学品的危险特性，容易相互发生化学反应或者灭火方法不同的物品，必须分间、分库储存，并在醒目处标明储存物品的名称、性质和灭火方法。搬运时应轻拿轻放，严防震动、撞击、重压、倒置。</w:t>
      </w:r>
    </w:p>
    <w:p>
      <w:pPr>
        <w:spacing w:line="360" w:lineRule="auto"/>
        <w:ind w:firstLine="480" w:firstLineChars="200"/>
        <w:rPr>
          <w:color w:val="auto"/>
          <w:sz w:val="24"/>
          <w:szCs w:val="24"/>
        </w:rPr>
      </w:pPr>
      <w:r>
        <w:rPr>
          <w:rFonts w:hint="eastAsia"/>
          <w:color w:val="auto"/>
          <w:sz w:val="24"/>
          <w:szCs w:val="24"/>
        </w:rPr>
        <w:t>⑥生产、储存危险化学品场所应按相关标准和规范配齐消防设施和急救器材，消防设施和急救器材应落实管理责任人，急救器材配置应包括防毒口罩、防毒面具、急救药品、急救药箱等。</w:t>
      </w:r>
    </w:p>
    <w:p>
      <w:pPr>
        <w:spacing w:line="360" w:lineRule="auto"/>
        <w:ind w:firstLine="480" w:firstLineChars="200"/>
        <w:rPr>
          <w:color w:val="auto"/>
          <w:sz w:val="24"/>
          <w:szCs w:val="24"/>
        </w:rPr>
      </w:pPr>
      <w:r>
        <w:rPr>
          <w:rFonts w:hint="eastAsia"/>
          <w:color w:val="auto"/>
          <w:sz w:val="24"/>
          <w:szCs w:val="24"/>
        </w:rPr>
        <w:t>（2）非正常工况废水超标排放事故防范措施</w:t>
      </w:r>
    </w:p>
    <w:p>
      <w:pPr>
        <w:pStyle w:val="27"/>
        <w:adjustRightInd w:val="0"/>
        <w:snapToGrid w:val="0"/>
        <w:spacing w:after="0" w:line="360" w:lineRule="auto"/>
        <w:ind w:firstLine="480" w:firstLineChars="200"/>
        <w:rPr>
          <w:color w:val="auto"/>
          <w:sz w:val="24"/>
          <w:szCs w:val="24"/>
        </w:rPr>
      </w:pPr>
      <w:r>
        <w:rPr>
          <w:color w:val="auto"/>
          <w:sz w:val="24"/>
          <w:szCs w:val="24"/>
        </w:rPr>
        <w:t>污水处理系统一旦发生停电和重大故障时均需进行事故应急处理。本项目设置有应急沉淀池（1座2池），平面净尺寸为28.4m×4.0m，沉淀区有效水深为4.0m。本项目进水水量为8000m</w:t>
      </w:r>
      <w:r>
        <w:rPr>
          <w:color w:val="auto"/>
          <w:sz w:val="24"/>
          <w:szCs w:val="24"/>
          <w:vertAlign w:val="superscript"/>
        </w:rPr>
        <w:t>3</w:t>
      </w:r>
      <w:r>
        <w:rPr>
          <w:color w:val="auto"/>
          <w:sz w:val="24"/>
          <w:szCs w:val="24"/>
        </w:rPr>
        <w:t>/d，进水流量为333.33 m</w:t>
      </w:r>
      <w:r>
        <w:rPr>
          <w:color w:val="auto"/>
          <w:sz w:val="24"/>
          <w:szCs w:val="24"/>
          <w:vertAlign w:val="superscript"/>
        </w:rPr>
        <w:t>3</w:t>
      </w:r>
      <w:r>
        <w:rPr>
          <w:color w:val="auto"/>
          <w:sz w:val="24"/>
          <w:szCs w:val="24"/>
        </w:rPr>
        <w:t>/h，</w:t>
      </w:r>
      <w:r>
        <w:rPr>
          <w:rFonts w:hint="eastAsia"/>
          <w:color w:val="auto"/>
          <w:sz w:val="24"/>
          <w:szCs w:val="24"/>
        </w:rPr>
        <w:t>若事故反应时间为1h，则非正常工况下废水产生量为333.33</w:t>
      </w:r>
      <w:r>
        <w:rPr>
          <w:color w:val="auto"/>
          <w:sz w:val="24"/>
          <w:szCs w:val="24"/>
        </w:rPr>
        <w:t xml:space="preserve"> m</w:t>
      </w:r>
      <w:r>
        <w:rPr>
          <w:color w:val="auto"/>
          <w:sz w:val="24"/>
          <w:szCs w:val="24"/>
          <w:vertAlign w:val="superscript"/>
        </w:rPr>
        <w:t>3</w:t>
      </w:r>
      <w:r>
        <w:rPr>
          <w:rFonts w:hint="eastAsia"/>
          <w:color w:val="auto"/>
          <w:sz w:val="24"/>
          <w:szCs w:val="24"/>
        </w:rPr>
        <w:t>，本项目设置的应急沉淀池容积为454.4</w:t>
      </w:r>
      <w:r>
        <w:rPr>
          <w:color w:val="auto"/>
          <w:sz w:val="24"/>
          <w:szCs w:val="24"/>
        </w:rPr>
        <w:t xml:space="preserve"> m</w:t>
      </w:r>
      <w:r>
        <w:rPr>
          <w:color w:val="auto"/>
          <w:sz w:val="24"/>
          <w:szCs w:val="24"/>
          <w:vertAlign w:val="superscript"/>
        </w:rPr>
        <w:t>3</w:t>
      </w:r>
      <w:r>
        <w:rPr>
          <w:rFonts w:hint="eastAsia"/>
          <w:color w:val="auto"/>
          <w:sz w:val="24"/>
          <w:szCs w:val="24"/>
        </w:rPr>
        <w:t>，可完全容纳项目非正常工况废水。</w:t>
      </w:r>
      <w:r>
        <w:rPr>
          <w:color w:val="auto"/>
          <w:sz w:val="24"/>
          <w:szCs w:val="24"/>
        </w:rPr>
        <w:t>因此，项目设施的应急沉淀池是合理的。</w:t>
      </w:r>
    </w:p>
    <w:p>
      <w:pPr>
        <w:pStyle w:val="27"/>
        <w:adjustRightInd w:val="0"/>
        <w:snapToGrid w:val="0"/>
        <w:spacing w:after="0" w:line="360" w:lineRule="auto"/>
        <w:ind w:firstLine="480" w:firstLineChars="200"/>
        <w:rPr>
          <w:color w:val="auto"/>
          <w:sz w:val="24"/>
          <w:szCs w:val="24"/>
        </w:rPr>
      </w:pPr>
      <w:r>
        <w:rPr>
          <w:color w:val="auto"/>
          <w:sz w:val="24"/>
          <w:szCs w:val="24"/>
        </w:rPr>
        <w:t>为防止非正常排放事故的发生，本次工程采用双路供电，避免由于停电事故可能造成的非正常事故的发生；工程通过加强日常维护，定期更换易损管件，避免管道堵塞、管道破裂和管道接头处的破损可能造成的非正常事故的发生。项目设计应急沉淀池，当污水出现异常情况，水质净化厂不能处理时，在应急沉淀池进口端直接排入，无法处理的污水再通过吸污车输送至专门单位进行处理。园区内各个企业产生的废水暂存于企业的事故水池，待水质净化厂正常运行后再排入水质净化厂进行处理。具体防治措施为：</w:t>
      </w:r>
    </w:p>
    <w:p>
      <w:pPr>
        <w:pStyle w:val="27"/>
        <w:adjustRightInd w:val="0"/>
        <w:snapToGrid w:val="0"/>
        <w:spacing w:after="0" w:line="360" w:lineRule="auto"/>
        <w:ind w:firstLine="480" w:firstLineChars="200"/>
        <w:rPr>
          <w:color w:val="auto"/>
          <w:sz w:val="24"/>
          <w:szCs w:val="24"/>
        </w:rPr>
      </w:pPr>
      <w:r>
        <w:rPr>
          <w:color w:val="auto"/>
          <w:sz w:val="24"/>
          <w:szCs w:val="24"/>
        </w:rPr>
        <w:t>①泵站与污水处理厂采用双路供电，水泵设计考虑备用，机械设备采用性能可靠优质产品。</w:t>
      </w:r>
    </w:p>
    <w:p>
      <w:pPr>
        <w:pStyle w:val="27"/>
        <w:adjustRightInd w:val="0"/>
        <w:snapToGrid w:val="0"/>
        <w:spacing w:after="0" w:line="360" w:lineRule="auto"/>
        <w:ind w:firstLine="480" w:firstLineChars="200"/>
        <w:rPr>
          <w:color w:val="auto"/>
          <w:sz w:val="24"/>
          <w:szCs w:val="24"/>
        </w:rPr>
      </w:pPr>
      <w:r>
        <w:rPr>
          <w:color w:val="auto"/>
          <w:sz w:val="24"/>
          <w:szCs w:val="24"/>
        </w:rPr>
        <w:t>②为使在事故状态下水质净化厂能够迅速恢复正常运行，应在主要建筑物的容积上留有相应的缓冲能力，并配有相应的设备（如回流泵、回流管道、阀门及仪表等）。</w:t>
      </w:r>
    </w:p>
    <w:p>
      <w:pPr>
        <w:pStyle w:val="27"/>
        <w:adjustRightInd w:val="0"/>
        <w:snapToGrid w:val="0"/>
        <w:spacing w:after="0" w:line="360" w:lineRule="auto"/>
        <w:ind w:firstLine="480" w:firstLineChars="200"/>
        <w:rPr>
          <w:color w:val="auto"/>
          <w:sz w:val="24"/>
          <w:szCs w:val="24"/>
        </w:rPr>
      </w:pPr>
      <w:r>
        <w:rPr>
          <w:color w:val="auto"/>
          <w:sz w:val="24"/>
          <w:szCs w:val="24"/>
        </w:rPr>
        <w:t>③选用优质设备，对水质净化厂各种机械电器、仪表等设备，必须选择质量优良、事故率低、便于维修的产品。关键设备应一备一用，易损部件要有备用件，在出现事故时能及时更换。</w:t>
      </w:r>
    </w:p>
    <w:p>
      <w:pPr>
        <w:pStyle w:val="27"/>
        <w:adjustRightInd w:val="0"/>
        <w:snapToGrid w:val="0"/>
        <w:spacing w:after="0" w:line="360" w:lineRule="auto"/>
        <w:ind w:firstLine="480" w:firstLineChars="200"/>
        <w:rPr>
          <w:color w:val="auto"/>
          <w:sz w:val="24"/>
          <w:szCs w:val="24"/>
        </w:rPr>
      </w:pPr>
      <w:r>
        <w:rPr>
          <w:color w:val="auto"/>
          <w:sz w:val="24"/>
          <w:szCs w:val="24"/>
        </w:rPr>
        <w:t>④加强事故苗头监控，定期巡检、调节、保养、维修。及时发现有可能引起事故的异常运行苗头，消除事故隐患。</w:t>
      </w:r>
    </w:p>
    <w:p>
      <w:pPr>
        <w:pStyle w:val="27"/>
        <w:adjustRightInd w:val="0"/>
        <w:snapToGrid w:val="0"/>
        <w:spacing w:after="0" w:line="360" w:lineRule="auto"/>
        <w:ind w:firstLine="480" w:firstLineChars="200"/>
        <w:rPr>
          <w:color w:val="auto"/>
          <w:sz w:val="24"/>
          <w:szCs w:val="24"/>
        </w:rPr>
      </w:pPr>
      <w:r>
        <w:rPr>
          <w:color w:val="auto"/>
          <w:sz w:val="24"/>
          <w:szCs w:val="24"/>
        </w:rPr>
        <w:t>⑤严格控制处理单元的水量水质、停留时间、负荷强度等工艺参数，确保处理效果的稳定性。配备流量、水质自动分析监控仪器，定期取样监测。操作人员及时调整，使设备处于最佳工况。如发现不正常现象，就需立即采取预防措施。</w:t>
      </w:r>
    </w:p>
    <w:p>
      <w:pPr>
        <w:pStyle w:val="27"/>
        <w:adjustRightInd w:val="0"/>
        <w:snapToGrid w:val="0"/>
        <w:spacing w:after="0" w:line="360" w:lineRule="auto"/>
        <w:ind w:firstLine="480" w:firstLineChars="200"/>
        <w:rPr>
          <w:color w:val="auto"/>
          <w:sz w:val="24"/>
          <w:szCs w:val="24"/>
        </w:rPr>
      </w:pPr>
      <w:r>
        <w:rPr>
          <w:color w:val="auto"/>
          <w:sz w:val="24"/>
          <w:szCs w:val="24"/>
        </w:rPr>
        <w:t>⑥建立安全操作规程，在平时严格按规程办事，定期对水质净化厂人员的理论知识和操作技能进行培训和检查。</w:t>
      </w:r>
    </w:p>
    <w:p>
      <w:pPr>
        <w:pStyle w:val="27"/>
        <w:adjustRightInd w:val="0"/>
        <w:snapToGrid w:val="0"/>
        <w:spacing w:after="0" w:line="360" w:lineRule="auto"/>
        <w:ind w:firstLine="480" w:firstLineChars="200"/>
        <w:rPr>
          <w:color w:val="auto"/>
          <w:sz w:val="24"/>
          <w:szCs w:val="24"/>
        </w:rPr>
      </w:pPr>
      <w:r>
        <w:rPr>
          <w:color w:val="auto"/>
          <w:sz w:val="24"/>
          <w:szCs w:val="24"/>
        </w:rPr>
        <w:t>⑦加强运行管理和进出水的监测工作，未经处理达标的污水严禁外排。</w:t>
      </w:r>
    </w:p>
    <w:p>
      <w:pPr>
        <w:pStyle w:val="27"/>
        <w:adjustRightInd w:val="0"/>
        <w:snapToGrid w:val="0"/>
        <w:spacing w:after="0" w:line="360" w:lineRule="auto"/>
        <w:ind w:firstLine="480" w:firstLineChars="200"/>
        <w:rPr>
          <w:color w:val="auto"/>
          <w:sz w:val="24"/>
          <w:szCs w:val="24"/>
        </w:rPr>
      </w:pPr>
      <w:r>
        <w:rPr>
          <w:color w:val="auto"/>
          <w:sz w:val="24"/>
          <w:szCs w:val="24"/>
        </w:rPr>
        <w:t>⑧污水泵房应设有毒气体监测仪，并配备必要的通风装置。</w:t>
      </w:r>
    </w:p>
    <w:p>
      <w:pPr>
        <w:pStyle w:val="27"/>
        <w:adjustRightInd w:val="0"/>
        <w:snapToGrid w:val="0"/>
        <w:spacing w:after="0" w:line="360" w:lineRule="auto"/>
        <w:ind w:firstLine="480" w:firstLineChars="200"/>
        <w:rPr>
          <w:color w:val="auto"/>
          <w:sz w:val="24"/>
          <w:szCs w:val="24"/>
        </w:rPr>
      </w:pPr>
      <w:r>
        <w:rPr>
          <w:color w:val="auto"/>
          <w:sz w:val="24"/>
          <w:szCs w:val="24"/>
        </w:rPr>
        <w:t>⑨建立安全责任制度，在日常的工作管理方面建立一套完整的制度，落实到人、明确职责、定期检查。</w:t>
      </w:r>
    </w:p>
    <w:p>
      <w:pPr>
        <w:pStyle w:val="27"/>
        <w:adjustRightInd w:val="0"/>
        <w:snapToGrid w:val="0"/>
        <w:spacing w:after="0" w:line="360" w:lineRule="auto"/>
        <w:ind w:firstLine="480" w:firstLineChars="200"/>
        <w:rPr>
          <w:color w:val="auto"/>
          <w:sz w:val="24"/>
          <w:szCs w:val="24"/>
        </w:rPr>
      </w:pPr>
      <w:r>
        <w:rPr>
          <w:color w:val="auto"/>
          <w:sz w:val="24"/>
          <w:szCs w:val="24"/>
        </w:rPr>
        <w:t>⑩制定风险事故的应急措施，明确事故发生时的应急、抢险操作制度。</w:t>
      </w:r>
    </w:p>
    <w:p>
      <w:pPr>
        <w:adjustRightInd w:val="0"/>
        <w:snapToGrid w:val="0"/>
        <w:spacing w:line="360" w:lineRule="auto"/>
        <w:ind w:firstLine="480" w:firstLineChars="200"/>
        <w:rPr>
          <w:color w:val="auto"/>
          <w:sz w:val="24"/>
          <w:szCs w:val="24"/>
        </w:rPr>
      </w:pPr>
      <w:r>
        <w:rPr>
          <w:rFonts w:ascii="Cambria Math" w:hAnsi="Cambria Math"/>
          <w:color w:val="auto"/>
          <w:sz w:val="24"/>
          <w:szCs w:val="24"/>
        </w:rPr>
        <w:t>⑪</w:t>
      </w:r>
      <w:r>
        <w:rPr>
          <w:color w:val="auto"/>
          <w:sz w:val="24"/>
          <w:szCs w:val="24"/>
        </w:rPr>
        <w:t>如发现尾水超标等事故排放，尾水将通过旁路管道返回调节池。同时，按水量顺序，通知各工业废水水量大户与污染物大户停泵或闭闸，待事故处理完毕，再开泵或开闸。</w:t>
      </w:r>
    </w:p>
    <w:p>
      <w:pPr>
        <w:spacing w:line="360" w:lineRule="auto"/>
        <w:ind w:firstLine="480" w:firstLineChars="200"/>
        <w:rPr>
          <w:color w:val="auto"/>
          <w:sz w:val="24"/>
          <w:szCs w:val="24"/>
        </w:rPr>
      </w:pPr>
      <w:r>
        <w:rPr>
          <w:rFonts w:hint="eastAsia"/>
          <w:color w:val="auto"/>
          <w:sz w:val="24"/>
          <w:szCs w:val="24"/>
        </w:rPr>
        <w:t>（3）废水泄露事故防范措施</w:t>
      </w:r>
    </w:p>
    <w:p>
      <w:pPr>
        <w:spacing w:line="360" w:lineRule="auto"/>
        <w:ind w:firstLine="480" w:firstLineChars="200"/>
        <w:rPr>
          <w:color w:val="auto"/>
          <w:sz w:val="24"/>
          <w:szCs w:val="24"/>
        </w:rPr>
      </w:pPr>
      <w:r>
        <w:rPr>
          <w:rFonts w:hint="eastAsia"/>
          <w:color w:val="auto"/>
          <w:sz w:val="24"/>
          <w:szCs w:val="24"/>
        </w:rPr>
        <w:t>①源头控制：严格按照国家相关规范要求，对工艺、管道、设备、污/废水储存及处理构筑物采取相应的措施，以防止和降低可能产生的跑、冒、滴、漏，将污水泄漏的环境风险事故降低到最低程度。</w:t>
      </w:r>
    </w:p>
    <w:p>
      <w:pPr>
        <w:spacing w:line="360" w:lineRule="auto"/>
        <w:ind w:firstLine="480" w:firstLineChars="200"/>
        <w:rPr>
          <w:color w:val="auto"/>
          <w:sz w:val="24"/>
          <w:szCs w:val="24"/>
        </w:rPr>
      </w:pPr>
      <w:r>
        <w:rPr>
          <w:rFonts w:hint="eastAsia"/>
          <w:color w:val="auto"/>
          <w:sz w:val="24"/>
          <w:szCs w:val="24"/>
        </w:rPr>
        <w:t>②分区防治：对厂区可能泄漏污染物的地面进行防渗处理，可有效防止污染物渗入地下，并能够及时地将泄漏、渗漏的污染物收集并进行集中处理。按照《石油化工工程防渗技术规范》（GB/T 50934-2013）要求，根据厂区各生产、生活功能单元可能产生污染的地区，划分为重点防渗区、一般防渗区和简单防渗区。</w:t>
      </w:r>
    </w:p>
    <w:p>
      <w:pPr>
        <w:spacing w:line="360" w:lineRule="auto"/>
        <w:ind w:firstLine="480" w:firstLineChars="200"/>
        <w:rPr>
          <w:color w:val="auto"/>
          <w:sz w:val="24"/>
          <w:szCs w:val="24"/>
        </w:rPr>
      </w:pPr>
      <w:r>
        <w:rPr>
          <w:rFonts w:hint="eastAsia"/>
          <w:color w:val="auto"/>
          <w:sz w:val="24"/>
          <w:szCs w:val="24"/>
        </w:rPr>
        <w:t>③污染监控与应急响应：为了及时准确掌握场区及下游地下水环境质量状况和地下水体中污染物的动态变化，建议厂区建立覆盖全区的地下水长期监控系统，依据地下水监测原则，参照《地下水环境监测技术规范》（HJ/T164-2020）的要求布设地下水监测井。监测结果应按项目有关规定及时建立档案，并定期向场安全环保部门汇报，对于常规监测数据应该进行公开。如发现异常或发生事故，加密监测频次，并分析污染原因，确定泄漏污染源，及时采取应急措施。</w:t>
      </w:r>
    </w:p>
    <w:p>
      <w:pPr>
        <w:spacing w:line="360" w:lineRule="auto"/>
        <w:ind w:firstLine="482" w:firstLineChars="200"/>
        <w:rPr>
          <w:b/>
          <w:color w:val="auto"/>
          <w:sz w:val="24"/>
          <w:szCs w:val="24"/>
        </w:rPr>
      </w:pPr>
      <w:r>
        <w:rPr>
          <w:rFonts w:hint="eastAsia"/>
          <w:b/>
          <w:color w:val="auto"/>
          <w:sz w:val="24"/>
          <w:szCs w:val="24"/>
        </w:rPr>
        <w:t>2、环境风险管理措施</w:t>
      </w:r>
    </w:p>
    <w:p>
      <w:pPr>
        <w:spacing w:line="360" w:lineRule="auto"/>
        <w:ind w:firstLine="480" w:firstLineChars="200"/>
        <w:rPr>
          <w:color w:val="auto"/>
          <w:sz w:val="24"/>
          <w:szCs w:val="24"/>
        </w:rPr>
      </w:pPr>
      <w:r>
        <w:rPr>
          <w:rFonts w:hint="eastAsia"/>
          <w:color w:val="auto"/>
          <w:sz w:val="24"/>
          <w:szCs w:val="24"/>
        </w:rPr>
        <w:t>（1）企业应建立健全环境风险管理方面的规章制度，建立企业风险源档案和风险防范设备设施档案，对风险防范设备设施定期进行检测和维护以保证其有效性，加强巡检和日常维护管理。</w:t>
      </w:r>
    </w:p>
    <w:p>
      <w:pPr>
        <w:spacing w:line="360" w:lineRule="auto"/>
        <w:ind w:firstLine="480" w:firstLineChars="200"/>
        <w:rPr>
          <w:color w:val="auto"/>
          <w:sz w:val="24"/>
          <w:szCs w:val="24"/>
        </w:rPr>
      </w:pPr>
      <w:r>
        <w:rPr>
          <w:rFonts w:hint="eastAsia"/>
          <w:color w:val="auto"/>
          <w:sz w:val="24"/>
          <w:szCs w:val="24"/>
        </w:rPr>
        <w:t>（2）在消防管理方面，严格执行“以防为主、防消结合”的方针，严格执行国家的消防法规，完善厂区的消防管理体系和消防人员的建制，配置符合国家要求的消防设备设施和对外联络的专用通讯设备。</w:t>
      </w:r>
    </w:p>
    <w:p>
      <w:pPr>
        <w:spacing w:line="360" w:lineRule="auto"/>
        <w:ind w:firstLine="480" w:firstLineChars="200"/>
        <w:rPr>
          <w:color w:val="auto"/>
          <w:sz w:val="24"/>
          <w:szCs w:val="24"/>
        </w:rPr>
      </w:pPr>
      <w:r>
        <w:rPr>
          <w:rFonts w:hint="eastAsia"/>
          <w:color w:val="auto"/>
          <w:sz w:val="24"/>
          <w:szCs w:val="24"/>
        </w:rPr>
        <w:t>（3）对岗位工人进行上岗前培训，定期对职工进行安全教育和培训，提高特种作业人员和接触易燃易爆危险化学品人员的安全意识和安全专业知识，做到安全生产。</w:t>
      </w:r>
    </w:p>
    <w:p>
      <w:pPr>
        <w:spacing w:line="360" w:lineRule="auto"/>
        <w:ind w:firstLine="480" w:firstLineChars="200"/>
        <w:rPr>
          <w:color w:val="auto"/>
          <w:sz w:val="24"/>
          <w:szCs w:val="24"/>
        </w:rPr>
      </w:pPr>
      <w:r>
        <w:rPr>
          <w:rFonts w:hint="eastAsia"/>
          <w:color w:val="auto"/>
          <w:sz w:val="24"/>
          <w:szCs w:val="24"/>
        </w:rPr>
        <w:t>（4）危险化学品贮存要实行定量、定置管理；危险化学品的运输、装卸、贮存、使用等各环节，均要符合国家的有关安全规定。</w:t>
      </w:r>
    </w:p>
    <w:p>
      <w:pPr>
        <w:spacing w:line="360" w:lineRule="auto"/>
        <w:ind w:firstLine="480" w:firstLineChars="200"/>
        <w:rPr>
          <w:color w:val="auto"/>
          <w:sz w:val="24"/>
          <w:szCs w:val="24"/>
        </w:rPr>
      </w:pPr>
      <w:r>
        <w:rPr>
          <w:rFonts w:hint="eastAsia"/>
          <w:color w:val="auto"/>
          <w:sz w:val="24"/>
          <w:szCs w:val="24"/>
        </w:rPr>
        <w:t>（5）制定各种安全操作规程和安全管理规章制度，在日常工作中加强管理，严格执行岗位责任制；设立专职安全员，厂级领导负责全厂的安全检查及管理。</w:t>
      </w:r>
    </w:p>
    <w:p>
      <w:pPr>
        <w:spacing w:line="360" w:lineRule="auto"/>
        <w:ind w:firstLine="482" w:firstLineChars="200"/>
        <w:rPr>
          <w:b/>
          <w:color w:val="auto"/>
          <w:sz w:val="24"/>
          <w:szCs w:val="24"/>
        </w:rPr>
      </w:pPr>
      <w:r>
        <w:rPr>
          <w:rFonts w:hint="eastAsia"/>
          <w:b/>
          <w:color w:val="auto"/>
          <w:sz w:val="24"/>
          <w:szCs w:val="24"/>
        </w:rPr>
        <w:t>3、事故应急处理措施</w:t>
      </w:r>
    </w:p>
    <w:p>
      <w:pPr>
        <w:spacing w:line="360" w:lineRule="auto"/>
        <w:ind w:firstLine="480" w:firstLineChars="200"/>
        <w:rPr>
          <w:color w:val="auto"/>
          <w:sz w:val="24"/>
          <w:szCs w:val="24"/>
        </w:rPr>
      </w:pPr>
      <w:r>
        <w:rPr>
          <w:rFonts w:hint="eastAsia"/>
          <w:color w:val="auto"/>
          <w:sz w:val="24"/>
          <w:szCs w:val="24"/>
        </w:rPr>
        <w:t>本项目实施后，为完善该公司的事故应急预案，建议根据下表有关内容和要求完善事故应急预案。</w:t>
      </w:r>
    </w:p>
    <w:p>
      <w:pPr>
        <w:spacing w:line="360" w:lineRule="auto"/>
        <w:jc w:val="center"/>
        <w:rPr>
          <w:b/>
          <w:color w:val="auto"/>
          <w:sz w:val="24"/>
          <w:szCs w:val="24"/>
        </w:rPr>
      </w:pPr>
      <w:r>
        <w:rPr>
          <w:rFonts w:hint="eastAsia"/>
          <w:b/>
          <w:color w:val="auto"/>
          <w:sz w:val="24"/>
          <w:szCs w:val="24"/>
        </w:rPr>
        <w:t>表5-2-36   突发事故应急预案框架</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737"/>
        <w:gridCol w:w="6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b/>
                <w:color w:val="auto"/>
                <w:sz w:val="21"/>
                <w:szCs w:val="21"/>
              </w:rPr>
            </w:pPr>
            <w:r>
              <w:rPr>
                <w:rFonts w:hint="eastAsia"/>
                <w:b/>
                <w:color w:val="auto"/>
                <w:sz w:val="21"/>
                <w:szCs w:val="21"/>
              </w:rPr>
              <w:t>序号</w:t>
            </w:r>
          </w:p>
        </w:tc>
        <w:tc>
          <w:tcPr>
            <w:tcW w:w="1737" w:type="dxa"/>
            <w:vAlign w:val="center"/>
          </w:tcPr>
          <w:p>
            <w:pPr>
              <w:jc w:val="center"/>
              <w:rPr>
                <w:b/>
                <w:color w:val="auto"/>
                <w:sz w:val="21"/>
                <w:szCs w:val="21"/>
              </w:rPr>
            </w:pPr>
            <w:r>
              <w:rPr>
                <w:rFonts w:hint="eastAsia"/>
                <w:b/>
                <w:color w:val="auto"/>
                <w:sz w:val="21"/>
                <w:szCs w:val="21"/>
              </w:rPr>
              <w:t>项目</w:t>
            </w:r>
          </w:p>
        </w:tc>
        <w:tc>
          <w:tcPr>
            <w:tcW w:w="6132" w:type="dxa"/>
            <w:vAlign w:val="center"/>
          </w:tcPr>
          <w:p>
            <w:pPr>
              <w:jc w:val="center"/>
              <w:rPr>
                <w:b/>
                <w:color w:val="auto"/>
                <w:sz w:val="21"/>
                <w:szCs w:val="21"/>
              </w:rPr>
            </w:pPr>
            <w:r>
              <w:rPr>
                <w:rFonts w:hint="eastAsia"/>
                <w:b/>
                <w:color w:val="auto"/>
                <w:sz w:val="21"/>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1</w:t>
            </w:r>
          </w:p>
        </w:tc>
        <w:tc>
          <w:tcPr>
            <w:tcW w:w="1737" w:type="dxa"/>
            <w:vAlign w:val="center"/>
          </w:tcPr>
          <w:p>
            <w:pPr>
              <w:jc w:val="center"/>
              <w:rPr>
                <w:color w:val="auto"/>
                <w:sz w:val="21"/>
                <w:szCs w:val="21"/>
              </w:rPr>
            </w:pPr>
            <w:r>
              <w:rPr>
                <w:rFonts w:hint="eastAsia"/>
                <w:color w:val="auto"/>
                <w:sz w:val="21"/>
                <w:szCs w:val="21"/>
              </w:rPr>
              <w:t>总则</w:t>
            </w:r>
          </w:p>
        </w:tc>
        <w:tc>
          <w:tcPr>
            <w:tcW w:w="6132" w:type="dxa"/>
            <w:vAlign w:val="center"/>
          </w:tcPr>
          <w:p>
            <w:pPr>
              <w:jc w:val="center"/>
              <w:rPr>
                <w:color w:val="auto"/>
                <w:sz w:val="21"/>
                <w:szCs w:val="21"/>
              </w:rPr>
            </w:pPr>
            <w:r>
              <w:rPr>
                <w:rFonts w:hint="eastAsia"/>
                <w:color w:val="auto"/>
                <w:sz w:val="21"/>
                <w:szCs w:val="21"/>
              </w:rPr>
              <w:t>说明编制预案的目的、工作原则、编制依据、适用范围等。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2</w:t>
            </w:r>
          </w:p>
        </w:tc>
        <w:tc>
          <w:tcPr>
            <w:tcW w:w="1737" w:type="dxa"/>
            <w:vAlign w:val="center"/>
          </w:tcPr>
          <w:p>
            <w:pPr>
              <w:jc w:val="center"/>
              <w:rPr>
                <w:color w:val="auto"/>
                <w:sz w:val="21"/>
                <w:szCs w:val="21"/>
              </w:rPr>
            </w:pPr>
            <w:r>
              <w:rPr>
                <w:rFonts w:hint="eastAsia"/>
                <w:color w:val="auto"/>
                <w:sz w:val="21"/>
                <w:szCs w:val="21"/>
              </w:rPr>
              <w:t>危险源概况</w:t>
            </w:r>
          </w:p>
        </w:tc>
        <w:tc>
          <w:tcPr>
            <w:tcW w:w="6132" w:type="dxa"/>
            <w:vAlign w:val="center"/>
          </w:tcPr>
          <w:p>
            <w:pPr>
              <w:jc w:val="center"/>
              <w:rPr>
                <w:color w:val="auto"/>
                <w:sz w:val="21"/>
                <w:szCs w:val="21"/>
              </w:rPr>
            </w:pPr>
            <w:r>
              <w:rPr>
                <w:rFonts w:hint="eastAsia"/>
                <w:color w:val="auto"/>
                <w:sz w:val="21"/>
                <w:szCs w:val="21"/>
              </w:rPr>
              <w:t>详述危险源类型、数量及其分布，如化学品存储位置、存贮量等。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3</w:t>
            </w:r>
          </w:p>
        </w:tc>
        <w:tc>
          <w:tcPr>
            <w:tcW w:w="1737" w:type="dxa"/>
            <w:vAlign w:val="center"/>
          </w:tcPr>
          <w:p>
            <w:pPr>
              <w:jc w:val="center"/>
              <w:rPr>
                <w:color w:val="auto"/>
                <w:sz w:val="21"/>
                <w:szCs w:val="21"/>
              </w:rPr>
            </w:pPr>
            <w:r>
              <w:rPr>
                <w:rFonts w:hint="eastAsia"/>
                <w:color w:val="auto"/>
                <w:sz w:val="21"/>
                <w:szCs w:val="21"/>
              </w:rPr>
              <w:t>应急计划区</w:t>
            </w:r>
          </w:p>
        </w:tc>
        <w:tc>
          <w:tcPr>
            <w:tcW w:w="6132" w:type="dxa"/>
            <w:vAlign w:val="center"/>
          </w:tcPr>
          <w:p>
            <w:pPr>
              <w:jc w:val="center"/>
              <w:rPr>
                <w:color w:val="auto"/>
                <w:sz w:val="21"/>
                <w:szCs w:val="21"/>
              </w:rPr>
            </w:pPr>
            <w:r>
              <w:rPr>
                <w:rFonts w:hint="eastAsia"/>
                <w:color w:val="auto"/>
                <w:sz w:val="21"/>
                <w:szCs w:val="21"/>
              </w:rPr>
              <w:t>污水处理区、加药间等。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4</w:t>
            </w:r>
          </w:p>
        </w:tc>
        <w:tc>
          <w:tcPr>
            <w:tcW w:w="1737" w:type="dxa"/>
            <w:vAlign w:val="center"/>
          </w:tcPr>
          <w:p>
            <w:pPr>
              <w:jc w:val="center"/>
              <w:rPr>
                <w:color w:val="auto"/>
                <w:sz w:val="21"/>
                <w:szCs w:val="21"/>
              </w:rPr>
            </w:pPr>
            <w:r>
              <w:rPr>
                <w:rFonts w:hint="eastAsia"/>
                <w:color w:val="auto"/>
                <w:sz w:val="21"/>
                <w:szCs w:val="21"/>
              </w:rPr>
              <w:t>应急组织</w:t>
            </w:r>
          </w:p>
        </w:tc>
        <w:tc>
          <w:tcPr>
            <w:tcW w:w="6132" w:type="dxa"/>
            <w:vAlign w:val="center"/>
          </w:tcPr>
          <w:p>
            <w:pPr>
              <w:jc w:val="center"/>
              <w:rPr>
                <w:color w:val="auto"/>
                <w:sz w:val="21"/>
                <w:szCs w:val="21"/>
              </w:rPr>
            </w:pPr>
            <w:r>
              <w:rPr>
                <w:rFonts w:hint="eastAsia"/>
                <w:color w:val="auto"/>
                <w:sz w:val="21"/>
                <w:szCs w:val="21"/>
              </w:rPr>
              <w:t>厂指挥部——负责现场全面指挥；</w:t>
            </w:r>
          </w:p>
          <w:p>
            <w:pPr>
              <w:jc w:val="center"/>
              <w:rPr>
                <w:color w:val="auto"/>
                <w:sz w:val="21"/>
                <w:szCs w:val="21"/>
              </w:rPr>
            </w:pPr>
            <w:r>
              <w:rPr>
                <w:rFonts w:hint="eastAsia"/>
                <w:color w:val="auto"/>
                <w:sz w:val="21"/>
                <w:szCs w:val="21"/>
              </w:rPr>
              <w:t>专业的救援队伍——负责事故控制、救援、善后处理。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color w:val="auto"/>
                <w:sz w:val="21"/>
                <w:szCs w:val="21"/>
              </w:rPr>
              <w:t>5</w:t>
            </w:r>
          </w:p>
        </w:tc>
        <w:tc>
          <w:tcPr>
            <w:tcW w:w="1737" w:type="dxa"/>
            <w:vAlign w:val="center"/>
          </w:tcPr>
          <w:p>
            <w:pPr>
              <w:jc w:val="center"/>
              <w:rPr>
                <w:color w:val="auto"/>
                <w:sz w:val="21"/>
                <w:szCs w:val="21"/>
              </w:rPr>
            </w:pPr>
            <w:r>
              <w:rPr>
                <w:rFonts w:hint="eastAsia"/>
                <w:color w:val="auto"/>
                <w:sz w:val="21"/>
                <w:szCs w:val="21"/>
              </w:rPr>
              <w:t>应急状态分类及应急相应程序</w:t>
            </w:r>
          </w:p>
        </w:tc>
        <w:tc>
          <w:tcPr>
            <w:tcW w:w="6132" w:type="dxa"/>
            <w:vAlign w:val="center"/>
          </w:tcPr>
          <w:p>
            <w:pPr>
              <w:jc w:val="center"/>
              <w:rPr>
                <w:color w:val="auto"/>
                <w:sz w:val="21"/>
                <w:szCs w:val="21"/>
              </w:rPr>
            </w:pPr>
            <w:r>
              <w:rPr>
                <w:rFonts w:hint="eastAsia"/>
                <w:color w:val="auto"/>
                <w:sz w:val="21"/>
                <w:szCs w:val="21"/>
              </w:rPr>
              <w:t>规定事故的级别及相应的应急分类相应程序。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color w:val="auto"/>
                <w:sz w:val="21"/>
                <w:szCs w:val="21"/>
              </w:rPr>
              <w:t>6</w:t>
            </w:r>
          </w:p>
        </w:tc>
        <w:tc>
          <w:tcPr>
            <w:tcW w:w="1737" w:type="dxa"/>
            <w:vAlign w:val="center"/>
          </w:tcPr>
          <w:p>
            <w:pPr>
              <w:jc w:val="center"/>
              <w:rPr>
                <w:color w:val="auto"/>
                <w:sz w:val="21"/>
                <w:szCs w:val="21"/>
              </w:rPr>
            </w:pPr>
            <w:r>
              <w:rPr>
                <w:rFonts w:hint="eastAsia"/>
                <w:color w:val="auto"/>
                <w:sz w:val="21"/>
                <w:szCs w:val="21"/>
              </w:rPr>
              <w:t>应急设施设备与材料</w:t>
            </w:r>
          </w:p>
        </w:tc>
        <w:tc>
          <w:tcPr>
            <w:tcW w:w="6132" w:type="dxa"/>
            <w:vAlign w:val="center"/>
          </w:tcPr>
          <w:p>
            <w:pPr>
              <w:jc w:val="center"/>
              <w:rPr>
                <w:color w:val="auto"/>
                <w:sz w:val="21"/>
                <w:szCs w:val="21"/>
              </w:rPr>
            </w:pPr>
            <w:r>
              <w:rPr>
                <w:rFonts w:hint="eastAsia"/>
                <w:color w:val="auto"/>
                <w:sz w:val="21"/>
                <w:szCs w:val="21"/>
              </w:rPr>
              <w:t>生产装置：防火灾、爆炸事故应急设施、设备材料，主要为消防器材；储藏区：防火灾、爆炸事故应急设施、设备与材料，主要为消防器材；防有毒有害物质外溢、扩散，主要是喷淋设备等。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7</w:t>
            </w:r>
          </w:p>
        </w:tc>
        <w:tc>
          <w:tcPr>
            <w:tcW w:w="1737" w:type="dxa"/>
            <w:vAlign w:val="center"/>
          </w:tcPr>
          <w:p>
            <w:pPr>
              <w:jc w:val="center"/>
              <w:rPr>
                <w:color w:val="auto"/>
                <w:sz w:val="21"/>
                <w:szCs w:val="21"/>
              </w:rPr>
            </w:pPr>
            <w:r>
              <w:rPr>
                <w:rFonts w:hint="eastAsia"/>
                <w:color w:val="auto"/>
                <w:sz w:val="21"/>
                <w:szCs w:val="21"/>
              </w:rPr>
              <w:t>应急通讯</w:t>
            </w:r>
          </w:p>
        </w:tc>
        <w:tc>
          <w:tcPr>
            <w:tcW w:w="6132" w:type="dxa"/>
            <w:vAlign w:val="center"/>
          </w:tcPr>
          <w:p>
            <w:pPr>
              <w:jc w:val="center"/>
              <w:rPr>
                <w:color w:val="auto"/>
                <w:sz w:val="21"/>
                <w:szCs w:val="21"/>
              </w:rPr>
            </w:pPr>
            <w:r>
              <w:rPr>
                <w:rFonts w:hint="eastAsia"/>
                <w:color w:val="auto"/>
                <w:sz w:val="21"/>
                <w:szCs w:val="21"/>
              </w:rPr>
              <w:t>规定应急状态下的通讯方式、通知方式。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color w:val="auto"/>
                <w:sz w:val="21"/>
                <w:szCs w:val="21"/>
              </w:rPr>
              <w:t>8</w:t>
            </w:r>
          </w:p>
        </w:tc>
        <w:tc>
          <w:tcPr>
            <w:tcW w:w="1737" w:type="dxa"/>
            <w:vAlign w:val="center"/>
          </w:tcPr>
          <w:p>
            <w:pPr>
              <w:jc w:val="center"/>
              <w:rPr>
                <w:color w:val="auto"/>
                <w:sz w:val="21"/>
                <w:szCs w:val="21"/>
              </w:rPr>
            </w:pPr>
            <w:r>
              <w:rPr>
                <w:rFonts w:hint="eastAsia"/>
                <w:color w:val="auto"/>
                <w:sz w:val="21"/>
                <w:szCs w:val="21"/>
              </w:rPr>
              <w:t>应急环境监测及事故后评估</w:t>
            </w:r>
          </w:p>
        </w:tc>
        <w:tc>
          <w:tcPr>
            <w:tcW w:w="6132" w:type="dxa"/>
            <w:vAlign w:val="center"/>
          </w:tcPr>
          <w:p>
            <w:pPr>
              <w:jc w:val="center"/>
              <w:rPr>
                <w:color w:val="auto"/>
                <w:sz w:val="21"/>
                <w:szCs w:val="21"/>
              </w:rPr>
            </w:pPr>
            <w:r>
              <w:rPr>
                <w:rFonts w:hint="eastAsia"/>
                <w:color w:val="auto"/>
                <w:sz w:val="21"/>
                <w:szCs w:val="21"/>
              </w:rPr>
              <w:t>由专业队伍负责对事故现场进行勘察监测，对事故性质、参数与后果进行评估，为指挥部门提供决策依据。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color w:val="auto"/>
                <w:sz w:val="21"/>
                <w:szCs w:val="21"/>
              </w:rPr>
              <w:t>9</w:t>
            </w:r>
          </w:p>
        </w:tc>
        <w:tc>
          <w:tcPr>
            <w:tcW w:w="1737" w:type="dxa"/>
            <w:vAlign w:val="center"/>
          </w:tcPr>
          <w:p>
            <w:pPr>
              <w:jc w:val="center"/>
              <w:rPr>
                <w:color w:val="auto"/>
                <w:sz w:val="21"/>
                <w:szCs w:val="21"/>
              </w:rPr>
            </w:pPr>
            <w:r>
              <w:rPr>
                <w:rFonts w:hint="eastAsia"/>
                <w:color w:val="auto"/>
                <w:sz w:val="21"/>
                <w:szCs w:val="21"/>
              </w:rPr>
              <w:t>应急防护措施、消除泄露措施、方法和器材</w:t>
            </w:r>
          </w:p>
        </w:tc>
        <w:tc>
          <w:tcPr>
            <w:tcW w:w="6132" w:type="dxa"/>
            <w:vAlign w:val="center"/>
          </w:tcPr>
          <w:p>
            <w:pPr>
              <w:jc w:val="center"/>
              <w:rPr>
                <w:color w:val="auto"/>
                <w:sz w:val="21"/>
                <w:szCs w:val="21"/>
              </w:rPr>
            </w:pPr>
            <w:r>
              <w:rPr>
                <w:rFonts w:hint="eastAsia"/>
                <w:color w:val="auto"/>
                <w:sz w:val="21"/>
                <w:szCs w:val="21"/>
              </w:rPr>
              <w:t>事故现场：控制事故，防止扩大、蔓延及连锁反应。消除现场泄漏物，降低危害，相应的设施器材配备；邻近区域：控制防火区域，控制和清除污染措施及相应设备配房。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color w:val="auto"/>
                <w:sz w:val="21"/>
                <w:szCs w:val="21"/>
              </w:rPr>
              <w:t>10</w:t>
            </w:r>
          </w:p>
        </w:tc>
        <w:tc>
          <w:tcPr>
            <w:tcW w:w="1737" w:type="dxa"/>
            <w:vAlign w:val="center"/>
          </w:tcPr>
          <w:p>
            <w:pPr>
              <w:jc w:val="center"/>
              <w:rPr>
                <w:color w:val="auto"/>
                <w:sz w:val="21"/>
                <w:szCs w:val="21"/>
              </w:rPr>
            </w:pPr>
            <w:r>
              <w:rPr>
                <w:rFonts w:hint="eastAsia"/>
                <w:color w:val="auto"/>
                <w:sz w:val="21"/>
                <w:szCs w:val="21"/>
              </w:rPr>
              <w:t>应急剂量控制、撤离组织计划、医疗救护与公众健康</w:t>
            </w:r>
          </w:p>
        </w:tc>
        <w:tc>
          <w:tcPr>
            <w:tcW w:w="6132" w:type="dxa"/>
            <w:vAlign w:val="center"/>
          </w:tcPr>
          <w:p>
            <w:pPr>
              <w:jc w:val="center"/>
              <w:rPr>
                <w:color w:val="auto"/>
                <w:sz w:val="21"/>
                <w:szCs w:val="21"/>
              </w:rPr>
            </w:pPr>
            <w:r>
              <w:rPr>
                <w:rFonts w:hint="eastAsia"/>
                <w:color w:val="auto"/>
                <w:sz w:val="21"/>
                <w:szCs w:val="21"/>
              </w:rPr>
              <w:t>事故现场：事故处理人员对毒物的应急剂量控制规定，现场及邻近装置，人员撤离组织计划及救护；邻近区域：受事故影响的邻近区域人员及公众对毒物应急剂量控制规定，撤离组织计划及救护。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color w:val="auto"/>
                <w:sz w:val="21"/>
                <w:szCs w:val="21"/>
              </w:rPr>
              <w:t>11</w:t>
            </w:r>
          </w:p>
        </w:tc>
        <w:tc>
          <w:tcPr>
            <w:tcW w:w="1737" w:type="dxa"/>
            <w:vAlign w:val="center"/>
          </w:tcPr>
          <w:p>
            <w:pPr>
              <w:jc w:val="center"/>
              <w:rPr>
                <w:color w:val="auto"/>
                <w:sz w:val="21"/>
                <w:szCs w:val="21"/>
              </w:rPr>
            </w:pPr>
            <w:r>
              <w:rPr>
                <w:rFonts w:hint="eastAsia"/>
                <w:color w:val="auto"/>
                <w:sz w:val="21"/>
                <w:szCs w:val="21"/>
              </w:rPr>
              <w:t>应急状态终止与恢复措施</w:t>
            </w:r>
          </w:p>
        </w:tc>
        <w:tc>
          <w:tcPr>
            <w:tcW w:w="6132" w:type="dxa"/>
            <w:vAlign w:val="center"/>
          </w:tcPr>
          <w:p>
            <w:pPr>
              <w:jc w:val="center"/>
              <w:rPr>
                <w:color w:val="auto"/>
                <w:sz w:val="21"/>
                <w:szCs w:val="21"/>
              </w:rPr>
            </w:pPr>
            <w:r>
              <w:rPr>
                <w:rFonts w:hint="eastAsia"/>
                <w:color w:val="auto"/>
                <w:sz w:val="21"/>
                <w:szCs w:val="21"/>
              </w:rPr>
              <w:t>规定应急状态终止程序事故现场善后处理，恢复措施。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12</w:t>
            </w:r>
          </w:p>
        </w:tc>
        <w:tc>
          <w:tcPr>
            <w:tcW w:w="1737" w:type="dxa"/>
            <w:vAlign w:val="center"/>
          </w:tcPr>
          <w:p>
            <w:pPr>
              <w:jc w:val="center"/>
              <w:rPr>
                <w:color w:val="auto"/>
                <w:sz w:val="21"/>
                <w:szCs w:val="21"/>
              </w:rPr>
            </w:pPr>
            <w:r>
              <w:rPr>
                <w:rFonts w:hint="eastAsia"/>
                <w:color w:val="auto"/>
                <w:sz w:val="21"/>
                <w:szCs w:val="21"/>
              </w:rPr>
              <w:t>人员培训与演练</w:t>
            </w:r>
          </w:p>
        </w:tc>
        <w:tc>
          <w:tcPr>
            <w:tcW w:w="6132" w:type="dxa"/>
            <w:vAlign w:val="center"/>
          </w:tcPr>
          <w:p>
            <w:pPr>
              <w:jc w:val="center"/>
              <w:rPr>
                <w:color w:val="auto"/>
                <w:sz w:val="21"/>
                <w:szCs w:val="21"/>
              </w:rPr>
            </w:pPr>
            <w:r>
              <w:rPr>
                <w:rFonts w:hint="eastAsia"/>
                <w:color w:val="auto"/>
                <w:sz w:val="21"/>
                <w:szCs w:val="21"/>
              </w:rPr>
              <w:t>应急计划制定后，平时安排人员培训和训练。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13</w:t>
            </w:r>
          </w:p>
        </w:tc>
        <w:tc>
          <w:tcPr>
            <w:tcW w:w="1737" w:type="dxa"/>
            <w:vAlign w:val="center"/>
          </w:tcPr>
          <w:p>
            <w:pPr>
              <w:jc w:val="center"/>
              <w:rPr>
                <w:color w:val="auto"/>
                <w:sz w:val="21"/>
                <w:szCs w:val="21"/>
              </w:rPr>
            </w:pPr>
            <w:r>
              <w:rPr>
                <w:rFonts w:hint="eastAsia"/>
                <w:color w:val="auto"/>
                <w:sz w:val="21"/>
                <w:szCs w:val="21"/>
              </w:rPr>
              <w:t>公众教育和信息</w:t>
            </w:r>
          </w:p>
        </w:tc>
        <w:tc>
          <w:tcPr>
            <w:tcW w:w="6132" w:type="dxa"/>
            <w:vAlign w:val="center"/>
          </w:tcPr>
          <w:p>
            <w:pPr>
              <w:jc w:val="center"/>
              <w:rPr>
                <w:color w:val="auto"/>
                <w:sz w:val="21"/>
                <w:szCs w:val="21"/>
              </w:rPr>
            </w:pPr>
            <w:r>
              <w:rPr>
                <w:rFonts w:hint="eastAsia"/>
                <w:color w:val="auto"/>
                <w:sz w:val="21"/>
                <w:szCs w:val="21"/>
              </w:rPr>
              <w:t>对厂区临近地区开展公众教育、培训和演练。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14</w:t>
            </w:r>
          </w:p>
        </w:tc>
        <w:tc>
          <w:tcPr>
            <w:tcW w:w="1737" w:type="dxa"/>
            <w:vAlign w:val="center"/>
          </w:tcPr>
          <w:p>
            <w:pPr>
              <w:jc w:val="center"/>
              <w:rPr>
                <w:color w:val="auto"/>
                <w:sz w:val="21"/>
                <w:szCs w:val="21"/>
              </w:rPr>
            </w:pPr>
            <w:r>
              <w:rPr>
                <w:rFonts w:hint="eastAsia"/>
                <w:color w:val="auto"/>
                <w:sz w:val="21"/>
                <w:szCs w:val="21"/>
              </w:rPr>
              <w:t>记录和报告</w:t>
            </w:r>
          </w:p>
        </w:tc>
        <w:tc>
          <w:tcPr>
            <w:tcW w:w="6132" w:type="dxa"/>
            <w:vAlign w:val="center"/>
          </w:tcPr>
          <w:p>
            <w:pPr>
              <w:jc w:val="center"/>
              <w:rPr>
                <w:color w:val="auto"/>
                <w:sz w:val="21"/>
                <w:szCs w:val="21"/>
              </w:rPr>
            </w:pPr>
            <w:r>
              <w:rPr>
                <w:rFonts w:hint="eastAsia"/>
                <w:color w:val="auto"/>
                <w:sz w:val="21"/>
                <w:szCs w:val="21"/>
              </w:rPr>
              <w:t>设置应急事故专门记录，建立档案和专门报告制度，设专门部门负责管理。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Align w:val="center"/>
          </w:tcPr>
          <w:p>
            <w:pPr>
              <w:jc w:val="center"/>
              <w:rPr>
                <w:color w:val="auto"/>
                <w:sz w:val="21"/>
                <w:szCs w:val="21"/>
              </w:rPr>
            </w:pPr>
            <w:r>
              <w:rPr>
                <w:rFonts w:hint="eastAsia"/>
                <w:color w:val="auto"/>
                <w:sz w:val="21"/>
                <w:szCs w:val="21"/>
              </w:rPr>
              <w:t>15</w:t>
            </w:r>
          </w:p>
        </w:tc>
        <w:tc>
          <w:tcPr>
            <w:tcW w:w="1737" w:type="dxa"/>
            <w:vAlign w:val="center"/>
          </w:tcPr>
          <w:p>
            <w:pPr>
              <w:jc w:val="center"/>
              <w:rPr>
                <w:color w:val="auto"/>
                <w:sz w:val="21"/>
                <w:szCs w:val="21"/>
              </w:rPr>
            </w:pPr>
            <w:r>
              <w:rPr>
                <w:rFonts w:hint="eastAsia"/>
                <w:color w:val="auto"/>
                <w:sz w:val="21"/>
                <w:szCs w:val="21"/>
              </w:rPr>
              <w:t>附件</w:t>
            </w:r>
          </w:p>
        </w:tc>
        <w:tc>
          <w:tcPr>
            <w:tcW w:w="6132" w:type="dxa"/>
            <w:vAlign w:val="center"/>
          </w:tcPr>
          <w:p>
            <w:pPr>
              <w:jc w:val="center"/>
              <w:rPr>
                <w:color w:val="auto"/>
                <w:sz w:val="21"/>
                <w:szCs w:val="21"/>
              </w:rPr>
            </w:pPr>
            <w:r>
              <w:rPr>
                <w:rFonts w:hint="eastAsia"/>
                <w:color w:val="auto"/>
                <w:sz w:val="21"/>
                <w:szCs w:val="21"/>
              </w:rPr>
              <w:t>与应急事故有关的多种附件材料的准备和形成。</w:t>
            </w:r>
          </w:p>
        </w:tc>
      </w:tr>
    </w:tbl>
    <w:p>
      <w:pPr>
        <w:spacing w:line="360" w:lineRule="auto"/>
        <w:ind w:firstLine="480" w:firstLineChars="200"/>
        <w:jc w:val="left"/>
        <w:rPr>
          <w:color w:val="auto"/>
          <w:sz w:val="24"/>
          <w:szCs w:val="24"/>
        </w:rPr>
      </w:pPr>
      <w:r>
        <w:rPr>
          <w:rFonts w:hint="eastAsia"/>
          <w:color w:val="auto"/>
          <w:sz w:val="24"/>
          <w:szCs w:val="24"/>
        </w:rPr>
        <w:t>建设方应借鉴上表编制该公司事故应急预案，并制定演练计划，定期演练。随着本项目的实施，如果生产技术及厂区布局等发生较大变化，建设方应根据变化后全厂的实际情况制定和修改环境风险应急预案，并落实相关负责人。</w:t>
      </w:r>
    </w:p>
    <w:p>
      <w:pPr>
        <w:pStyle w:val="5"/>
        <w:rPr>
          <w:color w:val="auto"/>
        </w:rPr>
      </w:pPr>
      <w:r>
        <w:rPr>
          <w:rFonts w:hint="eastAsia"/>
          <w:color w:val="auto"/>
        </w:rPr>
        <w:t>5.2.6.6分析结论</w:t>
      </w:r>
    </w:p>
    <w:p>
      <w:pPr>
        <w:spacing w:line="360" w:lineRule="auto"/>
        <w:ind w:firstLine="480" w:firstLineChars="200"/>
        <w:rPr>
          <w:color w:val="auto"/>
          <w:sz w:val="24"/>
          <w:szCs w:val="24"/>
        </w:rPr>
      </w:pPr>
      <w:r>
        <w:rPr>
          <w:rFonts w:hint="eastAsia"/>
          <w:color w:val="auto"/>
          <w:sz w:val="24"/>
          <w:szCs w:val="24"/>
        </w:rPr>
        <w:t>综上所述，本项目环境风险防范措施有效可靠，在实行风险防范措施及应急措施的前提下，本项目环境风险影响在可控范围内。</w:t>
      </w:r>
    </w:p>
    <w:p>
      <w:pPr>
        <w:adjustRightInd w:val="0"/>
        <w:snapToGrid w:val="0"/>
        <w:spacing w:line="360" w:lineRule="auto"/>
        <w:ind w:left="420"/>
        <w:jc w:val="center"/>
        <w:rPr>
          <w:b/>
          <w:color w:val="auto"/>
          <w:sz w:val="24"/>
          <w:szCs w:val="24"/>
        </w:rPr>
      </w:pPr>
      <w:r>
        <w:rPr>
          <w:rFonts w:hint="eastAsia"/>
          <w:b/>
          <w:color w:val="auto"/>
          <w:sz w:val="24"/>
          <w:szCs w:val="24"/>
        </w:rPr>
        <w:t xml:space="preserve">表5-2-37   </w:t>
      </w:r>
      <w:r>
        <w:rPr>
          <w:b/>
          <w:color w:val="auto"/>
          <w:sz w:val="24"/>
          <w:szCs w:val="24"/>
        </w:rPr>
        <w:t>建设项目环境风险简单分析内容表</w:t>
      </w:r>
    </w:p>
    <w:tbl>
      <w:tblPr>
        <w:tblStyle w:val="28"/>
        <w:tblW w:w="9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9"/>
        <w:gridCol w:w="1479"/>
        <w:gridCol w:w="1754"/>
        <w:gridCol w:w="1253"/>
        <w:gridCol w:w="3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1579" w:type="dxa"/>
            <w:vAlign w:val="center"/>
          </w:tcPr>
          <w:p>
            <w:pPr>
              <w:jc w:val="center"/>
              <w:rPr>
                <w:color w:val="auto"/>
                <w:sz w:val="21"/>
                <w:szCs w:val="21"/>
              </w:rPr>
            </w:pPr>
            <w:r>
              <w:rPr>
                <w:color w:val="auto"/>
                <w:sz w:val="21"/>
                <w:szCs w:val="21"/>
              </w:rPr>
              <w:t>建设项目名称</w:t>
            </w:r>
          </w:p>
        </w:tc>
        <w:tc>
          <w:tcPr>
            <w:tcW w:w="7556" w:type="dxa"/>
            <w:gridSpan w:val="4"/>
            <w:vAlign w:val="center"/>
          </w:tcPr>
          <w:p>
            <w:pPr>
              <w:jc w:val="center"/>
              <w:rPr>
                <w:color w:val="auto"/>
                <w:sz w:val="21"/>
                <w:szCs w:val="21"/>
              </w:rPr>
            </w:pPr>
            <w:r>
              <w:rPr>
                <w:rFonts w:hint="eastAsia"/>
                <w:color w:val="auto"/>
                <w:sz w:val="21"/>
                <w:szCs w:val="21"/>
              </w:rPr>
              <w:t>五华河东绿色生态工业小镇油新水质净化厂一期工程建设项目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1579" w:type="dxa"/>
            <w:vAlign w:val="center"/>
          </w:tcPr>
          <w:p>
            <w:pPr>
              <w:jc w:val="center"/>
              <w:rPr>
                <w:color w:val="auto"/>
                <w:sz w:val="21"/>
                <w:szCs w:val="21"/>
              </w:rPr>
            </w:pPr>
            <w:r>
              <w:rPr>
                <w:color w:val="auto"/>
                <w:sz w:val="21"/>
                <w:szCs w:val="21"/>
              </w:rPr>
              <w:t>建设地点</w:t>
            </w:r>
          </w:p>
        </w:tc>
        <w:tc>
          <w:tcPr>
            <w:tcW w:w="7556" w:type="dxa"/>
            <w:gridSpan w:val="4"/>
            <w:vAlign w:val="center"/>
          </w:tcPr>
          <w:p>
            <w:pPr>
              <w:jc w:val="center"/>
              <w:rPr>
                <w:color w:val="auto"/>
                <w:sz w:val="21"/>
                <w:szCs w:val="21"/>
              </w:rPr>
            </w:pPr>
            <w:r>
              <w:rPr>
                <w:rFonts w:hint="eastAsia"/>
                <w:color w:val="auto"/>
                <w:sz w:val="21"/>
                <w:szCs w:val="21"/>
              </w:rPr>
              <w:t>畲华高速的东侧、油新公园的西南侧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1579" w:type="dxa"/>
            <w:vAlign w:val="center"/>
          </w:tcPr>
          <w:p>
            <w:pPr>
              <w:jc w:val="center"/>
              <w:rPr>
                <w:color w:val="auto"/>
                <w:sz w:val="21"/>
                <w:szCs w:val="21"/>
              </w:rPr>
            </w:pPr>
            <w:r>
              <w:rPr>
                <w:color w:val="auto"/>
                <w:sz w:val="21"/>
                <w:szCs w:val="21"/>
              </w:rPr>
              <w:t>地理坐标</w:t>
            </w:r>
          </w:p>
        </w:tc>
        <w:tc>
          <w:tcPr>
            <w:tcW w:w="1479" w:type="dxa"/>
            <w:vAlign w:val="center"/>
          </w:tcPr>
          <w:p>
            <w:pPr>
              <w:jc w:val="center"/>
              <w:rPr>
                <w:color w:val="auto"/>
                <w:sz w:val="21"/>
                <w:szCs w:val="21"/>
              </w:rPr>
            </w:pPr>
            <w:r>
              <w:rPr>
                <w:color w:val="auto"/>
                <w:sz w:val="21"/>
                <w:szCs w:val="21"/>
              </w:rPr>
              <w:t>经度</w:t>
            </w:r>
          </w:p>
        </w:tc>
        <w:tc>
          <w:tcPr>
            <w:tcW w:w="1754" w:type="dxa"/>
            <w:vAlign w:val="center"/>
          </w:tcPr>
          <w:p>
            <w:pPr>
              <w:jc w:val="center"/>
              <w:rPr>
                <w:color w:val="auto"/>
                <w:sz w:val="21"/>
                <w:szCs w:val="21"/>
              </w:rPr>
            </w:pPr>
            <w:r>
              <w:rPr>
                <w:color w:val="auto"/>
                <w:sz w:val="21"/>
                <w:szCs w:val="21"/>
              </w:rPr>
              <w:t>115.836947°</w:t>
            </w:r>
          </w:p>
        </w:tc>
        <w:tc>
          <w:tcPr>
            <w:tcW w:w="1253" w:type="dxa"/>
            <w:vAlign w:val="center"/>
          </w:tcPr>
          <w:p>
            <w:pPr>
              <w:jc w:val="center"/>
              <w:rPr>
                <w:color w:val="auto"/>
                <w:sz w:val="21"/>
                <w:szCs w:val="21"/>
              </w:rPr>
            </w:pPr>
            <w:r>
              <w:rPr>
                <w:color w:val="auto"/>
                <w:sz w:val="21"/>
                <w:szCs w:val="21"/>
              </w:rPr>
              <w:t>纬度</w:t>
            </w:r>
          </w:p>
        </w:tc>
        <w:tc>
          <w:tcPr>
            <w:tcW w:w="3070" w:type="dxa"/>
            <w:vAlign w:val="center"/>
          </w:tcPr>
          <w:p>
            <w:pPr>
              <w:jc w:val="center"/>
              <w:rPr>
                <w:color w:val="auto"/>
                <w:sz w:val="21"/>
                <w:szCs w:val="21"/>
              </w:rPr>
            </w:pPr>
            <w:r>
              <w:rPr>
                <w:color w:val="auto"/>
                <w:sz w:val="21"/>
                <w:szCs w:val="21"/>
              </w:rPr>
              <w:t>23.934993°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1579" w:type="dxa"/>
            <w:vAlign w:val="center"/>
          </w:tcPr>
          <w:p>
            <w:pPr>
              <w:jc w:val="center"/>
              <w:rPr>
                <w:color w:val="auto"/>
                <w:sz w:val="21"/>
                <w:szCs w:val="21"/>
              </w:rPr>
            </w:pPr>
            <w:r>
              <w:rPr>
                <w:color w:val="auto"/>
                <w:sz w:val="21"/>
                <w:szCs w:val="21"/>
              </w:rPr>
              <w:t>主要危险物质及分布</w:t>
            </w:r>
          </w:p>
        </w:tc>
        <w:tc>
          <w:tcPr>
            <w:tcW w:w="7556" w:type="dxa"/>
            <w:gridSpan w:val="4"/>
            <w:vAlign w:val="center"/>
          </w:tcPr>
          <w:p>
            <w:pPr>
              <w:jc w:val="center"/>
              <w:rPr>
                <w:color w:val="auto"/>
                <w:sz w:val="21"/>
                <w:szCs w:val="21"/>
              </w:rPr>
            </w:pPr>
            <w:r>
              <w:rPr>
                <w:rFonts w:hint="eastAsia"/>
                <w:color w:val="auto"/>
                <w:sz w:val="21"/>
                <w:szCs w:val="21"/>
              </w:rPr>
              <w:t>本项目主要风险物质为NaClO溶液、石灰；</w:t>
            </w:r>
          </w:p>
          <w:p>
            <w:pPr>
              <w:jc w:val="center"/>
              <w:rPr>
                <w:color w:val="auto"/>
                <w:sz w:val="21"/>
                <w:szCs w:val="21"/>
              </w:rPr>
            </w:pPr>
            <w:r>
              <w:rPr>
                <w:rFonts w:hint="eastAsia"/>
                <w:color w:val="auto"/>
                <w:sz w:val="21"/>
                <w:szCs w:val="21"/>
              </w:rPr>
              <w:t>主要风险场所为加药间和污水处理单元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9" w:type="dxa"/>
            <w:vAlign w:val="center"/>
          </w:tcPr>
          <w:p>
            <w:pPr>
              <w:jc w:val="center"/>
              <w:rPr>
                <w:color w:val="auto"/>
                <w:sz w:val="21"/>
                <w:szCs w:val="21"/>
              </w:rPr>
            </w:pPr>
            <w:r>
              <w:rPr>
                <w:color w:val="auto"/>
                <w:sz w:val="21"/>
                <w:szCs w:val="21"/>
              </w:rPr>
              <w:t>环境影响途径及危害后果（大气、地表水、地下水等）</w:t>
            </w:r>
          </w:p>
        </w:tc>
        <w:tc>
          <w:tcPr>
            <w:tcW w:w="7556" w:type="dxa"/>
            <w:gridSpan w:val="4"/>
            <w:vAlign w:val="center"/>
          </w:tcPr>
          <w:p>
            <w:pPr>
              <w:jc w:val="left"/>
              <w:rPr>
                <w:color w:val="auto"/>
                <w:sz w:val="21"/>
                <w:szCs w:val="21"/>
              </w:rPr>
            </w:pPr>
            <w:r>
              <w:rPr>
                <w:rFonts w:hint="eastAsia"/>
                <w:color w:val="auto"/>
                <w:sz w:val="21"/>
                <w:szCs w:val="21"/>
              </w:rPr>
              <w:t>①环境空气：若厂区发生火灾事故，NaClO溶液受高热分解会产生有毒的腐蚀性烟气，扩散入周边大气环境将使局部空气浓度超标，威胁厂区工作人员及周边群众生命财产安全。</w:t>
            </w:r>
          </w:p>
          <w:p>
            <w:pPr>
              <w:jc w:val="left"/>
              <w:rPr>
                <w:color w:val="auto"/>
                <w:sz w:val="21"/>
                <w:szCs w:val="21"/>
              </w:rPr>
            </w:pPr>
            <w:r>
              <w:rPr>
                <w:rFonts w:hint="eastAsia"/>
                <w:color w:val="auto"/>
                <w:sz w:val="21"/>
                <w:szCs w:val="21"/>
              </w:rPr>
              <w:t>②地表水环境：非正常工况废水排放主要包括以下几个方面：进水水量、水质超标，停电，关键性设备故障等。当发生上述情况时，项目尾水可能超标排放，造成受纳水体污染物浓度超标。</w:t>
            </w:r>
          </w:p>
          <w:p>
            <w:pPr>
              <w:jc w:val="left"/>
              <w:rPr>
                <w:color w:val="auto"/>
                <w:sz w:val="21"/>
                <w:szCs w:val="21"/>
              </w:rPr>
            </w:pPr>
            <w:r>
              <w:rPr>
                <w:rFonts w:hint="eastAsia"/>
                <w:color w:val="auto"/>
                <w:sz w:val="21"/>
                <w:szCs w:val="21"/>
              </w:rPr>
              <w:t>③地下水环境：本项目为水质净化厂建设项目，当污水处理设施池体、管道等区域发生泄露事故时，未经有效处理的废水可能渗流入地下，若进入地下水环境，可能造成地下水污染物浓度超标。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579" w:type="dxa"/>
            <w:vAlign w:val="center"/>
          </w:tcPr>
          <w:p>
            <w:pPr>
              <w:jc w:val="center"/>
              <w:rPr>
                <w:color w:val="auto"/>
                <w:sz w:val="21"/>
                <w:szCs w:val="21"/>
              </w:rPr>
            </w:pPr>
            <w:r>
              <w:rPr>
                <w:color w:val="auto"/>
                <w:sz w:val="21"/>
                <w:szCs w:val="21"/>
              </w:rPr>
              <w:t>风险防范措施要求</w:t>
            </w:r>
          </w:p>
        </w:tc>
        <w:tc>
          <w:tcPr>
            <w:tcW w:w="7556" w:type="dxa"/>
            <w:gridSpan w:val="4"/>
            <w:vAlign w:val="center"/>
          </w:tcPr>
          <w:p>
            <w:pPr>
              <w:jc w:val="left"/>
              <w:rPr>
                <w:color w:val="auto"/>
                <w:sz w:val="21"/>
                <w:szCs w:val="21"/>
              </w:rPr>
            </w:pPr>
            <w:r>
              <w:rPr>
                <w:rFonts w:hint="eastAsia"/>
                <w:color w:val="auto"/>
                <w:sz w:val="21"/>
                <w:szCs w:val="21"/>
              </w:rPr>
              <w:t>①强化安全生产及环境保护意识的教育，加强操作人员的上岗前的培训，定期检查安全消防设施的完好性。</w:t>
            </w:r>
          </w:p>
          <w:p>
            <w:pPr>
              <w:jc w:val="left"/>
              <w:rPr>
                <w:color w:val="auto"/>
                <w:sz w:val="21"/>
                <w:szCs w:val="21"/>
              </w:rPr>
            </w:pPr>
            <w:r>
              <w:rPr>
                <w:rFonts w:hint="eastAsia"/>
                <w:color w:val="auto"/>
                <w:sz w:val="21"/>
                <w:szCs w:val="21"/>
              </w:rPr>
              <w:t>②废水处理设施运行过程中安排专职人员对整个废水处理系统进行巡回检查，检查电路、管路以及处理设备，发现问题及时处理。</w:t>
            </w:r>
          </w:p>
          <w:p>
            <w:pPr>
              <w:jc w:val="left"/>
              <w:rPr>
                <w:color w:val="auto"/>
                <w:sz w:val="21"/>
                <w:szCs w:val="21"/>
              </w:rPr>
            </w:pPr>
            <w:r>
              <w:rPr>
                <w:rFonts w:hint="eastAsia"/>
                <w:color w:val="auto"/>
                <w:sz w:val="21"/>
                <w:szCs w:val="21"/>
              </w:rPr>
              <w:t>③建立环境风险应急预案，开展环境应急预案的培训、宣传和必要的应急演练。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135" w:type="dxa"/>
            <w:gridSpan w:val="5"/>
            <w:vAlign w:val="center"/>
          </w:tcPr>
          <w:p>
            <w:pPr>
              <w:jc w:val="left"/>
              <w:rPr>
                <w:color w:val="auto"/>
                <w:sz w:val="21"/>
                <w:szCs w:val="21"/>
              </w:rPr>
            </w:pPr>
            <w:r>
              <w:rPr>
                <w:color w:val="auto"/>
                <w:sz w:val="21"/>
                <w:szCs w:val="21"/>
              </w:rPr>
              <w:t>填表说明（列出项目相关信息及评价说明）：</w:t>
            </w:r>
          </w:p>
          <w:p>
            <w:pPr>
              <w:ind w:firstLine="420" w:firstLineChars="200"/>
              <w:jc w:val="left"/>
              <w:rPr>
                <w:color w:val="auto"/>
                <w:sz w:val="21"/>
                <w:szCs w:val="21"/>
              </w:rPr>
            </w:pPr>
            <w:r>
              <w:rPr>
                <w:color w:val="auto"/>
                <w:sz w:val="21"/>
                <w:szCs w:val="21"/>
              </w:rPr>
              <w:t>本项目为</w:t>
            </w:r>
            <w:r>
              <w:rPr>
                <w:rFonts w:hint="eastAsia"/>
                <w:color w:val="auto"/>
                <w:sz w:val="21"/>
                <w:szCs w:val="21"/>
              </w:rPr>
              <w:t>五华河东绿色生态工业小镇油新水质净化厂一期工程建设项目</w:t>
            </w:r>
            <w:r>
              <w:rPr>
                <w:color w:val="auto"/>
                <w:sz w:val="21"/>
                <w:szCs w:val="21"/>
              </w:rPr>
              <w:t>，经分析，本项目可能发生事故的类型主要有：火灾事故引发的次生环境危害、</w:t>
            </w:r>
            <w:r>
              <w:rPr>
                <w:rFonts w:hint="eastAsia"/>
                <w:color w:val="auto"/>
                <w:sz w:val="21"/>
                <w:szCs w:val="21"/>
              </w:rPr>
              <w:t>非正常工况废水超标排放事故、废水泄露事故</w:t>
            </w:r>
            <w:r>
              <w:rPr>
                <w:color w:val="auto"/>
                <w:sz w:val="21"/>
                <w:szCs w:val="21"/>
              </w:rPr>
              <w:t>。在采取相应的预防措施，并加强管理后</w:t>
            </w:r>
            <w:r>
              <w:rPr>
                <w:rFonts w:hint="eastAsia"/>
                <w:color w:val="auto"/>
                <w:sz w:val="21"/>
                <w:szCs w:val="21"/>
              </w:rPr>
              <w:t>，</w:t>
            </w:r>
            <w:r>
              <w:rPr>
                <w:color w:val="auto"/>
                <w:sz w:val="21"/>
                <w:szCs w:val="21"/>
              </w:rPr>
              <w:t>预计本项目发生各类事故的机率很小，环境风险影响属可接受水平。</w:t>
            </w:r>
          </w:p>
        </w:tc>
      </w:tr>
    </w:tbl>
    <w:p>
      <w:pPr>
        <w:spacing w:line="360" w:lineRule="auto"/>
        <w:jc w:val="center"/>
        <w:rPr>
          <w:b/>
          <w:color w:val="auto"/>
          <w:sz w:val="24"/>
          <w:szCs w:val="24"/>
        </w:rPr>
      </w:pPr>
    </w:p>
    <w:p>
      <w:pPr>
        <w:pStyle w:val="2"/>
        <w:rPr>
          <w:color w:val="auto"/>
        </w:rPr>
        <w:sectPr>
          <w:pgSz w:w="11906" w:h="16838"/>
          <w:pgMar w:top="1440" w:right="1800" w:bottom="1440" w:left="1800" w:header="851" w:footer="992" w:gutter="0"/>
          <w:cols w:space="425" w:num="1"/>
          <w:docGrid w:type="lines" w:linePitch="312" w:charSpace="0"/>
        </w:sectPr>
      </w:pPr>
      <w:bookmarkStart w:id="148" w:name="_Toc26276868"/>
    </w:p>
    <w:p>
      <w:pPr>
        <w:pStyle w:val="2"/>
        <w:rPr>
          <w:color w:val="auto"/>
        </w:rPr>
      </w:pPr>
      <w:bookmarkStart w:id="149" w:name="_Toc15079"/>
      <w:r>
        <w:rPr>
          <w:rFonts w:hint="eastAsia"/>
          <w:color w:val="auto"/>
        </w:rPr>
        <w:t>6环境保护措施及其可行性论证</w:t>
      </w:r>
      <w:bookmarkEnd w:id="148"/>
      <w:bookmarkEnd w:id="149"/>
    </w:p>
    <w:p>
      <w:pPr>
        <w:pStyle w:val="3"/>
        <w:rPr>
          <w:color w:val="auto"/>
        </w:rPr>
      </w:pPr>
      <w:bookmarkStart w:id="150" w:name="_Toc20891"/>
      <w:bookmarkStart w:id="151" w:name="_Toc26276869"/>
      <w:r>
        <w:rPr>
          <w:rFonts w:hint="eastAsia"/>
          <w:color w:val="auto"/>
        </w:rPr>
        <w:t>6.1 施工期环境影响防治措施</w:t>
      </w:r>
      <w:bookmarkEnd w:id="150"/>
      <w:bookmarkEnd w:id="151"/>
    </w:p>
    <w:p>
      <w:pPr>
        <w:pStyle w:val="4"/>
        <w:rPr>
          <w:color w:val="auto"/>
        </w:rPr>
      </w:pPr>
      <w:bookmarkStart w:id="152" w:name="_Toc26276870"/>
      <w:r>
        <w:rPr>
          <w:rFonts w:hint="eastAsia"/>
          <w:color w:val="auto"/>
        </w:rPr>
        <w:t>6.1.1 施工期废水治理措施</w:t>
      </w:r>
      <w:bookmarkEnd w:id="152"/>
    </w:p>
    <w:p>
      <w:pPr>
        <w:spacing w:line="360" w:lineRule="auto"/>
        <w:ind w:firstLine="480" w:firstLineChars="200"/>
        <w:rPr>
          <w:color w:val="auto"/>
          <w:sz w:val="24"/>
          <w:szCs w:val="24"/>
        </w:rPr>
      </w:pPr>
      <w:r>
        <w:rPr>
          <w:rFonts w:hint="eastAsia"/>
          <w:color w:val="auto"/>
          <w:sz w:val="24"/>
          <w:szCs w:val="24"/>
        </w:rPr>
        <w:t>项目施工期废水主要来源于施工工场产生的生产废水、施工人员产生的生活废水以及管道工程试压废水。施工工场产生的生产废水主要含SS 和石油类污染物，通过在现场设置沉淀池处理后循环使用，不外排；本项目施工期不设生活营地，施工人员食宿利用周边村庄的配套设施解决，施工人员洗手、如厕可利用地块内设置的临时公厕解决，生活污水经化粪池厌氧消化处理后，用于周边林地灌溉；管道建成后需对管道进行试压，会产生试压废水，该废水为清洁下水，含有少量SS，直接用于浇灌沿线植被。</w:t>
      </w:r>
    </w:p>
    <w:p>
      <w:pPr>
        <w:spacing w:line="360" w:lineRule="auto"/>
        <w:ind w:firstLine="480" w:firstLineChars="200"/>
        <w:rPr>
          <w:color w:val="auto"/>
          <w:sz w:val="24"/>
          <w:szCs w:val="24"/>
        </w:rPr>
      </w:pPr>
      <w:r>
        <w:rPr>
          <w:rFonts w:hint="eastAsia"/>
          <w:color w:val="auto"/>
          <w:sz w:val="24"/>
          <w:szCs w:val="24"/>
        </w:rPr>
        <w:t>综上所述，本项目施工期废水处理措施可行，不会对周围水体产生不利影响。</w:t>
      </w:r>
    </w:p>
    <w:p>
      <w:pPr>
        <w:pStyle w:val="4"/>
        <w:rPr>
          <w:color w:val="auto"/>
        </w:rPr>
      </w:pPr>
      <w:bookmarkStart w:id="153" w:name="_Toc26276871"/>
      <w:r>
        <w:rPr>
          <w:rFonts w:hint="eastAsia"/>
          <w:color w:val="auto"/>
        </w:rPr>
        <w:t>6.1.2 施工期废气治理措施</w:t>
      </w:r>
      <w:bookmarkEnd w:id="153"/>
    </w:p>
    <w:p>
      <w:pPr>
        <w:spacing w:line="360" w:lineRule="auto"/>
        <w:ind w:firstLine="482" w:firstLineChars="200"/>
        <w:rPr>
          <w:b/>
          <w:color w:val="auto"/>
          <w:sz w:val="24"/>
          <w:szCs w:val="24"/>
        </w:rPr>
      </w:pPr>
      <w:r>
        <w:rPr>
          <w:rFonts w:hint="eastAsia"/>
          <w:b/>
          <w:color w:val="auto"/>
          <w:sz w:val="24"/>
          <w:szCs w:val="24"/>
        </w:rPr>
        <w:t>1、施工扬尘</w:t>
      </w:r>
    </w:p>
    <w:p>
      <w:pPr>
        <w:spacing w:line="360" w:lineRule="auto"/>
        <w:ind w:firstLine="480" w:firstLineChars="200"/>
        <w:jc w:val="left"/>
        <w:rPr>
          <w:color w:val="auto"/>
          <w:sz w:val="24"/>
          <w:szCs w:val="24"/>
        </w:rPr>
      </w:pPr>
      <w:r>
        <w:rPr>
          <w:rFonts w:hint="eastAsia"/>
          <w:color w:val="auto"/>
          <w:sz w:val="24"/>
          <w:szCs w:val="24"/>
        </w:rPr>
        <w:t>根据《中华人民共和国大气污染防治法》(2018年第二次修订)、《梅州市人民政府关于印发梅州市大气污染防治强化措施及分工方案的通知》（梅市府函〔2017〕185号）、《梅州市扬尘污染防治管理办法》（梅州市人民政府令第3号）中相关要求，项目施工现场必须全封闭设置围挡，严禁敞开式作业，施工现场道路、作业区必须进行地面硬化；制定、完善和严格执行建设施工管理制度，全面推行现场标准化管理；加强建设工地监督检查，督促责任单位落实降尘、压尘和抑尘措施。</w:t>
      </w:r>
    </w:p>
    <w:p>
      <w:pPr>
        <w:adjustRightInd w:val="0"/>
        <w:snapToGrid w:val="0"/>
        <w:spacing w:line="360" w:lineRule="auto"/>
        <w:ind w:firstLine="480" w:firstLineChars="200"/>
        <w:jc w:val="left"/>
        <w:rPr>
          <w:color w:val="auto"/>
          <w:sz w:val="24"/>
        </w:rPr>
      </w:pPr>
      <w:r>
        <w:rPr>
          <w:rFonts w:hint="eastAsia"/>
          <w:color w:val="auto"/>
          <w:sz w:val="24"/>
          <w:szCs w:val="24"/>
        </w:rPr>
        <w:t>为防止和减少施工期间废气和扬尘的污染，施工单位应加强统一、严格、规范的管理制度和措施，并纳入本单位环保管理程序。应按照国家有关建筑施工的有关规定，贯彻执行《防治城市扬尘污染技术规范》(HJ/T393-2007) 的要求，特建议采取如下措施：</w:t>
      </w:r>
    </w:p>
    <w:p>
      <w:pPr>
        <w:adjustRightInd w:val="0"/>
        <w:snapToGrid w:val="0"/>
        <w:spacing w:line="360" w:lineRule="auto"/>
        <w:ind w:firstLine="480" w:firstLineChars="200"/>
        <w:jc w:val="left"/>
        <w:rPr>
          <w:color w:val="auto"/>
          <w:sz w:val="24"/>
        </w:rPr>
      </w:pPr>
      <w:r>
        <w:rPr>
          <w:rFonts w:hint="eastAsia"/>
          <w:color w:val="auto"/>
          <w:sz w:val="24"/>
        </w:rPr>
        <w:t>①</w:t>
      </w:r>
      <w:r>
        <w:rPr>
          <w:rFonts w:hAnsi="宋体"/>
          <w:color w:val="auto"/>
          <w:sz w:val="24"/>
        </w:rPr>
        <w:t>场地清扫</w:t>
      </w:r>
    </w:p>
    <w:p>
      <w:pPr>
        <w:adjustRightInd w:val="0"/>
        <w:snapToGrid w:val="0"/>
        <w:spacing w:line="360" w:lineRule="auto"/>
        <w:ind w:firstLine="480" w:firstLineChars="200"/>
        <w:jc w:val="left"/>
        <w:rPr>
          <w:color w:val="auto"/>
          <w:sz w:val="24"/>
        </w:rPr>
      </w:pPr>
      <w:r>
        <w:rPr>
          <w:rFonts w:hAnsi="宋体"/>
          <w:color w:val="auto"/>
          <w:sz w:val="24"/>
        </w:rPr>
        <w:t>本项目施工工地应配备专门的环境保护和卫生管理人员，每天对浮土、积灰进行清理，现场清理过程应配合洒水等抑尘措施进行，避免加重施工工地扬尘污染。</w:t>
      </w:r>
    </w:p>
    <w:p>
      <w:pPr>
        <w:adjustRightInd w:val="0"/>
        <w:snapToGrid w:val="0"/>
        <w:spacing w:line="360" w:lineRule="auto"/>
        <w:ind w:firstLine="480" w:firstLineChars="200"/>
        <w:jc w:val="left"/>
        <w:rPr>
          <w:color w:val="auto"/>
          <w:sz w:val="24"/>
        </w:rPr>
      </w:pPr>
      <w:r>
        <w:rPr>
          <w:rFonts w:hint="eastAsia"/>
          <w:color w:val="auto"/>
          <w:sz w:val="24"/>
        </w:rPr>
        <w:t>②</w:t>
      </w:r>
      <w:r>
        <w:rPr>
          <w:rFonts w:hAnsi="宋体"/>
          <w:color w:val="auto"/>
          <w:sz w:val="24"/>
        </w:rPr>
        <w:t>标准化设置施工围挡</w:t>
      </w:r>
    </w:p>
    <w:p>
      <w:pPr>
        <w:adjustRightInd w:val="0"/>
        <w:snapToGrid w:val="0"/>
        <w:spacing w:line="360" w:lineRule="auto"/>
        <w:ind w:firstLine="480" w:firstLineChars="200"/>
        <w:jc w:val="left"/>
        <w:rPr>
          <w:color w:val="auto"/>
          <w:sz w:val="24"/>
        </w:rPr>
      </w:pPr>
      <w:r>
        <w:rPr>
          <w:rFonts w:hAnsi="宋体"/>
          <w:color w:val="auto"/>
          <w:sz w:val="24"/>
        </w:rPr>
        <w:t>施工工地周围应当设置连续、密闭的围挡，其高度不得低于</w:t>
      </w:r>
      <w:r>
        <w:rPr>
          <w:color w:val="auto"/>
          <w:sz w:val="24"/>
        </w:rPr>
        <w:t>1.8</w:t>
      </w:r>
      <w:r>
        <w:rPr>
          <w:rFonts w:hAnsi="宋体"/>
          <w:color w:val="auto"/>
          <w:sz w:val="24"/>
        </w:rPr>
        <w:t>米；围挡应采用彩钢板、砌体等硬质材料，不得使用彩色编织布、竹笆或安全网等易变性材料；围挡底端应设置防溢座，围挡之间以及围挡与防溢座之间无缝隙；围挡落尘应当定期清洗，保证施工工地周边环境整洁；对特殊地点无法设置围挡及防溢座的，应设置警示牌。</w:t>
      </w:r>
    </w:p>
    <w:p>
      <w:pPr>
        <w:adjustRightInd w:val="0"/>
        <w:snapToGrid w:val="0"/>
        <w:spacing w:line="360" w:lineRule="auto"/>
        <w:ind w:firstLine="480" w:firstLineChars="200"/>
        <w:jc w:val="left"/>
        <w:rPr>
          <w:color w:val="auto"/>
          <w:sz w:val="24"/>
        </w:rPr>
      </w:pPr>
      <w:r>
        <w:rPr>
          <w:rFonts w:hint="eastAsia"/>
          <w:color w:val="auto"/>
          <w:sz w:val="24"/>
        </w:rPr>
        <w:t>③</w:t>
      </w:r>
      <w:r>
        <w:rPr>
          <w:rFonts w:hAnsi="宋体"/>
          <w:color w:val="auto"/>
          <w:sz w:val="24"/>
        </w:rPr>
        <w:t>施工工地内的地面绿化和硬化</w:t>
      </w:r>
    </w:p>
    <w:p>
      <w:pPr>
        <w:adjustRightInd w:val="0"/>
        <w:snapToGrid w:val="0"/>
        <w:spacing w:line="360" w:lineRule="auto"/>
        <w:ind w:firstLine="480" w:firstLineChars="200"/>
        <w:jc w:val="left"/>
        <w:rPr>
          <w:color w:val="auto"/>
          <w:sz w:val="24"/>
        </w:rPr>
      </w:pPr>
      <w:r>
        <w:rPr>
          <w:rFonts w:hAnsi="宋体"/>
          <w:color w:val="auto"/>
          <w:sz w:val="24"/>
        </w:rPr>
        <w:t>施工车辆出入口地面、场内运输通道、临时堆场地面应进行硬化抑尘处理，路面厚度宜大于</w:t>
      </w:r>
      <w:r>
        <w:rPr>
          <w:color w:val="auto"/>
          <w:sz w:val="24"/>
        </w:rPr>
        <w:t>20cm</w:t>
      </w:r>
      <w:r>
        <w:rPr>
          <w:rFonts w:hAnsi="宋体"/>
          <w:color w:val="auto"/>
          <w:sz w:val="24"/>
        </w:rPr>
        <w:t>；其他</w:t>
      </w:r>
      <w:r>
        <w:rPr>
          <w:rFonts w:hint="eastAsia" w:hAnsi="宋体"/>
          <w:color w:val="auto"/>
          <w:sz w:val="24"/>
        </w:rPr>
        <w:t>区域</w:t>
      </w:r>
      <w:r>
        <w:rPr>
          <w:rFonts w:hAnsi="宋体"/>
          <w:color w:val="auto"/>
          <w:sz w:val="24"/>
        </w:rPr>
        <w:t>宜采用可重复利用的预制块材铺装，或考虑采用碎石铺装；闲置</w:t>
      </w:r>
      <w:r>
        <w:rPr>
          <w:color w:val="auto"/>
          <w:sz w:val="24"/>
        </w:rPr>
        <w:t>3</w:t>
      </w:r>
      <w:r>
        <w:rPr>
          <w:rFonts w:hAnsi="宋体"/>
          <w:color w:val="auto"/>
          <w:sz w:val="24"/>
        </w:rPr>
        <w:t>个月以上的施工工地，建设单位应当对其裸露泥地进行临时绿化或者铺装；施工工地内土壤裸露的土丘或边坡，可采取喷洒草籽、客土喷播等复绿方式来减少风蚀扬尘，同时保持水土；对于难以实现地面硬化的区域可视情况采取覆盖、植被、洒水或喷洒抑尘剂等其他扬尘污染防治措施。</w:t>
      </w:r>
    </w:p>
    <w:p>
      <w:pPr>
        <w:adjustRightInd w:val="0"/>
        <w:snapToGrid w:val="0"/>
        <w:spacing w:line="360" w:lineRule="auto"/>
        <w:ind w:firstLine="480" w:firstLineChars="200"/>
        <w:jc w:val="left"/>
        <w:rPr>
          <w:color w:val="auto"/>
          <w:sz w:val="24"/>
        </w:rPr>
      </w:pPr>
      <w:r>
        <w:rPr>
          <w:rFonts w:hint="eastAsia"/>
          <w:color w:val="auto"/>
          <w:sz w:val="24"/>
        </w:rPr>
        <w:t>④</w:t>
      </w:r>
      <w:r>
        <w:rPr>
          <w:rFonts w:hAnsi="宋体"/>
          <w:color w:val="auto"/>
          <w:sz w:val="24"/>
        </w:rPr>
        <w:t>建设车辆自动冲洗系统</w:t>
      </w:r>
    </w:p>
    <w:p>
      <w:pPr>
        <w:adjustRightInd w:val="0"/>
        <w:snapToGrid w:val="0"/>
        <w:spacing w:line="360" w:lineRule="auto"/>
        <w:ind w:firstLine="480" w:firstLineChars="200"/>
        <w:jc w:val="left"/>
        <w:rPr>
          <w:color w:val="auto"/>
          <w:sz w:val="24"/>
        </w:rPr>
      </w:pPr>
      <w:r>
        <w:rPr>
          <w:rFonts w:hAnsi="宋体"/>
          <w:color w:val="auto"/>
          <w:sz w:val="24"/>
        </w:rPr>
        <w:t>施工过程中，运输车辆应当在除泥、冲洗干净后方可驶出作业场所，严禁车辆带泥出场，不得使用空气压缩机等易产生扬尘的设备清理车辆、设备和物料的尘埃，工地出口须按规定安装车辆自动喷淋系统。</w:t>
      </w:r>
    </w:p>
    <w:p>
      <w:pPr>
        <w:adjustRightInd w:val="0"/>
        <w:snapToGrid w:val="0"/>
        <w:spacing w:line="360" w:lineRule="auto"/>
        <w:ind w:firstLine="480" w:firstLineChars="200"/>
        <w:jc w:val="left"/>
        <w:rPr>
          <w:color w:val="auto"/>
          <w:sz w:val="24"/>
        </w:rPr>
      </w:pPr>
      <w:r>
        <w:rPr>
          <w:rFonts w:hint="eastAsia"/>
          <w:color w:val="auto"/>
          <w:sz w:val="24"/>
        </w:rPr>
        <w:t>⑤</w:t>
      </w:r>
      <w:r>
        <w:rPr>
          <w:rFonts w:hAnsi="宋体"/>
          <w:color w:val="auto"/>
          <w:sz w:val="24"/>
        </w:rPr>
        <w:t>物料妥善堆放和封闭覆盖</w:t>
      </w:r>
    </w:p>
    <w:p>
      <w:pPr>
        <w:adjustRightInd w:val="0"/>
        <w:snapToGrid w:val="0"/>
        <w:spacing w:line="360" w:lineRule="auto"/>
        <w:ind w:firstLine="480" w:firstLineChars="200"/>
        <w:jc w:val="left"/>
        <w:rPr>
          <w:color w:val="auto"/>
          <w:sz w:val="24"/>
        </w:rPr>
      </w:pPr>
      <w:r>
        <w:rPr>
          <w:rFonts w:hAnsi="宋体"/>
          <w:color w:val="auto"/>
          <w:sz w:val="24"/>
        </w:rPr>
        <w:t>施工现场的建筑材料、构配件等应按规定要求分类、分规格堆放，整齐有序、稳定牢固，并根据物料的不同性质采取覆盖、密闭存放等防止物料飞散、起尘的措施，具体要求如下：砂石等散体材料应集中、分类堆放，并采取覆盖或洒水防尘措施；建筑垃圾等临时性的废弃物应及时清运出场，无法在</w:t>
      </w:r>
      <w:r>
        <w:rPr>
          <w:color w:val="auto"/>
          <w:sz w:val="24"/>
        </w:rPr>
        <w:t>48</w:t>
      </w:r>
      <w:r>
        <w:rPr>
          <w:rFonts w:hAnsi="宋体"/>
          <w:color w:val="auto"/>
          <w:sz w:val="24"/>
        </w:rPr>
        <w:t>小时内清运完毕的，应在施工工地内设置临时堆放场，采取洒水、覆盖防尘网、喷洒抑尘剂等防尘设施；长期存在的废弃物堆场，应当设置高于废弃物堆的围墙、防尘网或者在废弃物堆场表面植被绿化；对于装卸作业频繁物料及少量的搅拌、粉碎、筛分等作业活动，应在密闭条件下进行；严禁在施工现场围挡外堆放建筑材料和建筑垃圾。</w:t>
      </w:r>
    </w:p>
    <w:p>
      <w:pPr>
        <w:adjustRightInd w:val="0"/>
        <w:snapToGrid w:val="0"/>
        <w:spacing w:line="360" w:lineRule="auto"/>
        <w:ind w:firstLine="480" w:firstLineChars="200"/>
        <w:jc w:val="left"/>
        <w:rPr>
          <w:color w:val="auto"/>
          <w:sz w:val="24"/>
        </w:rPr>
      </w:pPr>
      <w:r>
        <w:rPr>
          <w:rFonts w:hint="eastAsia"/>
          <w:color w:val="auto"/>
          <w:sz w:val="24"/>
        </w:rPr>
        <w:t>⑥</w:t>
      </w:r>
      <w:r>
        <w:rPr>
          <w:rFonts w:hAnsi="宋体"/>
          <w:color w:val="auto"/>
          <w:sz w:val="24"/>
        </w:rPr>
        <w:t>洒水降尘、湿法施工</w:t>
      </w:r>
    </w:p>
    <w:p>
      <w:pPr>
        <w:adjustRightInd w:val="0"/>
        <w:snapToGrid w:val="0"/>
        <w:spacing w:line="360" w:lineRule="auto"/>
        <w:ind w:firstLine="480" w:firstLineChars="200"/>
        <w:jc w:val="left"/>
        <w:rPr>
          <w:color w:val="auto"/>
          <w:sz w:val="24"/>
        </w:rPr>
      </w:pPr>
      <w:r>
        <w:rPr>
          <w:rFonts w:hAnsi="宋体"/>
          <w:color w:val="auto"/>
          <w:sz w:val="24"/>
        </w:rPr>
        <w:t>洒水降尘和湿法施工是现阶段施工工地扬尘污染防治工作中最简单和常用的措施，且抑尘效果良好。建议工程配备洒水车一部，对施工现场和进场道路进行定期洒水，保持地面湿度，根据本工程特点，建议在无雨日的上下午各洒水一次，减少二次扬尘产生。</w:t>
      </w:r>
    </w:p>
    <w:p>
      <w:pPr>
        <w:adjustRightInd w:val="0"/>
        <w:snapToGrid w:val="0"/>
        <w:spacing w:line="360" w:lineRule="auto"/>
        <w:ind w:firstLine="480" w:firstLineChars="200"/>
        <w:jc w:val="left"/>
        <w:rPr>
          <w:color w:val="auto"/>
          <w:sz w:val="24"/>
        </w:rPr>
      </w:pPr>
      <w:r>
        <w:rPr>
          <w:rFonts w:hint="eastAsia"/>
          <w:color w:val="auto"/>
          <w:sz w:val="24"/>
        </w:rPr>
        <w:t>⑦</w:t>
      </w:r>
      <w:r>
        <w:rPr>
          <w:rFonts w:hAnsi="宋体"/>
          <w:color w:val="auto"/>
          <w:sz w:val="24"/>
        </w:rPr>
        <w:t>使用商品混凝土和预拌砂浆</w:t>
      </w:r>
    </w:p>
    <w:p>
      <w:pPr>
        <w:adjustRightInd w:val="0"/>
        <w:snapToGrid w:val="0"/>
        <w:spacing w:line="360" w:lineRule="auto"/>
        <w:ind w:firstLine="480" w:firstLineChars="200"/>
        <w:jc w:val="left"/>
        <w:rPr>
          <w:color w:val="auto"/>
          <w:sz w:val="24"/>
        </w:rPr>
      </w:pPr>
      <w:r>
        <w:rPr>
          <w:rFonts w:hAnsi="宋体"/>
          <w:color w:val="auto"/>
          <w:sz w:val="24"/>
        </w:rPr>
        <w:t>施工过程中需使用混凝土的，应当使用预拌混凝土或者进行密封搅拌并采取相应的扬尘防治措施，严禁现场露天搅拌。</w:t>
      </w:r>
    </w:p>
    <w:p>
      <w:pPr>
        <w:adjustRightInd w:val="0"/>
        <w:snapToGrid w:val="0"/>
        <w:spacing w:line="360" w:lineRule="auto"/>
        <w:ind w:firstLine="480" w:firstLineChars="200"/>
        <w:jc w:val="left"/>
        <w:rPr>
          <w:color w:val="auto"/>
          <w:sz w:val="24"/>
        </w:rPr>
      </w:pPr>
      <w:r>
        <w:rPr>
          <w:rFonts w:hint="eastAsia"/>
          <w:color w:val="auto"/>
          <w:sz w:val="24"/>
        </w:rPr>
        <w:t>⑧</w:t>
      </w:r>
      <w:r>
        <w:rPr>
          <w:rFonts w:hAnsi="宋体"/>
          <w:color w:val="auto"/>
          <w:sz w:val="24"/>
        </w:rPr>
        <w:t>控制运输车辆扬尘</w:t>
      </w:r>
    </w:p>
    <w:p>
      <w:pPr>
        <w:adjustRightInd w:val="0"/>
        <w:snapToGrid w:val="0"/>
        <w:spacing w:line="360" w:lineRule="auto"/>
        <w:ind w:firstLine="480" w:firstLineChars="200"/>
        <w:jc w:val="left"/>
        <w:rPr>
          <w:rFonts w:hAnsi="宋体"/>
          <w:color w:val="auto"/>
          <w:sz w:val="24"/>
        </w:rPr>
      </w:pPr>
      <w:r>
        <w:rPr>
          <w:rFonts w:hAnsi="宋体"/>
          <w:color w:val="auto"/>
          <w:sz w:val="24"/>
        </w:rPr>
        <w:t>运土车辆实行密闭运输，避免在运输过程中发生洒落或泄露。容易产生粉尘的物料装载高度不得超过车辆两边和尾部的挡板；对于发现没有密闭及有泥土洒落的车辆，应禁止上路，洒落的尘土应及时清理，直到采取措施保证不再泄漏后，才能恢复运输；运输车辆进出要选择合适的运输路线，尽可能减少运输扬尘对工地附近居民的影响。施工车辆途径居民区附近的地方应设有限制车速的标志，防止车速过快产生扬尘污染环境，同时尽量避免在起风的情况下装卸物料，影响人群健康。</w:t>
      </w:r>
    </w:p>
    <w:p>
      <w:pPr>
        <w:adjustRightInd w:val="0"/>
        <w:snapToGrid w:val="0"/>
        <w:spacing w:line="360" w:lineRule="auto"/>
        <w:ind w:firstLine="480" w:firstLineChars="200"/>
        <w:jc w:val="left"/>
        <w:rPr>
          <w:color w:val="auto"/>
          <w:sz w:val="24"/>
        </w:rPr>
      </w:pPr>
      <w:r>
        <w:rPr>
          <w:rFonts w:hint="eastAsia" w:hAnsi="宋体"/>
          <w:color w:val="auto"/>
          <w:sz w:val="24"/>
        </w:rPr>
        <w:t>⑨施工管理</w:t>
      </w:r>
    </w:p>
    <w:p>
      <w:pPr>
        <w:adjustRightInd w:val="0"/>
        <w:snapToGrid w:val="0"/>
        <w:spacing w:line="360" w:lineRule="auto"/>
        <w:ind w:firstLine="480" w:firstLineChars="200"/>
        <w:rPr>
          <w:color w:val="auto"/>
          <w:sz w:val="24"/>
          <w:szCs w:val="24"/>
        </w:rPr>
      </w:pPr>
      <w:r>
        <w:rPr>
          <w:rFonts w:hAnsi="宋体"/>
          <w:color w:val="auto"/>
          <w:sz w:val="24"/>
        </w:rPr>
        <w:t>建设单位与施工单位签订施工承包合同时，应明确施工单位的扬尘污染防治责任，将扬尘污染防治费用列入工程预算；施工期间，施工单位应根据相关规定设置现场平面布置图、工程概况牌、安全生产牌、消防保卫牌、文明施工牌、环境保护牌、管理人员名单及监督电话牌等；工地应有专人负责逸散性材料、垃圾、渣土、裸地等密闭、覆盖、洒水作业等，并记录扬尘控制措施的实施情况。</w:t>
      </w:r>
    </w:p>
    <w:p>
      <w:pPr>
        <w:spacing w:line="360" w:lineRule="auto"/>
        <w:ind w:firstLine="482" w:firstLineChars="200"/>
        <w:rPr>
          <w:b/>
          <w:color w:val="auto"/>
          <w:sz w:val="24"/>
          <w:szCs w:val="24"/>
        </w:rPr>
      </w:pPr>
      <w:r>
        <w:rPr>
          <w:rFonts w:hint="eastAsia"/>
          <w:b/>
          <w:color w:val="auto"/>
          <w:sz w:val="24"/>
          <w:szCs w:val="24"/>
        </w:rPr>
        <w:t>2、施工机械及设备废气</w:t>
      </w:r>
    </w:p>
    <w:p>
      <w:pPr>
        <w:spacing w:line="360" w:lineRule="auto"/>
        <w:ind w:firstLine="480" w:firstLineChars="200"/>
        <w:rPr>
          <w:color w:val="auto"/>
          <w:sz w:val="24"/>
          <w:szCs w:val="24"/>
        </w:rPr>
      </w:pPr>
      <w:r>
        <w:rPr>
          <w:rFonts w:hint="eastAsia"/>
          <w:color w:val="auto"/>
          <w:sz w:val="24"/>
          <w:szCs w:val="24"/>
        </w:rPr>
        <w:t>施工期间，使用机动车运送原材料、设备和建筑机械设备的运转，均会排放一定量的CO、NOx 以及未完全燃烧的HC 等，其特点是排放量小，且属间断性无组织排放，环评建议选用达到环保要求的设备，通过自然稀释后场界的贡献值可控制在较低水平。</w:t>
      </w:r>
    </w:p>
    <w:p>
      <w:pPr>
        <w:spacing w:line="360" w:lineRule="auto"/>
        <w:ind w:firstLine="480" w:firstLineChars="200"/>
        <w:rPr>
          <w:rFonts w:hAnsi="宋体"/>
          <w:color w:val="auto"/>
          <w:sz w:val="24"/>
        </w:rPr>
      </w:pPr>
      <w:r>
        <w:rPr>
          <w:rFonts w:hAnsi="宋体"/>
          <w:color w:val="auto"/>
          <w:sz w:val="24"/>
        </w:rPr>
        <w:t>为进一步减轻本项目施工废气的环境影响，建设单位可采取以下措施：建设单位在施工前须选择低耗能、高效率的新型环保机械设备，选用</w:t>
      </w:r>
      <w:r>
        <w:rPr>
          <w:color w:val="auto"/>
          <w:sz w:val="24"/>
        </w:rPr>
        <w:t>LNG</w:t>
      </w:r>
      <w:r>
        <w:rPr>
          <w:rFonts w:hAnsi="宋体"/>
          <w:color w:val="auto"/>
          <w:sz w:val="24"/>
        </w:rPr>
        <w:t>或电动工程机械、装卸机械的比例不低于</w:t>
      </w:r>
      <w:r>
        <w:rPr>
          <w:color w:val="auto"/>
          <w:sz w:val="24"/>
        </w:rPr>
        <w:t>30%</w:t>
      </w:r>
      <w:r>
        <w:rPr>
          <w:rFonts w:hAnsi="宋体"/>
          <w:color w:val="auto"/>
          <w:sz w:val="24"/>
        </w:rPr>
        <w:t>。若选择使用柴油机械设备，应使用低硫燃料的设备，并加装主动再生式柴油颗粒捕集器。禁止使用未加装主动再生式柴油颗粒捕集器的柴油工程机械。机械设备使用前、后进行检查维修，保证施工机械能够正常施工。合理安排施工环节，减少设备怠机状态时间。施工机械废气须达到《非道路移动机械用柴油机排气污染物排放限值及测量方法》（</w:t>
      </w:r>
      <w:r>
        <w:rPr>
          <w:color w:val="auto"/>
          <w:sz w:val="24"/>
        </w:rPr>
        <w:t>GB20891-2014</w:t>
      </w:r>
      <w:r>
        <w:rPr>
          <w:rFonts w:hAnsi="宋体"/>
          <w:color w:val="auto"/>
          <w:sz w:val="24"/>
        </w:rPr>
        <w:t>）的要求。</w:t>
      </w:r>
    </w:p>
    <w:p>
      <w:pPr>
        <w:spacing w:line="360" w:lineRule="auto"/>
        <w:ind w:firstLine="482" w:firstLineChars="200"/>
        <w:rPr>
          <w:b/>
          <w:color w:val="auto"/>
          <w:sz w:val="24"/>
          <w:szCs w:val="24"/>
        </w:rPr>
      </w:pPr>
      <w:r>
        <w:rPr>
          <w:rFonts w:hint="eastAsia" w:hAnsi="宋体"/>
          <w:b/>
          <w:color w:val="auto"/>
          <w:sz w:val="24"/>
        </w:rPr>
        <w:t>3、</w:t>
      </w:r>
      <w:r>
        <w:rPr>
          <w:rFonts w:hint="eastAsia"/>
          <w:b/>
          <w:color w:val="auto"/>
          <w:sz w:val="24"/>
          <w:szCs w:val="24"/>
        </w:rPr>
        <w:t>管道连接产生的焊接废气</w:t>
      </w:r>
    </w:p>
    <w:p>
      <w:pPr>
        <w:spacing w:line="360" w:lineRule="auto"/>
        <w:ind w:firstLine="480" w:firstLineChars="200"/>
        <w:rPr>
          <w:color w:val="auto"/>
          <w:sz w:val="24"/>
          <w:szCs w:val="24"/>
        </w:rPr>
      </w:pPr>
      <w:r>
        <w:rPr>
          <w:rFonts w:hint="eastAsia"/>
          <w:color w:val="auto"/>
          <w:sz w:val="24"/>
          <w:szCs w:val="24"/>
        </w:rPr>
        <w:t>管道连接过程会产生焊接烟气，本项目管网接口焊接的位置较为分散，且项目截污干管及尾水排放干管沿线场地开阔，自然通风良好，焊接烟气通过自然沉降、大气稀释、扩散，可得到有效控制。</w:t>
      </w:r>
    </w:p>
    <w:p>
      <w:pPr>
        <w:spacing w:line="360" w:lineRule="auto"/>
        <w:ind w:firstLine="482" w:firstLineChars="200"/>
        <w:rPr>
          <w:b/>
          <w:color w:val="auto"/>
          <w:sz w:val="24"/>
          <w:szCs w:val="24"/>
        </w:rPr>
      </w:pPr>
      <w:r>
        <w:rPr>
          <w:rFonts w:hint="eastAsia"/>
          <w:b/>
          <w:color w:val="auto"/>
          <w:sz w:val="24"/>
          <w:szCs w:val="24"/>
        </w:rPr>
        <w:t>4、装修废气</w:t>
      </w:r>
    </w:p>
    <w:p>
      <w:pPr>
        <w:spacing w:line="360" w:lineRule="auto"/>
        <w:ind w:firstLine="480" w:firstLineChars="200"/>
        <w:rPr>
          <w:color w:val="auto"/>
          <w:sz w:val="24"/>
          <w:szCs w:val="24"/>
        </w:rPr>
      </w:pPr>
      <w:r>
        <w:rPr>
          <w:rFonts w:hint="eastAsia"/>
          <w:color w:val="auto"/>
          <w:sz w:val="24"/>
          <w:szCs w:val="24"/>
        </w:rPr>
        <w:t>装修废气主要源于装修材料，项目仅在施工期后期进行建筑装修，装修废气排放周期短，且作业点分散，对大气环境造成的影响轻微。装修期的污染是短期的，在施工结束后影响也随之消失，但建设单位必须做好建设期的污染防治工作，装修时须选用经国家相关认证单位认可的环保型油漆，尽量减少有害气体的大量挥发。</w:t>
      </w:r>
    </w:p>
    <w:p>
      <w:pPr>
        <w:spacing w:line="360" w:lineRule="auto"/>
        <w:ind w:firstLine="480" w:firstLineChars="200"/>
        <w:rPr>
          <w:color w:val="auto"/>
          <w:sz w:val="24"/>
          <w:szCs w:val="24"/>
        </w:rPr>
      </w:pPr>
      <w:r>
        <w:rPr>
          <w:rFonts w:hint="eastAsia"/>
          <w:color w:val="auto"/>
          <w:sz w:val="24"/>
          <w:szCs w:val="24"/>
        </w:rPr>
        <w:t>综上所述，本项目施工期大气污染物不会对项目所在地环境空气质量造成明显影响，治理措施技术、经济可行。</w:t>
      </w:r>
    </w:p>
    <w:p>
      <w:pPr>
        <w:pStyle w:val="4"/>
        <w:rPr>
          <w:color w:val="auto"/>
        </w:rPr>
      </w:pPr>
      <w:bookmarkStart w:id="154" w:name="_Toc26276872"/>
      <w:r>
        <w:rPr>
          <w:rFonts w:hint="eastAsia"/>
          <w:color w:val="auto"/>
        </w:rPr>
        <w:t>6.1.3 施工期噪声治理措施</w:t>
      </w:r>
      <w:bookmarkEnd w:id="154"/>
    </w:p>
    <w:p>
      <w:pPr>
        <w:spacing w:line="360" w:lineRule="auto"/>
        <w:ind w:firstLine="480" w:firstLineChars="200"/>
        <w:jc w:val="left"/>
        <w:rPr>
          <w:color w:val="auto"/>
          <w:sz w:val="24"/>
          <w:szCs w:val="24"/>
        </w:rPr>
      </w:pPr>
      <w:r>
        <w:rPr>
          <w:rFonts w:hint="eastAsia"/>
          <w:color w:val="auto"/>
          <w:sz w:val="24"/>
          <w:szCs w:val="24"/>
        </w:rPr>
        <w:t>施工期的噪声影响是短期的，项目建成后，施工期噪声的影响也就此结束。但是由于施工机械均为强噪声源，施工期间噪声影响范围较大，因此必须采取以下措施，严格管理：</w:t>
      </w:r>
    </w:p>
    <w:p>
      <w:pPr>
        <w:spacing w:line="360" w:lineRule="auto"/>
        <w:ind w:firstLine="480" w:firstLineChars="200"/>
        <w:jc w:val="left"/>
        <w:rPr>
          <w:color w:val="auto"/>
          <w:sz w:val="24"/>
          <w:szCs w:val="24"/>
        </w:rPr>
      </w:pPr>
      <w:r>
        <w:rPr>
          <w:rFonts w:hint="eastAsia"/>
          <w:color w:val="auto"/>
          <w:sz w:val="24"/>
          <w:szCs w:val="24"/>
        </w:rPr>
        <w:t>（1）根据《中华人民共和国环境噪声污染防治法》（2018年修订）第二十九条规定：施工单位必须在工程开工15 日以前向工程所在地县级以上地方人民政府环境保护行政主管部门申报工程项目名称、施工场所和期限、建筑施工机械可能产生的环境噪声值以及所采取的环境噪声污染防治措施情况。</w:t>
      </w:r>
    </w:p>
    <w:p>
      <w:pPr>
        <w:spacing w:line="360" w:lineRule="auto"/>
        <w:ind w:firstLine="480" w:firstLineChars="200"/>
        <w:jc w:val="left"/>
        <w:rPr>
          <w:color w:val="auto"/>
          <w:sz w:val="24"/>
          <w:szCs w:val="24"/>
        </w:rPr>
      </w:pPr>
      <w:r>
        <w:rPr>
          <w:rFonts w:hint="eastAsia"/>
          <w:color w:val="auto"/>
          <w:sz w:val="24"/>
          <w:szCs w:val="24"/>
        </w:rPr>
        <w:t>（2）严格执行《建筑施工场界环境噪声排放标准》（GB12523-2011）对施工阶段的场界限值的规定，注意避开人们正常休息时间，在夜间（22:00～06:00）和中午（12:00～14:00）不得使用高噪声的施工机械。</w:t>
      </w:r>
    </w:p>
    <w:p>
      <w:pPr>
        <w:spacing w:line="360" w:lineRule="auto"/>
        <w:ind w:firstLine="480" w:firstLineChars="200"/>
        <w:jc w:val="left"/>
        <w:rPr>
          <w:color w:val="auto"/>
          <w:sz w:val="24"/>
          <w:szCs w:val="24"/>
        </w:rPr>
      </w:pPr>
      <w:r>
        <w:rPr>
          <w:rFonts w:hint="eastAsia"/>
          <w:color w:val="auto"/>
          <w:sz w:val="24"/>
          <w:szCs w:val="24"/>
        </w:rPr>
        <w:t>（3）施工单位应对施工总平面进行合理布局，将高噪声设备尽可能布置于远离场边界；将施工现场固定噪声源，如搅拌机（车）和料场等相对集中，以减小噪声干扰范围，选择环境要求低的位置安放强噪声设备，以减小噪声对周围敏感区的影响。</w:t>
      </w:r>
    </w:p>
    <w:p>
      <w:pPr>
        <w:spacing w:line="360" w:lineRule="auto"/>
        <w:ind w:firstLine="480" w:firstLineChars="200"/>
        <w:jc w:val="left"/>
        <w:rPr>
          <w:color w:val="auto"/>
          <w:sz w:val="24"/>
          <w:szCs w:val="24"/>
        </w:rPr>
      </w:pPr>
      <w:r>
        <w:rPr>
          <w:rFonts w:hint="eastAsia"/>
          <w:color w:val="auto"/>
          <w:sz w:val="24"/>
          <w:szCs w:val="24"/>
        </w:rPr>
        <w:t>（4）施工车辆特别是重型运载车辆的运行线路和时间，应尽量避开噪声敏感区域和噪声敏感时段。进出车辆要合理调度，明确线路，使行驶道路保持平坦，减弱车辆的颠簸噪声和产生振动。加强施工区域交通管理，避免因交通堵塞增加车辆鸣号。</w:t>
      </w:r>
    </w:p>
    <w:p>
      <w:pPr>
        <w:spacing w:line="360" w:lineRule="auto"/>
        <w:ind w:firstLine="480" w:firstLineChars="200"/>
        <w:jc w:val="left"/>
        <w:rPr>
          <w:color w:val="auto"/>
          <w:sz w:val="24"/>
          <w:szCs w:val="24"/>
        </w:rPr>
      </w:pPr>
      <w:r>
        <w:rPr>
          <w:rFonts w:hint="eastAsia"/>
          <w:color w:val="auto"/>
          <w:sz w:val="24"/>
          <w:szCs w:val="24"/>
        </w:rPr>
        <w:t>（5）在保证施工进度的前提下，合理安排作业时间，限制夜间进行有强噪声污染的施工作业。教育工人文明施工，尤其是夜间施工时，不要大声喧哗，尽量减小机具和材料的撞击，以降低人为噪声的影响。</w:t>
      </w:r>
    </w:p>
    <w:p>
      <w:pPr>
        <w:spacing w:line="360" w:lineRule="auto"/>
        <w:ind w:firstLine="480" w:firstLineChars="200"/>
        <w:jc w:val="left"/>
        <w:rPr>
          <w:color w:val="auto"/>
          <w:sz w:val="24"/>
          <w:szCs w:val="24"/>
        </w:rPr>
      </w:pPr>
      <w:r>
        <w:rPr>
          <w:rFonts w:hint="eastAsia"/>
          <w:color w:val="auto"/>
          <w:sz w:val="24"/>
          <w:szCs w:val="24"/>
        </w:rPr>
        <w:t>（6）如需在夜间使用机械、设备施工，必须提前十日向市环保局提出申请，未经批准不得从事夜间施工作业。一般只批准因混凝土浇注和钻孔灌注桩成型等建筑工艺特殊需要，必须连续作业的，且只准使用商品混凝土。批准夜间施工后应与可能受影响的当地住户联系，将环保部门意见通告居民，接受公众监督。</w:t>
      </w:r>
    </w:p>
    <w:p>
      <w:pPr>
        <w:spacing w:line="360" w:lineRule="auto"/>
        <w:ind w:firstLine="480" w:firstLineChars="200"/>
        <w:jc w:val="left"/>
        <w:rPr>
          <w:color w:val="auto"/>
          <w:sz w:val="24"/>
          <w:szCs w:val="24"/>
        </w:rPr>
      </w:pPr>
      <w:r>
        <w:rPr>
          <w:rFonts w:hint="eastAsia"/>
          <w:color w:val="auto"/>
          <w:sz w:val="24"/>
          <w:szCs w:val="24"/>
        </w:rPr>
        <w:t>（7）施工期把地块用屏障围起来，减弱噪声对外幅射，在高噪声设备附近，加设可移动的简易隔声屏。</w:t>
      </w:r>
    </w:p>
    <w:p>
      <w:pPr>
        <w:spacing w:line="360" w:lineRule="auto"/>
        <w:ind w:firstLine="480" w:firstLineChars="200"/>
        <w:rPr>
          <w:color w:val="auto"/>
          <w:sz w:val="24"/>
          <w:szCs w:val="24"/>
        </w:rPr>
      </w:pPr>
      <w:r>
        <w:rPr>
          <w:rFonts w:hint="eastAsia"/>
          <w:color w:val="auto"/>
          <w:sz w:val="24"/>
          <w:szCs w:val="24"/>
        </w:rPr>
        <w:t>（8）限制打桩机、空压机、切割机、混凝土搅拌声、电锯、电刨、风镐以及复土压路机声等高噪声建筑机械的作业时间。</w:t>
      </w:r>
    </w:p>
    <w:p>
      <w:pPr>
        <w:spacing w:line="360" w:lineRule="auto"/>
        <w:ind w:firstLine="480" w:firstLineChars="200"/>
        <w:rPr>
          <w:color w:val="auto"/>
          <w:sz w:val="24"/>
          <w:szCs w:val="24"/>
        </w:rPr>
      </w:pPr>
      <w:r>
        <w:rPr>
          <w:rFonts w:hint="eastAsia"/>
          <w:color w:val="auto"/>
          <w:sz w:val="24"/>
          <w:szCs w:val="24"/>
        </w:rPr>
        <w:t>通过采取有效措施对场地施工噪声进行控制后，本项目施工噪声对周边环境的影响可以控制在最低水平。综上，本项目施工期噪声治理措施技术、经济可行。</w:t>
      </w:r>
    </w:p>
    <w:p>
      <w:pPr>
        <w:pStyle w:val="4"/>
        <w:rPr>
          <w:color w:val="auto"/>
        </w:rPr>
      </w:pPr>
      <w:bookmarkStart w:id="155" w:name="_Toc26276873"/>
      <w:r>
        <w:rPr>
          <w:rFonts w:hint="eastAsia"/>
          <w:color w:val="auto"/>
        </w:rPr>
        <w:t>6.1.4 施工期固体废物治理措施</w:t>
      </w:r>
      <w:bookmarkEnd w:id="155"/>
    </w:p>
    <w:p>
      <w:pPr>
        <w:spacing w:line="360" w:lineRule="auto"/>
        <w:ind w:firstLine="480" w:firstLineChars="200"/>
        <w:rPr>
          <w:color w:val="auto"/>
          <w:sz w:val="24"/>
          <w:szCs w:val="24"/>
        </w:rPr>
      </w:pPr>
      <w:r>
        <w:rPr>
          <w:rFonts w:hint="eastAsia"/>
          <w:color w:val="auto"/>
          <w:sz w:val="24"/>
          <w:szCs w:val="24"/>
        </w:rPr>
        <w:t>本项目施工期产生的固体废物主要包括弃土、建筑垃圾、生活垃圾等。施工期产生的建设垃圾可以回收利用的建筑材料，如废钢筋、废砖块等应尽量回收利用，其他不能回收利用的建筑垃圾运至政府指定的建筑垃圾堆场堆放；难以利用的弃土弃渣运往政府指定地点处理；生活垃圾定点收集，定期运往就近垃圾暂存点，由环卫部门统一处理。</w:t>
      </w:r>
      <w:r>
        <w:rPr>
          <w:rFonts w:hint="eastAsia" w:hAnsi="宋体"/>
          <w:color w:val="auto"/>
          <w:sz w:val="24"/>
        </w:rPr>
        <w:t>此外，</w:t>
      </w:r>
      <w:r>
        <w:rPr>
          <w:rFonts w:hint="eastAsia"/>
          <w:color w:val="auto"/>
          <w:sz w:val="24"/>
          <w:szCs w:val="24"/>
        </w:rPr>
        <w:t>在施工期后期，会产生一部分废油漆桶以及废涂料桶，属于危险废物，建议施工单位设置专门的危废暂存室，由专人负责收集，交有具备资质的危废处理单位妥善处理。</w:t>
      </w:r>
    </w:p>
    <w:p>
      <w:pPr>
        <w:spacing w:line="360" w:lineRule="auto"/>
        <w:ind w:firstLine="480" w:firstLineChars="200"/>
        <w:rPr>
          <w:color w:val="auto"/>
          <w:sz w:val="24"/>
          <w:szCs w:val="24"/>
        </w:rPr>
      </w:pPr>
      <w:r>
        <w:rPr>
          <w:rFonts w:hint="eastAsia"/>
          <w:color w:val="auto"/>
          <w:sz w:val="24"/>
          <w:szCs w:val="24"/>
        </w:rPr>
        <w:t>综上所述，本项目施工期产生的固体废弃物处置合理，治理措施技术、经济可行。</w:t>
      </w:r>
    </w:p>
    <w:p>
      <w:pPr>
        <w:pStyle w:val="4"/>
        <w:rPr>
          <w:color w:val="auto"/>
        </w:rPr>
      </w:pPr>
      <w:r>
        <w:rPr>
          <w:rFonts w:hint="eastAsia"/>
          <w:color w:val="auto"/>
        </w:rPr>
        <w:t>6.1.5施工期水土流失治理措施</w:t>
      </w:r>
    </w:p>
    <w:p>
      <w:pPr>
        <w:spacing w:line="360" w:lineRule="auto"/>
        <w:ind w:firstLine="480" w:firstLineChars="200"/>
        <w:rPr>
          <w:color w:val="auto"/>
          <w:sz w:val="24"/>
          <w:szCs w:val="24"/>
        </w:rPr>
      </w:pPr>
      <w:r>
        <w:rPr>
          <w:rFonts w:hint="eastAsia"/>
          <w:color w:val="auto"/>
          <w:sz w:val="24"/>
          <w:szCs w:val="24"/>
        </w:rPr>
        <w:t>随着施工场地开挖、填方、平整，原有表土层受到破坏，土壤松动，遇降雨冲刷，易发生水土流失，应予以重视。工程建设过程应合理安排施工单元，减少施工面的裸露时间；合理安排施工计划，做好挖填方平衡；在满足施工要求的前提下，施工场地要尽量小，少侵占周围土地；施工结束后应及时清理、平整施工场地，对可恢复的施工占地选择适宜树种进行绿化，防止发生新的土壤侵蚀。</w:t>
      </w:r>
    </w:p>
    <w:p>
      <w:pPr>
        <w:spacing w:line="360" w:lineRule="auto"/>
        <w:ind w:firstLine="480" w:firstLineChars="200"/>
        <w:rPr>
          <w:color w:val="auto"/>
          <w:sz w:val="24"/>
          <w:szCs w:val="24"/>
        </w:rPr>
      </w:pPr>
      <w:r>
        <w:rPr>
          <w:rFonts w:hint="eastAsia"/>
          <w:color w:val="auto"/>
          <w:sz w:val="24"/>
          <w:szCs w:val="24"/>
        </w:rPr>
        <w:t>为进一步减轻项目的水土流失影响，工程施工过程中应注意以下几点：</w:t>
      </w:r>
    </w:p>
    <w:p>
      <w:pPr>
        <w:spacing w:line="360" w:lineRule="auto"/>
        <w:ind w:firstLine="480" w:firstLineChars="200"/>
        <w:rPr>
          <w:color w:val="auto"/>
          <w:sz w:val="24"/>
          <w:szCs w:val="24"/>
        </w:rPr>
      </w:pPr>
      <w:r>
        <w:rPr>
          <w:rFonts w:hint="eastAsia"/>
          <w:color w:val="auto"/>
          <w:sz w:val="24"/>
          <w:szCs w:val="24"/>
        </w:rPr>
        <w:t>（1）施工过程中的临时防护措施</w:t>
      </w:r>
    </w:p>
    <w:p>
      <w:pPr>
        <w:spacing w:line="360" w:lineRule="auto"/>
        <w:ind w:firstLine="480" w:firstLineChars="200"/>
        <w:rPr>
          <w:color w:val="auto"/>
          <w:sz w:val="24"/>
          <w:szCs w:val="24"/>
        </w:rPr>
      </w:pPr>
      <w:r>
        <w:rPr>
          <w:rFonts w:hint="eastAsia"/>
          <w:color w:val="auto"/>
          <w:sz w:val="24"/>
          <w:szCs w:val="24"/>
        </w:rPr>
        <w:t>表土剥离：在施工前，首先进行地表清理，将地表熟土层集中堆放在临时堆土场区，施工完毕后，熟土层应均匀地铺在地表，用于土地的复垦与种植；基础开挖的土方除用于基础回填外，全部填至场地低洼处，缩短土方堆置时间。</w:t>
      </w:r>
    </w:p>
    <w:p>
      <w:pPr>
        <w:spacing w:line="360" w:lineRule="auto"/>
        <w:ind w:firstLine="480" w:firstLineChars="200"/>
        <w:rPr>
          <w:color w:val="auto"/>
          <w:sz w:val="24"/>
          <w:szCs w:val="24"/>
        </w:rPr>
      </w:pPr>
      <w:r>
        <w:rPr>
          <w:rFonts w:hint="eastAsia"/>
          <w:color w:val="auto"/>
          <w:sz w:val="24"/>
          <w:szCs w:val="24"/>
        </w:rPr>
        <w:t>临时堆土防护：表土临时堆置在指定区域，堆置前要先设置拦挡措施，在施工完毕后，全部回填；临时堆土场周边设置临时排水沟，防止临时堆土场周边雨水冲刷土堆坡脚和堆土场受降雨径流产生水土流失，危害周边地区。</w:t>
      </w:r>
    </w:p>
    <w:p>
      <w:pPr>
        <w:spacing w:line="360" w:lineRule="auto"/>
        <w:ind w:firstLine="480" w:firstLineChars="200"/>
        <w:rPr>
          <w:color w:val="auto"/>
          <w:sz w:val="24"/>
          <w:szCs w:val="24"/>
        </w:rPr>
      </w:pPr>
      <w:r>
        <w:rPr>
          <w:rFonts w:hint="eastAsia"/>
          <w:color w:val="auto"/>
          <w:sz w:val="24"/>
          <w:szCs w:val="24"/>
        </w:rPr>
        <w:t>排水管线开挖：管线开挖前，先在临时堆土带外侧设置临时草袋土拦挡措施，管线敷设结束后对施工占压区域进行回填压实，然后进行地表恢复。</w:t>
      </w:r>
    </w:p>
    <w:p>
      <w:pPr>
        <w:spacing w:line="360" w:lineRule="auto"/>
        <w:ind w:firstLine="480" w:firstLineChars="200"/>
        <w:rPr>
          <w:color w:val="auto"/>
          <w:sz w:val="24"/>
          <w:szCs w:val="24"/>
        </w:rPr>
      </w:pPr>
      <w:r>
        <w:rPr>
          <w:rFonts w:hint="eastAsia"/>
          <w:color w:val="auto"/>
          <w:sz w:val="24"/>
          <w:szCs w:val="24"/>
        </w:rPr>
        <w:t>（2）工程措施</w:t>
      </w:r>
    </w:p>
    <w:p>
      <w:pPr>
        <w:spacing w:line="360" w:lineRule="auto"/>
        <w:ind w:firstLine="480" w:firstLineChars="200"/>
        <w:rPr>
          <w:color w:val="auto"/>
          <w:sz w:val="24"/>
          <w:szCs w:val="24"/>
        </w:rPr>
      </w:pPr>
      <w:r>
        <w:rPr>
          <w:rFonts w:hint="eastAsia"/>
          <w:color w:val="auto"/>
          <w:sz w:val="24"/>
          <w:szCs w:val="24"/>
        </w:rPr>
        <w:t>对于不同高程的平台之间，砌筑浆砌石挡土墙基脚，上部用砼网格护坡，采取工程措施与植物措施相结合的方法进行防护。</w:t>
      </w:r>
    </w:p>
    <w:p>
      <w:pPr>
        <w:spacing w:line="360" w:lineRule="auto"/>
        <w:ind w:firstLine="480" w:firstLineChars="200"/>
        <w:rPr>
          <w:color w:val="auto"/>
          <w:sz w:val="24"/>
          <w:szCs w:val="24"/>
        </w:rPr>
      </w:pPr>
      <w:r>
        <w:rPr>
          <w:rFonts w:hint="eastAsia"/>
          <w:color w:val="auto"/>
          <w:sz w:val="24"/>
          <w:szCs w:val="24"/>
        </w:rPr>
        <w:t>场地排水系统：沿场地周边布设排水沟，排水沟常用矩形与梯形断面，采用预制混凝土槽或浆砌石砌筑。排水出口以明渠和暗涵的方式接入自然排水系统。</w:t>
      </w:r>
    </w:p>
    <w:p>
      <w:pPr>
        <w:spacing w:line="360" w:lineRule="auto"/>
        <w:ind w:firstLine="480" w:firstLineChars="200"/>
        <w:rPr>
          <w:color w:val="auto"/>
          <w:sz w:val="24"/>
          <w:szCs w:val="24"/>
        </w:rPr>
      </w:pPr>
      <w:r>
        <w:rPr>
          <w:rFonts w:hint="eastAsia"/>
          <w:color w:val="auto"/>
          <w:sz w:val="24"/>
          <w:szCs w:val="24"/>
        </w:rPr>
        <w:t>（3）植物措施</w:t>
      </w:r>
    </w:p>
    <w:p>
      <w:pPr>
        <w:spacing w:line="360" w:lineRule="auto"/>
        <w:ind w:firstLine="480" w:firstLineChars="200"/>
        <w:rPr>
          <w:color w:val="auto"/>
          <w:sz w:val="24"/>
          <w:szCs w:val="24"/>
        </w:rPr>
      </w:pPr>
      <w:r>
        <w:rPr>
          <w:rFonts w:hint="eastAsia"/>
          <w:color w:val="auto"/>
          <w:sz w:val="24"/>
          <w:szCs w:val="24"/>
        </w:rPr>
        <w:t>植物措施对改善项目区生态环境具有重要作用，场地平整结束后，在规划绿化用地上及时植树种草等。在树种、草种选择上，以乡土树种为主，同时兼顾保持水土效果好、经济价值高的树种、草种。</w:t>
      </w:r>
    </w:p>
    <w:p>
      <w:pPr>
        <w:spacing w:line="360" w:lineRule="auto"/>
        <w:ind w:firstLine="480" w:firstLineChars="200"/>
        <w:rPr>
          <w:color w:val="auto"/>
          <w:sz w:val="24"/>
          <w:szCs w:val="24"/>
        </w:rPr>
      </w:pPr>
      <w:r>
        <w:rPr>
          <w:rFonts w:hint="eastAsia"/>
          <w:color w:val="auto"/>
          <w:sz w:val="24"/>
          <w:szCs w:val="24"/>
        </w:rPr>
        <w:t>（4）预防保护措施</w:t>
      </w:r>
    </w:p>
    <w:p>
      <w:pPr>
        <w:spacing w:line="360" w:lineRule="auto"/>
        <w:ind w:firstLine="480" w:firstLineChars="200"/>
        <w:rPr>
          <w:color w:val="auto"/>
          <w:sz w:val="24"/>
          <w:szCs w:val="24"/>
        </w:rPr>
      </w:pPr>
      <w:r>
        <w:rPr>
          <w:rFonts w:hint="eastAsia"/>
          <w:color w:val="auto"/>
          <w:sz w:val="24"/>
          <w:szCs w:val="24"/>
        </w:rPr>
        <w:t>采取多种方式对施工单位进行宣传，使工程建设者增强水土保护意识，牢固树立珍惜土地、保护生态的理念。加强水土保持技术培训，使施工单位在施工过程中能够采取简便易行的临时措施来防治水土流失。</w:t>
      </w:r>
    </w:p>
    <w:p>
      <w:pPr>
        <w:spacing w:line="360" w:lineRule="auto"/>
        <w:ind w:firstLine="480" w:firstLineChars="200"/>
        <w:rPr>
          <w:color w:val="auto"/>
          <w:sz w:val="24"/>
          <w:szCs w:val="24"/>
        </w:rPr>
      </w:pPr>
      <w:r>
        <w:rPr>
          <w:rFonts w:hint="eastAsia"/>
          <w:color w:val="auto"/>
          <w:sz w:val="24"/>
          <w:szCs w:val="24"/>
        </w:rPr>
        <w:t>（5）严格管理</w:t>
      </w:r>
    </w:p>
    <w:p>
      <w:pPr>
        <w:spacing w:line="360" w:lineRule="auto"/>
        <w:ind w:firstLine="480" w:firstLineChars="200"/>
        <w:rPr>
          <w:color w:val="auto"/>
          <w:sz w:val="24"/>
          <w:szCs w:val="24"/>
        </w:rPr>
      </w:pPr>
      <w:r>
        <w:rPr>
          <w:rFonts w:hint="eastAsia"/>
          <w:color w:val="auto"/>
          <w:sz w:val="24"/>
          <w:szCs w:val="24"/>
        </w:rPr>
        <w:t>严格按施工作业范围进行施工，不得随意扩大，尽可能减少施工扰动。施工器材应集中存放在料场，严禁乱堆乱放。及时组织开展水土保持监理、监测工作，水土保持监理尽量与主体工程监理相结合，切实加强水土保持各项措施的落实，并对施工工程中不利于水土保持的行为进行管理。</w:t>
      </w:r>
    </w:p>
    <w:p>
      <w:pPr>
        <w:spacing w:line="360" w:lineRule="auto"/>
        <w:ind w:firstLine="480" w:firstLineChars="200"/>
        <w:rPr>
          <w:color w:val="auto"/>
          <w:sz w:val="24"/>
          <w:szCs w:val="24"/>
        </w:rPr>
      </w:pPr>
      <w:r>
        <w:rPr>
          <w:rFonts w:hint="eastAsia"/>
          <w:color w:val="auto"/>
          <w:sz w:val="24"/>
          <w:szCs w:val="24"/>
        </w:rPr>
        <w:t>经分析，项目在实际建设中若严格按照本评价提出的要求，落实各项水保措施，可最大限度地减少项目建设造成的水体流失，不会加重区域水体流失，确保水体流失控制在区域可承受范围内。</w:t>
      </w:r>
    </w:p>
    <w:p>
      <w:pPr>
        <w:pStyle w:val="4"/>
        <w:rPr>
          <w:color w:val="auto"/>
        </w:rPr>
      </w:pPr>
      <w:bookmarkStart w:id="156" w:name="_Toc26276874"/>
      <w:r>
        <w:rPr>
          <w:rFonts w:hint="eastAsia"/>
          <w:color w:val="auto"/>
        </w:rPr>
        <w:t>6.1.6施工期环保措施论证</w:t>
      </w:r>
      <w:bookmarkEnd w:id="156"/>
    </w:p>
    <w:p>
      <w:pPr>
        <w:spacing w:line="360" w:lineRule="auto"/>
        <w:ind w:firstLine="480" w:firstLineChars="200"/>
        <w:rPr>
          <w:color w:val="auto"/>
          <w:sz w:val="24"/>
          <w:szCs w:val="24"/>
        </w:rPr>
      </w:pPr>
      <w:r>
        <w:rPr>
          <w:rFonts w:hint="eastAsia"/>
          <w:color w:val="auto"/>
          <w:sz w:val="24"/>
          <w:szCs w:val="24"/>
        </w:rPr>
        <w:t>分析认为，通过施工期管理措施的落实，可极大地约束和控制施工期的“三废”、噪声及水土流失量；同时通过实施相应的工程防范措施、生态治理及恢复，可有效减缓工程施工对生态环境的破坏及扬尘、噪声、废水、弃渣的影响。施工期所采取的环保措施均为常规措施，技术经济可行。</w:t>
      </w:r>
    </w:p>
    <w:p>
      <w:pPr>
        <w:pStyle w:val="3"/>
        <w:rPr>
          <w:color w:val="auto"/>
        </w:rPr>
      </w:pPr>
      <w:bookmarkStart w:id="157" w:name="_Toc26276875"/>
      <w:bookmarkStart w:id="158" w:name="_Toc25964"/>
      <w:r>
        <w:rPr>
          <w:rFonts w:hint="eastAsia"/>
          <w:color w:val="auto"/>
        </w:rPr>
        <w:t>6.2运营期环境影响防治措施</w:t>
      </w:r>
      <w:bookmarkEnd w:id="157"/>
      <w:bookmarkEnd w:id="158"/>
    </w:p>
    <w:p>
      <w:pPr>
        <w:pStyle w:val="4"/>
        <w:rPr>
          <w:color w:val="auto"/>
        </w:rPr>
      </w:pPr>
      <w:bookmarkStart w:id="159" w:name="_Toc26276876"/>
      <w:r>
        <w:rPr>
          <w:rFonts w:hint="eastAsia"/>
          <w:color w:val="auto"/>
        </w:rPr>
        <w:t>6.2.1 运营期废水治理措施</w:t>
      </w:r>
      <w:bookmarkEnd w:id="159"/>
    </w:p>
    <w:p>
      <w:pPr>
        <w:pStyle w:val="5"/>
        <w:rPr>
          <w:color w:val="auto"/>
        </w:rPr>
      </w:pPr>
      <w:r>
        <w:rPr>
          <w:rFonts w:hint="eastAsia"/>
          <w:color w:val="auto"/>
        </w:rPr>
        <w:t>6.2.1.1</w:t>
      </w:r>
      <w:r>
        <w:rPr>
          <w:color w:val="auto"/>
        </w:rPr>
        <w:t>污水处理达标可靠性和可行性分析</w:t>
      </w:r>
    </w:p>
    <w:p>
      <w:pPr>
        <w:spacing w:line="360" w:lineRule="auto"/>
        <w:ind w:firstLine="510"/>
        <w:rPr>
          <w:color w:val="auto"/>
          <w:spacing w:val="4"/>
          <w:sz w:val="24"/>
          <w:szCs w:val="24"/>
        </w:rPr>
      </w:pPr>
      <w:r>
        <w:rPr>
          <w:rFonts w:hint="eastAsia"/>
          <w:color w:val="auto"/>
          <w:sz w:val="24"/>
          <w:szCs w:val="24"/>
        </w:rPr>
        <w:t>本项目污水处理采用“曝气沉砂池+应急沉淀池+倒置AAO+曝气生物滤池+高效沉淀池+转盘滤池+消毒接触池”工艺</w:t>
      </w:r>
      <w:r>
        <w:rPr>
          <w:color w:val="auto"/>
          <w:spacing w:val="4"/>
          <w:sz w:val="24"/>
          <w:szCs w:val="24"/>
        </w:rPr>
        <w:t>，工艺特点如下：</w:t>
      </w:r>
    </w:p>
    <w:p>
      <w:pPr>
        <w:spacing w:line="360" w:lineRule="auto"/>
        <w:ind w:left="510"/>
        <w:rPr>
          <w:color w:val="auto"/>
          <w:spacing w:val="4"/>
          <w:sz w:val="24"/>
          <w:szCs w:val="24"/>
        </w:rPr>
      </w:pPr>
      <w:r>
        <w:rPr>
          <w:rFonts w:hint="eastAsia"/>
          <w:color w:val="auto"/>
          <w:sz w:val="24"/>
          <w:szCs w:val="24"/>
        </w:rPr>
        <w:t>（1）粗格栅+细格栅+应急沉淀池</w:t>
      </w:r>
      <w:r>
        <w:rPr>
          <w:color w:val="auto"/>
          <w:spacing w:val="4"/>
          <w:sz w:val="24"/>
          <w:szCs w:val="24"/>
        </w:rPr>
        <w:t>工艺</w:t>
      </w:r>
    </w:p>
    <w:p>
      <w:pPr>
        <w:spacing w:line="360" w:lineRule="auto"/>
        <w:ind w:firstLine="480" w:firstLineChars="200"/>
        <w:rPr>
          <w:color w:val="auto"/>
          <w:sz w:val="24"/>
          <w:szCs w:val="24"/>
        </w:rPr>
      </w:pPr>
      <w:r>
        <w:rPr>
          <w:rFonts w:hint="eastAsia"/>
          <w:color w:val="auto"/>
          <w:sz w:val="24"/>
          <w:szCs w:val="24"/>
        </w:rPr>
        <w:t>五华河东绿色生态工业小镇南部分区的生活污水和工业废水及五华河东绿色生态工业小镇南区东边村庄的生活污水通过厂外配套污水管网进入油新水质净化厂，经粗格栅井拦截粗大的树枝木棍、布片、塑料制品等杂物，有效防止后续处理构筑物的机械设备和管道被磨损或阻塞，使后续处理流程能顺利进行。粗格栅后设置细格栅井，进一步去除污水中的细小悬浮物及细小纤维，降低生物处理负荷，防止布条等物体的带入对后续处理流程中搅拌器叶轮等装置造成影响。考虑到园区废水的排水不规律，水质的多变等因素，设置应急沉淀池，正常工况下可超越，若发现进水不正常，可接入应急沉淀池加药处理，并有一定缓冲能力，为上游排查争取响应时间。</w:t>
      </w:r>
    </w:p>
    <w:p>
      <w:pPr>
        <w:spacing w:line="360" w:lineRule="auto"/>
        <w:ind w:firstLine="510"/>
        <w:rPr>
          <w:color w:val="auto"/>
          <w:spacing w:val="4"/>
          <w:sz w:val="24"/>
          <w:szCs w:val="24"/>
        </w:rPr>
      </w:pPr>
      <w:r>
        <w:rPr>
          <w:color w:val="auto"/>
          <w:spacing w:val="4"/>
          <w:sz w:val="24"/>
          <w:szCs w:val="24"/>
        </w:rPr>
        <w:t>（2）</w:t>
      </w:r>
      <w:r>
        <w:rPr>
          <w:rFonts w:hint="eastAsia"/>
          <w:color w:val="auto"/>
          <w:sz w:val="24"/>
          <w:szCs w:val="24"/>
        </w:rPr>
        <w:t>倒置AAO</w:t>
      </w:r>
      <w:r>
        <w:rPr>
          <w:color w:val="auto"/>
          <w:spacing w:val="4"/>
          <w:sz w:val="24"/>
          <w:szCs w:val="24"/>
        </w:rPr>
        <w:t>工艺</w:t>
      </w:r>
    </w:p>
    <w:p>
      <w:pPr>
        <w:spacing w:line="360" w:lineRule="auto"/>
        <w:ind w:firstLine="510"/>
        <w:rPr>
          <w:color w:val="auto"/>
          <w:sz w:val="24"/>
          <w:szCs w:val="24"/>
        </w:rPr>
      </w:pPr>
      <w:r>
        <w:rPr>
          <w:rFonts w:hint="eastAsia"/>
          <w:color w:val="auto"/>
          <w:sz w:val="24"/>
          <w:szCs w:val="24"/>
        </w:rPr>
        <w:t>针对本工程实际情况，AAO 工艺、曝气生物滤池工艺和填料生物膜工艺均适合于本工程的二级处理。由于油新水质净化厂对节地的需求较低，而对运行维护的便利性需求较高，因此采用倒置AAO 工艺。其工艺流程为：污水预处理后排入倒置AAO反应池，首先进入倒置AAO工艺中的缺氧区，在缺氧条件下充分去除回流活性污泥中硝酸盐后，再将活性污泥回流至厌氧池，此过程完全可以做到硝酸盐的零回流，从而使厌氧池释放磷的效率大大提高，并且来水直接进入到缺氧池，使反硝化菌有足够的碳源进行反硝化，增强了反硝化的能力，有利于除氮的进行。最后进入好氧区，好氧的形式仍然为传统的活性污泥法，采用微孔曝气，使污水与活性污泥充分接触，在好氧菌的作用下，水中的有机物不断地被细菌分解成CO</w:t>
      </w:r>
      <w:r>
        <w:rPr>
          <w:rFonts w:hint="eastAsia"/>
          <w:color w:val="auto"/>
          <w:sz w:val="24"/>
          <w:szCs w:val="24"/>
          <w:vertAlign w:val="subscript"/>
        </w:rPr>
        <w:t>2</w:t>
      </w:r>
      <w:r>
        <w:rPr>
          <w:rFonts w:hint="eastAsia"/>
          <w:color w:val="auto"/>
          <w:sz w:val="24"/>
          <w:szCs w:val="24"/>
        </w:rPr>
        <w:t>与H</w:t>
      </w:r>
      <w:r>
        <w:rPr>
          <w:rFonts w:hint="eastAsia"/>
          <w:color w:val="auto"/>
          <w:sz w:val="24"/>
          <w:szCs w:val="24"/>
          <w:vertAlign w:val="subscript"/>
        </w:rPr>
        <w:t>2</w:t>
      </w:r>
      <w:r>
        <w:rPr>
          <w:rFonts w:hint="eastAsia"/>
          <w:color w:val="auto"/>
          <w:sz w:val="24"/>
          <w:szCs w:val="24"/>
        </w:rPr>
        <w:t>O而使出水的COD、BOD达标。</w:t>
      </w:r>
    </w:p>
    <w:p>
      <w:pPr>
        <w:spacing w:line="360" w:lineRule="auto"/>
        <w:ind w:firstLine="510"/>
        <w:rPr>
          <w:color w:val="auto"/>
          <w:spacing w:val="4"/>
          <w:sz w:val="24"/>
          <w:szCs w:val="24"/>
        </w:rPr>
      </w:pPr>
      <w:r>
        <w:rPr>
          <w:color w:val="auto"/>
          <w:spacing w:val="4"/>
          <w:sz w:val="24"/>
          <w:szCs w:val="24"/>
        </w:rPr>
        <w:t>（3）</w:t>
      </w:r>
      <w:r>
        <w:rPr>
          <w:rFonts w:hint="eastAsia"/>
          <w:color w:val="auto"/>
          <w:sz w:val="24"/>
          <w:szCs w:val="24"/>
        </w:rPr>
        <w:t>曝气生物滤池</w:t>
      </w:r>
      <w:r>
        <w:rPr>
          <w:color w:val="auto"/>
          <w:spacing w:val="4"/>
          <w:sz w:val="24"/>
          <w:szCs w:val="24"/>
        </w:rPr>
        <w:t>工艺</w:t>
      </w:r>
    </w:p>
    <w:p>
      <w:pPr>
        <w:spacing w:line="360" w:lineRule="auto"/>
        <w:ind w:firstLine="480" w:firstLineChars="200"/>
        <w:rPr>
          <w:color w:val="auto"/>
          <w:sz w:val="24"/>
          <w:szCs w:val="24"/>
        </w:rPr>
      </w:pPr>
      <w:r>
        <w:rPr>
          <w:rFonts w:hint="eastAsia"/>
          <w:color w:val="auto"/>
          <w:sz w:val="24"/>
          <w:szCs w:val="24"/>
        </w:rPr>
        <w:t>由于本工程出水标准较高，单一生物处理已难以满足出水水质要求，故倒置AAO工艺后设置曝气生物滤池。曝气生物滤池可利用厂区用地建设，且作为深度处理单元，可提升SS 的去除效果。污水在生物滤池的滤料上可以发生有机物的代谢过程，还可将生物转化过程产生的剩余污泥和进水带入的悬浮物进一步截流在滤池内，起到生物过滤的作用。</w:t>
      </w:r>
    </w:p>
    <w:p>
      <w:pPr>
        <w:spacing w:line="360" w:lineRule="auto"/>
        <w:ind w:firstLine="510"/>
        <w:rPr>
          <w:color w:val="auto"/>
          <w:spacing w:val="4"/>
          <w:sz w:val="24"/>
          <w:szCs w:val="24"/>
        </w:rPr>
      </w:pPr>
      <w:r>
        <w:rPr>
          <w:color w:val="auto"/>
          <w:spacing w:val="4"/>
          <w:sz w:val="24"/>
          <w:szCs w:val="24"/>
        </w:rPr>
        <w:t>（4）</w:t>
      </w:r>
      <w:r>
        <w:rPr>
          <w:rFonts w:hint="eastAsia"/>
          <w:color w:val="auto"/>
          <w:sz w:val="24"/>
          <w:szCs w:val="24"/>
        </w:rPr>
        <w:t>高效沉淀池</w:t>
      </w:r>
      <w:r>
        <w:rPr>
          <w:color w:val="auto"/>
          <w:spacing w:val="4"/>
          <w:sz w:val="24"/>
          <w:szCs w:val="24"/>
        </w:rPr>
        <w:t>工艺</w:t>
      </w:r>
    </w:p>
    <w:p>
      <w:pPr>
        <w:spacing w:line="360" w:lineRule="auto"/>
        <w:ind w:firstLine="480" w:firstLineChars="200"/>
        <w:jc w:val="left"/>
        <w:rPr>
          <w:color w:val="auto"/>
          <w:sz w:val="24"/>
          <w:szCs w:val="24"/>
        </w:rPr>
      </w:pPr>
      <w:r>
        <w:rPr>
          <w:rFonts w:hint="eastAsia"/>
          <w:color w:val="auto"/>
          <w:sz w:val="24"/>
          <w:szCs w:val="24"/>
        </w:rPr>
        <w:t>高效沉淀池集混合、絮凝、沉淀和污泥浓缩等功能于一体，由于采用了投加助凝剂和污泥循环回流措施，可提高絮凝效果，大幅度地改善污泥沉降性能。考虑到本工程对SS 和TP 的去除要求高，故采用高效沉淀池作为深度处理混凝沉淀工艺。此外，该工艺具有处理负荷高、占地少和排泥水可直接脱水的特点，同时又可以省去浓缩池的建设用地，由此可大大减少沉淀池和排泥水处理中污泥浓缩池的占地面积。</w:t>
      </w:r>
    </w:p>
    <w:p>
      <w:pPr>
        <w:spacing w:line="360" w:lineRule="auto"/>
        <w:ind w:firstLine="510"/>
        <w:rPr>
          <w:color w:val="auto"/>
          <w:spacing w:val="4"/>
          <w:sz w:val="24"/>
          <w:szCs w:val="24"/>
        </w:rPr>
      </w:pPr>
      <w:r>
        <w:rPr>
          <w:color w:val="auto"/>
          <w:spacing w:val="4"/>
          <w:sz w:val="24"/>
          <w:szCs w:val="24"/>
        </w:rPr>
        <w:t>（5）</w:t>
      </w:r>
      <w:r>
        <w:rPr>
          <w:rFonts w:hint="eastAsia"/>
          <w:color w:val="auto"/>
          <w:sz w:val="24"/>
          <w:szCs w:val="24"/>
        </w:rPr>
        <w:t>转盘滤池</w:t>
      </w:r>
      <w:r>
        <w:rPr>
          <w:color w:val="auto"/>
          <w:spacing w:val="4"/>
          <w:sz w:val="24"/>
          <w:szCs w:val="24"/>
        </w:rPr>
        <w:t>工艺</w:t>
      </w:r>
    </w:p>
    <w:p>
      <w:pPr>
        <w:spacing w:line="360" w:lineRule="auto"/>
        <w:ind w:firstLine="510"/>
        <w:rPr>
          <w:color w:val="auto"/>
          <w:spacing w:val="4"/>
          <w:sz w:val="24"/>
          <w:szCs w:val="24"/>
        </w:rPr>
      </w:pPr>
      <w:r>
        <w:rPr>
          <w:rFonts w:hint="eastAsia"/>
          <w:color w:val="auto"/>
          <w:sz w:val="24"/>
          <w:szCs w:val="24"/>
        </w:rPr>
        <w:t>根据本工程的处理规模，限于现场的条件综合考虑，本工程选择转盘滤池作为过滤工艺。转盘过滤器是由用于支撑滤网的两块垂直安装于中央给水管上的平行圆盘形成的一个个滤盘串联起来组成的废水过滤设备。滤前水通过中央给水渠进入转盘过滤器内，向外侧流动通过滤网。在转动开始时，给水进入中央进水管并通过此管分配到各滤盘内，尽管转盘过滤器浸于水中，但水和小于滤网孔眼的颗粒则通过滤网进入出水收集槽内，大于滤网孔径的颗粒被截留在滤盘内。</w:t>
      </w:r>
    </w:p>
    <w:p>
      <w:pPr>
        <w:spacing w:line="360" w:lineRule="auto"/>
        <w:ind w:firstLine="510"/>
        <w:rPr>
          <w:color w:val="auto"/>
          <w:sz w:val="24"/>
          <w:szCs w:val="24"/>
        </w:rPr>
      </w:pPr>
      <w:r>
        <w:rPr>
          <w:rFonts w:hint="eastAsia"/>
          <w:color w:val="auto"/>
          <w:spacing w:val="4"/>
          <w:sz w:val="24"/>
          <w:szCs w:val="24"/>
        </w:rPr>
        <w:t>（6）</w:t>
      </w:r>
      <w:r>
        <w:rPr>
          <w:rFonts w:hint="eastAsia"/>
          <w:color w:val="auto"/>
          <w:sz w:val="24"/>
          <w:szCs w:val="24"/>
        </w:rPr>
        <w:t>消毒接触池工艺</w:t>
      </w:r>
    </w:p>
    <w:p>
      <w:pPr>
        <w:spacing w:line="360" w:lineRule="auto"/>
        <w:ind w:firstLine="480" w:firstLineChars="200"/>
        <w:rPr>
          <w:color w:val="auto"/>
          <w:spacing w:val="4"/>
          <w:sz w:val="24"/>
          <w:szCs w:val="24"/>
        </w:rPr>
      </w:pPr>
      <w:r>
        <w:rPr>
          <w:rFonts w:hint="eastAsia"/>
          <w:color w:val="auto"/>
          <w:sz w:val="24"/>
          <w:szCs w:val="24"/>
        </w:rPr>
        <w:t>在水处理中常用的消毒剂有液氯、臭氧、二氧化氯、次氯酸钠和紫外线等，考虑安全性、投资、占地面积等因素，本工程采用次氯酸钠消毒，节省占地、使用安全、操作管理、投资节省。</w:t>
      </w:r>
    </w:p>
    <w:p>
      <w:pPr>
        <w:spacing w:line="360" w:lineRule="auto"/>
        <w:ind w:firstLine="496" w:firstLineChars="200"/>
        <w:rPr>
          <w:color w:val="auto"/>
          <w:spacing w:val="4"/>
          <w:sz w:val="24"/>
          <w:szCs w:val="24"/>
        </w:rPr>
      </w:pPr>
      <w:r>
        <w:rPr>
          <w:color w:val="auto"/>
          <w:spacing w:val="4"/>
          <w:sz w:val="24"/>
          <w:szCs w:val="24"/>
        </w:rPr>
        <w:t>（7）污水处理效率分析</w:t>
      </w:r>
    </w:p>
    <w:p>
      <w:pPr>
        <w:spacing w:line="360" w:lineRule="auto"/>
        <w:ind w:firstLine="480" w:firstLineChars="200"/>
        <w:rPr>
          <w:color w:val="auto"/>
          <w:spacing w:val="4"/>
          <w:sz w:val="24"/>
          <w:szCs w:val="24"/>
        </w:rPr>
      </w:pPr>
      <w:r>
        <w:rPr>
          <w:rFonts w:hint="eastAsia"/>
          <w:color w:val="auto"/>
          <w:sz w:val="24"/>
          <w:szCs w:val="24"/>
        </w:rPr>
        <w:t>本项目主要对五华河东绿色生态工业小镇南部分区污水（包括生活污水和工业废水）及五华河东绿色生态工业小镇南区东边村庄的生活污水进行收集处理，出水标准较高，单一生物处理难以满足出水水质要求，</w:t>
      </w:r>
      <w:r>
        <w:rPr>
          <w:color w:val="auto"/>
          <w:spacing w:val="4"/>
          <w:sz w:val="24"/>
          <w:szCs w:val="24"/>
        </w:rPr>
        <w:t>因此，本项目废水处理工艺</w:t>
      </w:r>
      <w:r>
        <w:rPr>
          <w:rFonts w:hint="eastAsia"/>
          <w:color w:val="auto"/>
          <w:spacing w:val="4"/>
          <w:sz w:val="24"/>
          <w:szCs w:val="24"/>
        </w:rPr>
        <w:t>除了主体工艺（倒置AAO工艺）外，</w:t>
      </w:r>
      <w:r>
        <w:rPr>
          <w:color w:val="auto"/>
          <w:spacing w:val="4"/>
          <w:sz w:val="24"/>
          <w:szCs w:val="24"/>
        </w:rPr>
        <w:t>有针对性</w:t>
      </w:r>
      <w:r>
        <w:rPr>
          <w:rFonts w:hint="eastAsia"/>
          <w:color w:val="auto"/>
          <w:spacing w:val="4"/>
          <w:sz w:val="24"/>
          <w:szCs w:val="24"/>
        </w:rPr>
        <w:t>地</w:t>
      </w:r>
      <w:r>
        <w:rPr>
          <w:color w:val="auto"/>
          <w:spacing w:val="4"/>
          <w:sz w:val="24"/>
          <w:szCs w:val="24"/>
        </w:rPr>
        <w:t>增加了前置的“</w:t>
      </w:r>
      <w:r>
        <w:rPr>
          <w:rFonts w:hint="eastAsia"/>
          <w:color w:val="auto"/>
          <w:sz w:val="24"/>
          <w:szCs w:val="24"/>
        </w:rPr>
        <w:t>曝气沉砂池+应急沉淀池</w:t>
      </w:r>
      <w:r>
        <w:rPr>
          <w:color w:val="auto"/>
          <w:spacing w:val="4"/>
          <w:sz w:val="24"/>
          <w:szCs w:val="24"/>
        </w:rPr>
        <w:t>”及后置的“</w:t>
      </w:r>
      <w:r>
        <w:rPr>
          <w:rFonts w:hint="eastAsia"/>
          <w:color w:val="auto"/>
          <w:sz w:val="24"/>
          <w:szCs w:val="24"/>
        </w:rPr>
        <w:t>曝气生物滤池+高效沉淀池+转盘滤池+消毒接触池</w:t>
      </w:r>
      <w:r>
        <w:rPr>
          <w:color w:val="auto"/>
          <w:spacing w:val="4"/>
          <w:sz w:val="24"/>
          <w:szCs w:val="24"/>
        </w:rPr>
        <w:t>”处理工艺。对于本项目的总体处理工艺，虽然目前并没有完全相同的工艺实例，但各分项工艺均有较为成熟的工程实例，单元去除率根据以往工程经验取较为保守</w:t>
      </w:r>
      <w:r>
        <w:rPr>
          <w:rFonts w:hint="eastAsia"/>
          <w:color w:val="auto"/>
          <w:spacing w:val="4"/>
          <w:sz w:val="24"/>
          <w:szCs w:val="24"/>
        </w:rPr>
        <w:t>的数</w:t>
      </w:r>
      <w:r>
        <w:rPr>
          <w:color w:val="auto"/>
          <w:spacing w:val="4"/>
          <w:sz w:val="24"/>
          <w:szCs w:val="24"/>
        </w:rPr>
        <w:t>值，</w:t>
      </w:r>
      <w:r>
        <w:rPr>
          <w:rFonts w:hint="eastAsia"/>
          <w:color w:val="auto"/>
          <w:spacing w:val="4"/>
          <w:sz w:val="24"/>
          <w:szCs w:val="24"/>
        </w:rPr>
        <w:t>并参考《污水处理组合工艺及工程实例》（金兆丰, 余志荣. 化学工业出版社, 2003.）、《污水处理构筑物设计与计算》（韩洪军. 哈尔滨工业大学出版社, 2002.），</w:t>
      </w:r>
      <w:r>
        <w:rPr>
          <w:color w:val="auto"/>
          <w:spacing w:val="4"/>
          <w:sz w:val="24"/>
          <w:szCs w:val="24"/>
        </w:rPr>
        <w:t>项目污染物去除率完全可以达到排放标准的要求</w:t>
      </w:r>
      <w:r>
        <w:rPr>
          <w:rFonts w:hint="eastAsia"/>
          <w:color w:val="auto"/>
          <w:spacing w:val="4"/>
          <w:sz w:val="24"/>
          <w:szCs w:val="24"/>
        </w:rPr>
        <w:t>。</w:t>
      </w:r>
      <w:r>
        <w:rPr>
          <w:color w:val="auto"/>
          <w:spacing w:val="4"/>
          <w:sz w:val="24"/>
          <w:szCs w:val="24"/>
        </w:rPr>
        <w:t>本项目各工艺单元去除率如下表所示。</w:t>
      </w:r>
    </w:p>
    <w:p>
      <w:pPr>
        <w:spacing w:line="360" w:lineRule="auto"/>
        <w:ind w:firstLine="510"/>
        <w:jc w:val="center"/>
        <w:rPr>
          <w:b/>
          <w:color w:val="auto"/>
          <w:spacing w:val="4"/>
          <w:sz w:val="24"/>
          <w:szCs w:val="24"/>
        </w:rPr>
      </w:pPr>
      <w:r>
        <w:rPr>
          <w:rFonts w:hAnsi="宋体"/>
          <w:b/>
          <w:color w:val="auto"/>
          <w:spacing w:val="4"/>
          <w:sz w:val="24"/>
          <w:szCs w:val="24"/>
        </w:rPr>
        <w:t>表</w:t>
      </w:r>
      <w:r>
        <w:rPr>
          <w:rFonts w:hint="eastAsia"/>
          <w:b/>
          <w:color w:val="auto"/>
          <w:spacing w:val="4"/>
          <w:sz w:val="24"/>
          <w:szCs w:val="24"/>
        </w:rPr>
        <w:t>6-2-1</w:t>
      </w:r>
      <w:r>
        <w:rPr>
          <w:b/>
          <w:color w:val="auto"/>
          <w:spacing w:val="4"/>
          <w:sz w:val="24"/>
          <w:szCs w:val="24"/>
        </w:rPr>
        <w:t xml:space="preserve">   </w:t>
      </w:r>
      <w:r>
        <w:rPr>
          <w:rFonts w:hAnsi="宋体"/>
          <w:b/>
          <w:color w:val="auto"/>
          <w:spacing w:val="4"/>
          <w:sz w:val="24"/>
          <w:szCs w:val="24"/>
        </w:rPr>
        <w:t>各工艺单元处理效率一览表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843"/>
        <w:gridCol w:w="906"/>
        <w:gridCol w:w="906"/>
        <w:gridCol w:w="906"/>
        <w:gridCol w:w="906"/>
        <w:gridCol w:w="906"/>
        <w:gridCol w:w="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Merge w:val="restart"/>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宋体"/>
                <w:b/>
                <w:color w:val="auto"/>
                <w:sz w:val="21"/>
                <w:szCs w:val="21"/>
              </w:rPr>
              <w:t>工艺单元</w:t>
            </w:r>
          </w:p>
        </w:tc>
        <w:tc>
          <w:tcPr>
            <w:tcW w:w="5437" w:type="dxa"/>
            <w:gridSpan w:val="6"/>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宋体"/>
                <w:b/>
                <w:color w:val="auto"/>
                <w:sz w:val="21"/>
                <w:szCs w:val="21"/>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Merge w:val="continue"/>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p>
        </w:tc>
        <w:tc>
          <w:tcPr>
            <w:tcW w:w="906" w:type="dxa"/>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Times New Roman"/>
                <w:b/>
                <w:color w:val="auto"/>
                <w:sz w:val="21"/>
                <w:szCs w:val="21"/>
              </w:rPr>
              <w:t>COD</w:t>
            </w:r>
            <w:r>
              <w:rPr>
                <w:rFonts w:ascii="Times New Roman" w:hAnsi="Times New Roman"/>
                <w:b/>
                <w:color w:val="auto"/>
                <w:sz w:val="21"/>
                <w:szCs w:val="21"/>
                <w:vertAlign w:val="subscript"/>
              </w:rPr>
              <w:t>Cr</w:t>
            </w:r>
          </w:p>
        </w:tc>
        <w:tc>
          <w:tcPr>
            <w:tcW w:w="906" w:type="dxa"/>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Times New Roman"/>
                <w:b/>
                <w:color w:val="auto"/>
                <w:sz w:val="21"/>
                <w:szCs w:val="21"/>
              </w:rPr>
              <w:t>BOD</w:t>
            </w:r>
            <w:r>
              <w:rPr>
                <w:rFonts w:ascii="Times New Roman" w:hAnsi="Times New Roman"/>
                <w:b/>
                <w:color w:val="auto"/>
                <w:sz w:val="21"/>
                <w:szCs w:val="21"/>
                <w:vertAlign w:val="subscript"/>
              </w:rPr>
              <w:t>5</w:t>
            </w:r>
          </w:p>
        </w:tc>
        <w:tc>
          <w:tcPr>
            <w:tcW w:w="906" w:type="dxa"/>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Times New Roman"/>
                <w:b/>
                <w:color w:val="auto"/>
                <w:sz w:val="21"/>
                <w:szCs w:val="21"/>
              </w:rPr>
              <w:t>SS</w:t>
            </w:r>
          </w:p>
        </w:tc>
        <w:tc>
          <w:tcPr>
            <w:tcW w:w="906" w:type="dxa"/>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Times New Roman"/>
                <w:b/>
                <w:color w:val="auto"/>
                <w:sz w:val="21"/>
                <w:szCs w:val="21"/>
              </w:rPr>
              <w:t>TN</w:t>
            </w:r>
          </w:p>
        </w:tc>
        <w:tc>
          <w:tcPr>
            <w:tcW w:w="906" w:type="dxa"/>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Times New Roman"/>
                <w:b/>
                <w:color w:val="auto"/>
                <w:sz w:val="21"/>
                <w:szCs w:val="21"/>
              </w:rPr>
              <w:t>NH</w:t>
            </w:r>
            <w:r>
              <w:rPr>
                <w:rFonts w:ascii="Times New Roman" w:hAnsi="Times New Roman"/>
                <w:b/>
                <w:color w:val="auto"/>
                <w:sz w:val="21"/>
                <w:szCs w:val="21"/>
                <w:vertAlign w:val="subscript"/>
              </w:rPr>
              <w:t>3</w:t>
            </w:r>
            <w:r>
              <w:rPr>
                <w:rFonts w:ascii="Times New Roman" w:hAnsi="Times New Roman"/>
                <w:b/>
                <w:color w:val="auto"/>
                <w:sz w:val="21"/>
                <w:szCs w:val="21"/>
              </w:rPr>
              <w:t>-N</w:t>
            </w:r>
          </w:p>
        </w:tc>
        <w:tc>
          <w:tcPr>
            <w:tcW w:w="907" w:type="dxa"/>
            <w:vAlign w:val="center"/>
          </w:tcPr>
          <w:p>
            <w:pPr>
              <w:pStyle w:val="13"/>
              <w:adjustRightInd w:val="0"/>
              <w:snapToGrid w:val="0"/>
              <w:spacing w:line="240" w:lineRule="auto"/>
              <w:ind w:firstLine="0" w:firstLineChars="0"/>
              <w:jc w:val="center"/>
              <w:rPr>
                <w:rFonts w:ascii="Times New Roman" w:hAnsi="Times New Roman"/>
                <w:b/>
                <w:color w:val="auto"/>
                <w:sz w:val="21"/>
                <w:szCs w:val="21"/>
              </w:rPr>
            </w:pPr>
            <w:r>
              <w:rPr>
                <w:rFonts w:ascii="Times New Roman" w:hAnsi="Times New Roman"/>
                <w:b/>
                <w:color w:val="auto"/>
                <w:sz w:val="21"/>
                <w:szCs w:val="21"/>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粗格栅、细格栅及曝气沉砂池</w:t>
            </w: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进水水质（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500</w:t>
            </w:r>
          </w:p>
        </w:tc>
        <w:tc>
          <w:tcPr>
            <w:tcW w:w="906" w:type="dxa"/>
            <w:vAlign w:val="center"/>
          </w:tcPr>
          <w:p>
            <w:pPr>
              <w:adjustRightInd w:val="0"/>
              <w:snapToGrid w:val="0"/>
              <w:jc w:val="center"/>
              <w:rPr>
                <w:color w:val="auto"/>
                <w:sz w:val="21"/>
                <w:szCs w:val="21"/>
              </w:rPr>
            </w:pPr>
            <w:r>
              <w:rPr>
                <w:color w:val="auto"/>
                <w:sz w:val="21"/>
                <w:szCs w:val="21"/>
              </w:rPr>
              <w:t>200</w:t>
            </w:r>
          </w:p>
        </w:tc>
        <w:tc>
          <w:tcPr>
            <w:tcW w:w="906" w:type="dxa"/>
            <w:vAlign w:val="center"/>
          </w:tcPr>
          <w:p>
            <w:pPr>
              <w:adjustRightInd w:val="0"/>
              <w:snapToGrid w:val="0"/>
              <w:jc w:val="center"/>
              <w:rPr>
                <w:color w:val="auto"/>
                <w:sz w:val="21"/>
                <w:szCs w:val="21"/>
              </w:rPr>
            </w:pPr>
            <w:r>
              <w:rPr>
                <w:color w:val="auto"/>
                <w:sz w:val="21"/>
                <w:szCs w:val="21"/>
              </w:rPr>
              <w:t>300</w:t>
            </w:r>
          </w:p>
        </w:tc>
        <w:tc>
          <w:tcPr>
            <w:tcW w:w="906" w:type="dxa"/>
            <w:vAlign w:val="center"/>
          </w:tcPr>
          <w:p>
            <w:pPr>
              <w:adjustRightInd w:val="0"/>
              <w:snapToGrid w:val="0"/>
              <w:jc w:val="center"/>
              <w:rPr>
                <w:color w:val="auto"/>
                <w:sz w:val="21"/>
                <w:szCs w:val="21"/>
              </w:rPr>
            </w:pPr>
            <w:r>
              <w:rPr>
                <w:color w:val="auto"/>
                <w:sz w:val="21"/>
                <w:szCs w:val="21"/>
              </w:rPr>
              <w:t>50</w:t>
            </w:r>
          </w:p>
        </w:tc>
        <w:tc>
          <w:tcPr>
            <w:tcW w:w="906" w:type="dxa"/>
            <w:vAlign w:val="center"/>
          </w:tcPr>
          <w:p>
            <w:pPr>
              <w:adjustRightInd w:val="0"/>
              <w:snapToGrid w:val="0"/>
              <w:jc w:val="center"/>
              <w:rPr>
                <w:color w:val="auto"/>
                <w:sz w:val="21"/>
                <w:szCs w:val="21"/>
              </w:rPr>
            </w:pPr>
            <w:r>
              <w:rPr>
                <w:color w:val="auto"/>
                <w:sz w:val="21"/>
                <w:szCs w:val="21"/>
              </w:rPr>
              <w:t>40</w:t>
            </w:r>
          </w:p>
        </w:tc>
        <w:tc>
          <w:tcPr>
            <w:tcW w:w="907" w:type="dxa"/>
            <w:vAlign w:val="center"/>
          </w:tcPr>
          <w:p>
            <w:pPr>
              <w:adjustRightInd w:val="0"/>
              <w:snapToGrid w:val="0"/>
              <w:jc w:val="center"/>
              <w:rPr>
                <w:color w:val="auto"/>
                <w:sz w:val="21"/>
                <w:szCs w:val="21"/>
              </w:rPr>
            </w:pPr>
            <w:r>
              <w:rPr>
                <w:color w:val="auto"/>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处理效率（</w:t>
            </w:r>
            <w:r>
              <w:rPr>
                <w:rFonts w:ascii="Times New Roman" w:hAnsi="Times New Roman"/>
                <w:color w:val="auto"/>
                <w:sz w:val="21"/>
                <w:szCs w:val="21"/>
              </w:rPr>
              <w:t>%</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30</w:t>
            </w:r>
          </w:p>
        </w:tc>
        <w:tc>
          <w:tcPr>
            <w:tcW w:w="906" w:type="dxa"/>
            <w:vAlign w:val="center"/>
          </w:tcPr>
          <w:p>
            <w:pPr>
              <w:adjustRightInd w:val="0"/>
              <w:snapToGrid w:val="0"/>
              <w:jc w:val="center"/>
              <w:rPr>
                <w:color w:val="auto"/>
                <w:sz w:val="21"/>
                <w:szCs w:val="21"/>
              </w:rPr>
            </w:pPr>
            <w:r>
              <w:rPr>
                <w:color w:val="auto"/>
                <w:sz w:val="21"/>
                <w:szCs w:val="21"/>
              </w:rPr>
              <w:t>25</w:t>
            </w:r>
          </w:p>
        </w:tc>
        <w:tc>
          <w:tcPr>
            <w:tcW w:w="906" w:type="dxa"/>
            <w:vAlign w:val="center"/>
          </w:tcPr>
          <w:p>
            <w:pPr>
              <w:adjustRightInd w:val="0"/>
              <w:snapToGrid w:val="0"/>
              <w:jc w:val="center"/>
              <w:rPr>
                <w:color w:val="auto"/>
                <w:sz w:val="21"/>
                <w:szCs w:val="21"/>
              </w:rPr>
            </w:pPr>
            <w:r>
              <w:rPr>
                <w:color w:val="auto"/>
                <w:sz w:val="21"/>
                <w:szCs w:val="21"/>
              </w:rPr>
              <w:t>60</w:t>
            </w:r>
          </w:p>
        </w:tc>
        <w:tc>
          <w:tcPr>
            <w:tcW w:w="906" w:type="dxa"/>
            <w:vAlign w:val="center"/>
          </w:tcPr>
          <w:p>
            <w:pPr>
              <w:adjustRightInd w:val="0"/>
              <w:snapToGrid w:val="0"/>
              <w:jc w:val="center"/>
              <w:rPr>
                <w:color w:val="auto"/>
                <w:sz w:val="21"/>
                <w:szCs w:val="21"/>
              </w:rPr>
            </w:pPr>
            <w:r>
              <w:rPr>
                <w:color w:val="auto"/>
                <w:sz w:val="21"/>
                <w:szCs w:val="21"/>
              </w:rPr>
              <w:t>15</w:t>
            </w:r>
          </w:p>
        </w:tc>
        <w:tc>
          <w:tcPr>
            <w:tcW w:w="906" w:type="dxa"/>
            <w:vAlign w:val="center"/>
          </w:tcPr>
          <w:p>
            <w:pPr>
              <w:adjustRightInd w:val="0"/>
              <w:snapToGrid w:val="0"/>
              <w:jc w:val="center"/>
              <w:rPr>
                <w:color w:val="auto"/>
                <w:sz w:val="21"/>
                <w:szCs w:val="21"/>
              </w:rPr>
            </w:pPr>
            <w:r>
              <w:rPr>
                <w:color w:val="auto"/>
                <w:sz w:val="21"/>
                <w:szCs w:val="21"/>
              </w:rPr>
              <w:t>15</w:t>
            </w:r>
          </w:p>
        </w:tc>
        <w:tc>
          <w:tcPr>
            <w:tcW w:w="907" w:type="dxa"/>
            <w:vAlign w:val="center"/>
          </w:tcPr>
          <w:p>
            <w:pPr>
              <w:adjustRightInd w:val="0"/>
              <w:snapToGrid w:val="0"/>
              <w:jc w:val="center"/>
              <w:rPr>
                <w:color w:val="auto"/>
                <w:sz w:val="21"/>
                <w:szCs w:val="21"/>
              </w:rPr>
            </w:pPr>
            <w:r>
              <w:rPr>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出水水质（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350.00 </w:t>
            </w:r>
          </w:p>
        </w:tc>
        <w:tc>
          <w:tcPr>
            <w:tcW w:w="906" w:type="dxa"/>
            <w:vAlign w:val="center"/>
          </w:tcPr>
          <w:p>
            <w:pPr>
              <w:adjustRightInd w:val="0"/>
              <w:snapToGrid w:val="0"/>
              <w:jc w:val="center"/>
              <w:rPr>
                <w:color w:val="auto"/>
                <w:sz w:val="21"/>
                <w:szCs w:val="21"/>
              </w:rPr>
            </w:pPr>
            <w:r>
              <w:rPr>
                <w:color w:val="auto"/>
                <w:sz w:val="21"/>
                <w:szCs w:val="21"/>
              </w:rPr>
              <w:t xml:space="preserve">150.00 </w:t>
            </w:r>
          </w:p>
        </w:tc>
        <w:tc>
          <w:tcPr>
            <w:tcW w:w="906" w:type="dxa"/>
            <w:vAlign w:val="center"/>
          </w:tcPr>
          <w:p>
            <w:pPr>
              <w:adjustRightInd w:val="0"/>
              <w:snapToGrid w:val="0"/>
              <w:jc w:val="center"/>
              <w:rPr>
                <w:color w:val="auto"/>
                <w:sz w:val="21"/>
                <w:szCs w:val="21"/>
              </w:rPr>
            </w:pPr>
            <w:r>
              <w:rPr>
                <w:color w:val="auto"/>
                <w:sz w:val="21"/>
                <w:szCs w:val="21"/>
              </w:rPr>
              <w:t xml:space="preserve">120.00 </w:t>
            </w:r>
          </w:p>
        </w:tc>
        <w:tc>
          <w:tcPr>
            <w:tcW w:w="906" w:type="dxa"/>
            <w:vAlign w:val="center"/>
          </w:tcPr>
          <w:p>
            <w:pPr>
              <w:adjustRightInd w:val="0"/>
              <w:snapToGrid w:val="0"/>
              <w:jc w:val="center"/>
              <w:rPr>
                <w:color w:val="auto"/>
                <w:sz w:val="21"/>
                <w:szCs w:val="21"/>
              </w:rPr>
            </w:pPr>
            <w:r>
              <w:rPr>
                <w:color w:val="auto"/>
                <w:sz w:val="21"/>
                <w:szCs w:val="21"/>
              </w:rPr>
              <w:t xml:space="preserve">42.50 </w:t>
            </w:r>
          </w:p>
        </w:tc>
        <w:tc>
          <w:tcPr>
            <w:tcW w:w="906" w:type="dxa"/>
            <w:vAlign w:val="center"/>
          </w:tcPr>
          <w:p>
            <w:pPr>
              <w:adjustRightInd w:val="0"/>
              <w:snapToGrid w:val="0"/>
              <w:jc w:val="center"/>
              <w:rPr>
                <w:color w:val="auto"/>
                <w:sz w:val="21"/>
                <w:szCs w:val="21"/>
              </w:rPr>
            </w:pPr>
            <w:r>
              <w:rPr>
                <w:color w:val="auto"/>
                <w:sz w:val="21"/>
                <w:szCs w:val="21"/>
              </w:rPr>
              <w:t xml:space="preserve">34.00 </w:t>
            </w:r>
          </w:p>
        </w:tc>
        <w:tc>
          <w:tcPr>
            <w:tcW w:w="907" w:type="dxa"/>
            <w:vAlign w:val="center"/>
          </w:tcPr>
          <w:p>
            <w:pPr>
              <w:adjustRightInd w:val="0"/>
              <w:snapToGrid w:val="0"/>
              <w:jc w:val="center"/>
              <w:rPr>
                <w:color w:val="auto"/>
                <w:sz w:val="21"/>
                <w:szCs w:val="21"/>
              </w:rPr>
            </w:pPr>
            <w:r>
              <w:rPr>
                <w:color w:val="auto"/>
                <w:sz w:val="21"/>
                <w:szCs w:val="21"/>
              </w:rPr>
              <w:t xml:space="preserve">6.80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倒置</w:t>
            </w:r>
            <w:r>
              <w:rPr>
                <w:rFonts w:ascii="Times New Roman" w:hAnsi="Times New Roman"/>
                <w:color w:val="auto"/>
                <w:sz w:val="21"/>
                <w:szCs w:val="21"/>
              </w:rPr>
              <w:t>AAO</w:t>
            </w: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进水水质（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350.00 </w:t>
            </w:r>
          </w:p>
        </w:tc>
        <w:tc>
          <w:tcPr>
            <w:tcW w:w="906" w:type="dxa"/>
            <w:vAlign w:val="center"/>
          </w:tcPr>
          <w:p>
            <w:pPr>
              <w:adjustRightInd w:val="0"/>
              <w:snapToGrid w:val="0"/>
              <w:jc w:val="center"/>
              <w:rPr>
                <w:color w:val="auto"/>
                <w:sz w:val="21"/>
                <w:szCs w:val="21"/>
              </w:rPr>
            </w:pPr>
            <w:r>
              <w:rPr>
                <w:color w:val="auto"/>
                <w:sz w:val="21"/>
                <w:szCs w:val="21"/>
              </w:rPr>
              <w:t xml:space="preserve">150.00 </w:t>
            </w:r>
          </w:p>
        </w:tc>
        <w:tc>
          <w:tcPr>
            <w:tcW w:w="906" w:type="dxa"/>
            <w:vAlign w:val="center"/>
          </w:tcPr>
          <w:p>
            <w:pPr>
              <w:adjustRightInd w:val="0"/>
              <w:snapToGrid w:val="0"/>
              <w:jc w:val="center"/>
              <w:rPr>
                <w:color w:val="auto"/>
                <w:sz w:val="21"/>
                <w:szCs w:val="21"/>
              </w:rPr>
            </w:pPr>
            <w:r>
              <w:rPr>
                <w:color w:val="auto"/>
                <w:sz w:val="21"/>
                <w:szCs w:val="21"/>
              </w:rPr>
              <w:t xml:space="preserve">120.00 </w:t>
            </w:r>
          </w:p>
        </w:tc>
        <w:tc>
          <w:tcPr>
            <w:tcW w:w="906" w:type="dxa"/>
            <w:vAlign w:val="center"/>
          </w:tcPr>
          <w:p>
            <w:pPr>
              <w:adjustRightInd w:val="0"/>
              <w:snapToGrid w:val="0"/>
              <w:jc w:val="center"/>
              <w:rPr>
                <w:color w:val="auto"/>
                <w:sz w:val="21"/>
                <w:szCs w:val="21"/>
              </w:rPr>
            </w:pPr>
            <w:r>
              <w:rPr>
                <w:color w:val="auto"/>
                <w:sz w:val="21"/>
                <w:szCs w:val="21"/>
              </w:rPr>
              <w:t xml:space="preserve">42.50 </w:t>
            </w:r>
          </w:p>
        </w:tc>
        <w:tc>
          <w:tcPr>
            <w:tcW w:w="906" w:type="dxa"/>
            <w:vAlign w:val="center"/>
          </w:tcPr>
          <w:p>
            <w:pPr>
              <w:adjustRightInd w:val="0"/>
              <w:snapToGrid w:val="0"/>
              <w:jc w:val="center"/>
              <w:rPr>
                <w:color w:val="auto"/>
                <w:sz w:val="21"/>
                <w:szCs w:val="21"/>
              </w:rPr>
            </w:pPr>
            <w:r>
              <w:rPr>
                <w:color w:val="auto"/>
                <w:sz w:val="21"/>
                <w:szCs w:val="21"/>
              </w:rPr>
              <w:t xml:space="preserve">34.00 </w:t>
            </w:r>
          </w:p>
        </w:tc>
        <w:tc>
          <w:tcPr>
            <w:tcW w:w="907" w:type="dxa"/>
            <w:vAlign w:val="center"/>
          </w:tcPr>
          <w:p>
            <w:pPr>
              <w:adjustRightInd w:val="0"/>
              <w:snapToGrid w:val="0"/>
              <w:jc w:val="center"/>
              <w:rPr>
                <w:color w:val="auto"/>
                <w:sz w:val="21"/>
                <w:szCs w:val="21"/>
              </w:rPr>
            </w:pPr>
            <w:r>
              <w:rPr>
                <w:color w:val="auto"/>
                <w:sz w:val="21"/>
                <w:szCs w:val="21"/>
              </w:rPr>
              <w:t xml:space="preserve">6.80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处理效率（</w:t>
            </w:r>
            <w:r>
              <w:rPr>
                <w:rFonts w:ascii="Times New Roman" w:hAnsi="Times New Roman"/>
                <w:color w:val="auto"/>
                <w:sz w:val="21"/>
                <w:szCs w:val="21"/>
              </w:rPr>
              <w:t>%</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90</w:t>
            </w:r>
          </w:p>
        </w:tc>
        <w:tc>
          <w:tcPr>
            <w:tcW w:w="906" w:type="dxa"/>
            <w:vAlign w:val="center"/>
          </w:tcPr>
          <w:p>
            <w:pPr>
              <w:adjustRightInd w:val="0"/>
              <w:snapToGrid w:val="0"/>
              <w:jc w:val="center"/>
              <w:rPr>
                <w:color w:val="auto"/>
                <w:sz w:val="21"/>
                <w:szCs w:val="21"/>
              </w:rPr>
            </w:pPr>
            <w:r>
              <w:rPr>
                <w:color w:val="auto"/>
                <w:sz w:val="21"/>
                <w:szCs w:val="21"/>
              </w:rPr>
              <w:t>90</w:t>
            </w:r>
          </w:p>
        </w:tc>
        <w:tc>
          <w:tcPr>
            <w:tcW w:w="906" w:type="dxa"/>
            <w:vAlign w:val="center"/>
          </w:tcPr>
          <w:p>
            <w:pPr>
              <w:adjustRightInd w:val="0"/>
              <w:snapToGrid w:val="0"/>
              <w:jc w:val="center"/>
              <w:rPr>
                <w:color w:val="auto"/>
                <w:sz w:val="21"/>
                <w:szCs w:val="21"/>
              </w:rPr>
            </w:pPr>
            <w:r>
              <w:rPr>
                <w:color w:val="auto"/>
                <w:sz w:val="21"/>
                <w:szCs w:val="21"/>
              </w:rPr>
              <w:t>75</w:t>
            </w:r>
          </w:p>
        </w:tc>
        <w:tc>
          <w:tcPr>
            <w:tcW w:w="906" w:type="dxa"/>
            <w:vAlign w:val="center"/>
          </w:tcPr>
          <w:p>
            <w:pPr>
              <w:adjustRightInd w:val="0"/>
              <w:snapToGrid w:val="0"/>
              <w:jc w:val="center"/>
              <w:rPr>
                <w:color w:val="auto"/>
                <w:sz w:val="21"/>
                <w:szCs w:val="21"/>
              </w:rPr>
            </w:pPr>
            <w:r>
              <w:rPr>
                <w:color w:val="auto"/>
                <w:sz w:val="21"/>
                <w:szCs w:val="21"/>
              </w:rPr>
              <w:t>80</w:t>
            </w:r>
          </w:p>
        </w:tc>
        <w:tc>
          <w:tcPr>
            <w:tcW w:w="906" w:type="dxa"/>
            <w:vAlign w:val="center"/>
          </w:tcPr>
          <w:p>
            <w:pPr>
              <w:adjustRightInd w:val="0"/>
              <w:snapToGrid w:val="0"/>
              <w:jc w:val="center"/>
              <w:rPr>
                <w:color w:val="auto"/>
                <w:sz w:val="21"/>
                <w:szCs w:val="21"/>
              </w:rPr>
            </w:pPr>
            <w:r>
              <w:rPr>
                <w:color w:val="auto"/>
                <w:sz w:val="21"/>
                <w:szCs w:val="21"/>
              </w:rPr>
              <w:t>80</w:t>
            </w:r>
          </w:p>
        </w:tc>
        <w:tc>
          <w:tcPr>
            <w:tcW w:w="907" w:type="dxa"/>
            <w:vAlign w:val="center"/>
          </w:tcPr>
          <w:p>
            <w:pPr>
              <w:adjustRightInd w:val="0"/>
              <w:snapToGrid w:val="0"/>
              <w:jc w:val="center"/>
              <w:rPr>
                <w:color w:val="auto"/>
                <w:sz w:val="21"/>
                <w:szCs w:val="21"/>
              </w:rPr>
            </w:pPr>
            <w:r>
              <w:rPr>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出水水质（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35.00 </w:t>
            </w:r>
          </w:p>
        </w:tc>
        <w:tc>
          <w:tcPr>
            <w:tcW w:w="906" w:type="dxa"/>
            <w:vAlign w:val="center"/>
          </w:tcPr>
          <w:p>
            <w:pPr>
              <w:adjustRightInd w:val="0"/>
              <w:snapToGrid w:val="0"/>
              <w:jc w:val="center"/>
              <w:rPr>
                <w:color w:val="auto"/>
                <w:sz w:val="21"/>
                <w:szCs w:val="21"/>
              </w:rPr>
            </w:pPr>
            <w:r>
              <w:rPr>
                <w:color w:val="auto"/>
                <w:sz w:val="21"/>
                <w:szCs w:val="21"/>
              </w:rPr>
              <w:t xml:space="preserve">15.00 </w:t>
            </w:r>
          </w:p>
        </w:tc>
        <w:tc>
          <w:tcPr>
            <w:tcW w:w="906" w:type="dxa"/>
            <w:vAlign w:val="center"/>
          </w:tcPr>
          <w:p>
            <w:pPr>
              <w:adjustRightInd w:val="0"/>
              <w:snapToGrid w:val="0"/>
              <w:jc w:val="center"/>
              <w:rPr>
                <w:color w:val="auto"/>
                <w:sz w:val="21"/>
                <w:szCs w:val="21"/>
              </w:rPr>
            </w:pPr>
            <w:r>
              <w:rPr>
                <w:color w:val="auto"/>
                <w:sz w:val="21"/>
                <w:szCs w:val="21"/>
              </w:rPr>
              <w:t xml:space="preserve">30.00 </w:t>
            </w:r>
          </w:p>
        </w:tc>
        <w:tc>
          <w:tcPr>
            <w:tcW w:w="906" w:type="dxa"/>
            <w:vAlign w:val="center"/>
          </w:tcPr>
          <w:p>
            <w:pPr>
              <w:adjustRightInd w:val="0"/>
              <w:snapToGrid w:val="0"/>
              <w:jc w:val="center"/>
              <w:rPr>
                <w:color w:val="auto"/>
                <w:sz w:val="21"/>
                <w:szCs w:val="21"/>
              </w:rPr>
            </w:pPr>
            <w:r>
              <w:rPr>
                <w:color w:val="auto"/>
                <w:sz w:val="21"/>
                <w:szCs w:val="21"/>
              </w:rPr>
              <w:t xml:space="preserve">8.50 </w:t>
            </w:r>
          </w:p>
        </w:tc>
        <w:tc>
          <w:tcPr>
            <w:tcW w:w="906" w:type="dxa"/>
            <w:vAlign w:val="center"/>
          </w:tcPr>
          <w:p>
            <w:pPr>
              <w:adjustRightInd w:val="0"/>
              <w:snapToGrid w:val="0"/>
              <w:jc w:val="center"/>
              <w:rPr>
                <w:color w:val="auto"/>
                <w:sz w:val="21"/>
                <w:szCs w:val="21"/>
              </w:rPr>
            </w:pPr>
            <w:r>
              <w:rPr>
                <w:color w:val="auto"/>
                <w:sz w:val="21"/>
                <w:szCs w:val="21"/>
              </w:rPr>
              <w:t xml:space="preserve">6.80 </w:t>
            </w:r>
          </w:p>
        </w:tc>
        <w:tc>
          <w:tcPr>
            <w:tcW w:w="907" w:type="dxa"/>
            <w:vAlign w:val="center"/>
          </w:tcPr>
          <w:p>
            <w:pPr>
              <w:adjustRightInd w:val="0"/>
              <w:snapToGrid w:val="0"/>
              <w:jc w:val="center"/>
              <w:rPr>
                <w:color w:val="auto"/>
                <w:sz w:val="21"/>
                <w:szCs w:val="21"/>
              </w:rPr>
            </w:pPr>
            <w:r>
              <w:rPr>
                <w:color w:val="auto"/>
                <w:sz w:val="21"/>
                <w:szCs w:val="21"/>
              </w:rPr>
              <w:t xml:space="preserve">1.36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曝气生物滤池</w:t>
            </w: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进水水质（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35.00 </w:t>
            </w:r>
          </w:p>
        </w:tc>
        <w:tc>
          <w:tcPr>
            <w:tcW w:w="906" w:type="dxa"/>
            <w:vAlign w:val="center"/>
          </w:tcPr>
          <w:p>
            <w:pPr>
              <w:adjustRightInd w:val="0"/>
              <w:snapToGrid w:val="0"/>
              <w:jc w:val="center"/>
              <w:rPr>
                <w:color w:val="auto"/>
                <w:sz w:val="21"/>
                <w:szCs w:val="21"/>
              </w:rPr>
            </w:pPr>
            <w:r>
              <w:rPr>
                <w:color w:val="auto"/>
                <w:sz w:val="21"/>
                <w:szCs w:val="21"/>
              </w:rPr>
              <w:t xml:space="preserve">15.00 </w:t>
            </w:r>
          </w:p>
        </w:tc>
        <w:tc>
          <w:tcPr>
            <w:tcW w:w="906" w:type="dxa"/>
            <w:vAlign w:val="center"/>
          </w:tcPr>
          <w:p>
            <w:pPr>
              <w:adjustRightInd w:val="0"/>
              <w:snapToGrid w:val="0"/>
              <w:jc w:val="center"/>
              <w:rPr>
                <w:color w:val="auto"/>
                <w:sz w:val="21"/>
                <w:szCs w:val="21"/>
              </w:rPr>
            </w:pPr>
            <w:r>
              <w:rPr>
                <w:color w:val="auto"/>
                <w:sz w:val="21"/>
                <w:szCs w:val="21"/>
              </w:rPr>
              <w:t xml:space="preserve">30.00 </w:t>
            </w:r>
          </w:p>
        </w:tc>
        <w:tc>
          <w:tcPr>
            <w:tcW w:w="906" w:type="dxa"/>
            <w:vAlign w:val="center"/>
          </w:tcPr>
          <w:p>
            <w:pPr>
              <w:adjustRightInd w:val="0"/>
              <w:snapToGrid w:val="0"/>
              <w:jc w:val="center"/>
              <w:rPr>
                <w:color w:val="auto"/>
                <w:sz w:val="21"/>
                <w:szCs w:val="21"/>
              </w:rPr>
            </w:pPr>
            <w:r>
              <w:rPr>
                <w:color w:val="auto"/>
                <w:sz w:val="21"/>
                <w:szCs w:val="21"/>
              </w:rPr>
              <w:t xml:space="preserve">8.50 </w:t>
            </w:r>
          </w:p>
        </w:tc>
        <w:tc>
          <w:tcPr>
            <w:tcW w:w="906" w:type="dxa"/>
            <w:vAlign w:val="center"/>
          </w:tcPr>
          <w:p>
            <w:pPr>
              <w:adjustRightInd w:val="0"/>
              <w:snapToGrid w:val="0"/>
              <w:jc w:val="center"/>
              <w:rPr>
                <w:color w:val="auto"/>
                <w:sz w:val="21"/>
                <w:szCs w:val="21"/>
              </w:rPr>
            </w:pPr>
            <w:r>
              <w:rPr>
                <w:color w:val="auto"/>
                <w:sz w:val="21"/>
                <w:szCs w:val="21"/>
              </w:rPr>
              <w:t xml:space="preserve">6.80 </w:t>
            </w:r>
          </w:p>
        </w:tc>
        <w:tc>
          <w:tcPr>
            <w:tcW w:w="907" w:type="dxa"/>
            <w:vAlign w:val="center"/>
          </w:tcPr>
          <w:p>
            <w:pPr>
              <w:adjustRightInd w:val="0"/>
              <w:snapToGrid w:val="0"/>
              <w:jc w:val="center"/>
              <w:rPr>
                <w:color w:val="auto"/>
                <w:sz w:val="21"/>
                <w:szCs w:val="21"/>
              </w:rPr>
            </w:pPr>
            <w:r>
              <w:rPr>
                <w:color w:val="auto"/>
                <w:sz w:val="21"/>
                <w:szCs w:val="21"/>
              </w:rPr>
              <w:t xml:space="preserve">1.36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处理效率（</w:t>
            </w:r>
            <w:r>
              <w:rPr>
                <w:rFonts w:ascii="Times New Roman" w:hAnsi="Times New Roman"/>
                <w:color w:val="auto"/>
                <w:sz w:val="21"/>
                <w:szCs w:val="21"/>
              </w:rPr>
              <w:t>%</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90</w:t>
            </w:r>
          </w:p>
        </w:tc>
        <w:tc>
          <w:tcPr>
            <w:tcW w:w="906" w:type="dxa"/>
            <w:vAlign w:val="center"/>
          </w:tcPr>
          <w:p>
            <w:pPr>
              <w:adjustRightInd w:val="0"/>
              <w:snapToGrid w:val="0"/>
              <w:jc w:val="center"/>
              <w:rPr>
                <w:color w:val="auto"/>
                <w:sz w:val="21"/>
                <w:szCs w:val="21"/>
              </w:rPr>
            </w:pPr>
            <w:r>
              <w:rPr>
                <w:color w:val="auto"/>
                <w:sz w:val="21"/>
                <w:szCs w:val="21"/>
              </w:rPr>
              <w:t>90</w:t>
            </w:r>
          </w:p>
        </w:tc>
        <w:tc>
          <w:tcPr>
            <w:tcW w:w="906" w:type="dxa"/>
            <w:vAlign w:val="center"/>
          </w:tcPr>
          <w:p>
            <w:pPr>
              <w:adjustRightInd w:val="0"/>
              <w:snapToGrid w:val="0"/>
              <w:jc w:val="center"/>
              <w:rPr>
                <w:color w:val="auto"/>
                <w:sz w:val="21"/>
                <w:szCs w:val="21"/>
              </w:rPr>
            </w:pPr>
            <w:r>
              <w:rPr>
                <w:color w:val="auto"/>
                <w:sz w:val="21"/>
                <w:szCs w:val="21"/>
              </w:rPr>
              <w:t>73</w:t>
            </w:r>
          </w:p>
        </w:tc>
        <w:tc>
          <w:tcPr>
            <w:tcW w:w="906" w:type="dxa"/>
            <w:vAlign w:val="center"/>
          </w:tcPr>
          <w:p>
            <w:pPr>
              <w:adjustRightInd w:val="0"/>
              <w:snapToGrid w:val="0"/>
              <w:jc w:val="center"/>
              <w:rPr>
                <w:color w:val="auto"/>
                <w:sz w:val="21"/>
                <w:szCs w:val="21"/>
              </w:rPr>
            </w:pPr>
            <w:r>
              <w:rPr>
                <w:color w:val="auto"/>
                <w:sz w:val="21"/>
                <w:szCs w:val="21"/>
              </w:rPr>
              <w:t>80</w:t>
            </w:r>
          </w:p>
        </w:tc>
        <w:tc>
          <w:tcPr>
            <w:tcW w:w="906" w:type="dxa"/>
            <w:vAlign w:val="center"/>
          </w:tcPr>
          <w:p>
            <w:pPr>
              <w:adjustRightInd w:val="0"/>
              <w:snapToGrid w:val="0"/>
              <w:jc w:val="center"/>
              <w:rPr>
                <w:color w:val="auto"/>
                <w:sz w:val="21"/>
                <w:szCs w:val="21"/>
              </w:rPr>
            </w:pPr>
            <w:r>
              <w:rPr>
                <w:color w:val="auto"/>
                <w:sz w:val="21"/>
                <w:szCs w:val="21"/>
              </w:rPr>
              <w:t>80</w:t>
            </w:r>
          </w:p>
        </w:tc>
        <w:tc>
          <w:tcPr>
            <w:tcW w:w="907" w:type="dxa"/>
            <w:vAlign w:val="center"/>
          </w:tcPr>
          <w:p>
            <w:pPr>
              <w:adjustRightInd w:val="0"/>
              <w:snapToGrid w:val="0"/>
              <w:jc w:val="center"/>
              <w:rPr>
                <w:color w:val="auto"/>
                <w:sz w:val="21"/>
                <w:szCs w:val="21"/>
              </w:rPr>
            </w:pPr>
            <w:r>
              <w:rPr>
                <w:color w:val="auto"/>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出水水质（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3.50 </w:t>
            </w:r>
          </w:p>
        </w:tc>
        <w:tc>
          <w:tcPr>
            <w:tcW w:w="906" w:type="dxa"/>
            <w:vAlign w:val="center"/>
          </w:tcPr>
          <w:p>
            <w:pPr>
              <w:adjustRightInd w:val="0"/>
              <w:snapToGrid w:val="0"/>
              <w:jc w:val="center"/>
              <w:rPr>
                <w:color w:val="auto"/>
                <w:sz w:val="21"/>
                <w:szCs w:val="21"/>
              </w:rPr>
            </w:pPr>
            <w:r>
              <w:rPr>
                <w:color w:val="auto"/>
                <w:sz w:val="21"/>
                <w:szCs w:val="21"/>
              </w:rPr>
              <w:t xml:space="preserve">1.50 </w:t>
            </w:r>
          </w:p>
        </w:tc>
        <w:tc>
          <w:tcPr>
            <w:tcW w:w="906" w:type="dxa"/>
            <w:vAlign w:val="center"/>
          </w:tcPr>
          <w:p>
            <w:pPr>
              <w:adjustRightInd w:val="0"/>
              <w:snapToGrid w:val="0"/>
              <w:jc w:val="center"/>
              <w:rPr>
                <w:color w:val="auto"/>
                <w:sz w:val="21"/>
                <w:szCs w:val="21"/>
              </w:rPr>
            </w:pPr>
            <w:r>
              <w:rPr>
                <w:color w:val="auto"/>
                <w:sz w:val="21"/>
                <w:szCs w:val="21"/>
              </w:rPr>
              <w:t xml:space="preserve">8.10 </w:t>
            </w:r>
          </w:p>
        </w:tc>
        <w:tc>
          <w:tcPr>
            <w:tcW w:w="906" w:type="dxa"/>
            <w:vAlign w:val="center"/>
          </w:tcPr>
          <w:p>
            <w:pPr>
              <w:adjustRightInd w:val="0"/>
              <w:snapToGrid w:val="0"/>
              <w:jc w:val="center"/>
              <w:rPr>
                <w:color w:val="auto"/>
                <w:sz w:val="21"/>
                <w:szCs w:val="21"/>
              </w:rPr>
            </w:pPr>
            <w:r>
              <w:rPr>
                <w:color w:val="auto"/>
                <w:sz w:val="21"/>
                <w:szCs w:val="21"/>
              </w:rPr>
              <w:t xml:space="preserve">1.70 </w:t>
            </w:r>
          </w:p>
        </w:tc>
        <w:tc>
          <w:tcPr>
            <w:tcW w:w="906" w:type="dxa"/>
            <w:vAlign w:val="center"/>
          </w:tcPr>
          <w:p>
            <w:pPr>
              <w:adjustRightInd w:val="0"/>
              <w:snapToGrid w:val="0"/>
              <w:jc w:val="center"/>
              <w:rPr>
                <w:color w:val="auto"/>
                <w:sz w:val="21"/>
                <w:szCs w:val="21"/>
              </w:rPr>
            </w:pPr>
            <w:r>
              <w:rPr>
                <w:color w:val="auto"/>
                <w:sz w:val="21"/>
                <w:szCs w:val="21"/>
              </w:rPr>
              <w:t xml:space="preserve">1.36 </w:t>
            </w:r>
          </w:p>
        </w:tc>
        <w:tc>
          <w:tcPr>
            <w:tcW w:w="907" w:type="dxa"/>
            <w:vAlign w:val="center"/>
          </w:tcPr>
          <w:p>
            <w:pPr>
              <w:adjustRightInd w:val="0"/>
              <w:snapToGrid w:val="0"/>
              <w:jc w:val="center"/>
              <w:rPr>
                <w:color w:val="auto"/>
                <w:sz w:val="21"/>
                <w:szCs w:val="21"/>
              </w:rPr>
            </w:pPr>
            <w:r>
              <w:rPr>
                <w:color w:val="auto"/>
                <w:sz w:val="21"/>
                <w:szCs w:val="21"/>
              </w:rPr>
              <w:t xml:space="preserve">0.27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高效沉淀池</w:t>
            </w: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进水水质（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3.50 </w:t>
            </w:r>
          </w:p>
        </w:tc>
        <w:tc>
          <w:tcPr>
            <w:tcW w:w="906" w:type="dxa"/>
            <w:vAlign w:val="center"/>
          </w:tcPr>
          <w:p>
            <w:pPr>
              <w:adjustRightInd w:val="0"/>
              <w:snapToGrid w:val="0"/>
              <w:jc w:val="center"/>
              <w:rPr>
                <w:color w:val="auto"/>
                <w:sz w:val="21"/>
                <w:szCs w:val="21"/>
              </w:rPr>
            </w:pPr>
            <w:r>
              <w:rPr>
                <w:color w:val="auto"/>
                <w:sz w:val="21"/>
                <w:szCs w:val="21"/>
              </w:rPr>
              <w:t xml:space="preserve">1.50 </w:t>
            </w:r>
          </w:p>
        </w:tc>
        <w:tc>
          <w:tcPr>
            <w:tcW w:w="906" w:type="dxa"/>
            <w:vAlign w:val="center"/>
          </w:tcPr>
          <w:p>
            <w:pPr>
              <w:adjustRightInd w:val="0"/>
              <w:snapToGrid w:val="0"/>
              <w:jc w:val="center"/>
              <w:rPr>
                <w:color w:val="auto"/>
                <w:sz w:val="21"/>
                <w:szCs w:val="21"/>
              </w:rPr>
            </w:pPr>
            <w:r>
              <w:rPr>
                <w:color w:val="auto"/>
                <w:sz w:val="21"/>
                <w:szCs w:val="21"/>
              </w:rPr>
              <w:t xml:space="preserve">8.10 </w:t>
            </w:r>
          </w:p>
        </w:tc>
        <w:tc>
          <w:tcPr>
            <w:tcW w:w="906" w:type="dxa"/>
            <w:vAlign w:val="center"/>
          </w:tcPr>
          <w:p>
            <w:pPr>
              <w:adjustRightInd w:val="0"/>
              <w:snapToGrid w:val="0"/>
              <w:jc w:val="center"/>
              <w:rPr>
                <w:color w:val="auto"/>
                <w:sz w:val="21"/>
                <w:szCs w:val="21"/>
              </w:rPr>
            </w:pPr>
            <w:r>
              <w:rPr>
                <w:color w:val="auto"/>
                <w:sz w:val="21"/>
                <w:szCs w:val="21"/>
              </w:rPr>
              <w:t xml:space="preserve">1.70 </w:t>
            </w:r>
          </w:p>
        </w:tc>
        <w:tc>
          <w:tcPr>
            <w:tcW w:w="906" w:type="dxa"/>
            <w:vAlign w:val="center"/>
          </w:tcPr>
          <w:p>
            <w:pPr>
              <w:adjustRightInd w:val="0"/>
              <w:snapToGrid w:val="0"/>
              <w:jc w:val="center"/>
              <w:rPr>
                <w:color w:val="auto"/>
                <w:sz w:val="21"/>
                <w:szCs w:val="21"/>
              </w:rPr>
            </w:pPr>
            <w:r>
              <w:rPr>
                <w:color w:val="auto"/>
                <w:sz w:val="21"/>
                <w:szCs w:val="21"/>
              </w:rPr>
              <w:t xml:space="preserve">1.36 </w:t>
            </w:r>
          </w:p>
        </w:tc>
        <w:tc>
          <w:tcPr>
            <w:tcW w:w="907" w:type="dxa"/>
            <w:vAlign w:val="center"/>
          </w:tcPr>
          <w:p>
            <w:pPr>
              <w:adjustRightInd w:val="0"/>
              <w:snapToGrid w:val="0"/>
              <w:jc w:val="center"/>
              <w:rPr>
                <w:color w:val="auto"/>
                <w:sz w:val="21"/>
                <w:szCs w:val="21"/>
              </w:rPr>
            </w:pPr>
            <w:r>
              <w:rPr>
                <w:color w:val="auto"/>
                <w:sz w:val="21"/>
                <w:szCs w:val="21"/>
              </w:rPr>
              <w:t xml:space="preserve">0.27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处理效率（</w:t>
            </w:r>
            <w:r>
              <w:rPr>
                <w:rFonts w:ascii="Times New Roman" w:hAnsi="Times New Roman"/>
                <w:color w:val="auto"/>
                <w:sz w:val="21"/>
                <w:szCs w:val="21"/>
              </w:rPr>
              <w:t>%</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30</w:t>
            </w:r>
          </w:p>
        </w:tc>
        <w:tc>
          <w:tcPr>
            <w:tcW w:w="906" w:type="dxa"/>
            <w:vAlign w:val="center"/>
          </w:tcPr>
          <w:p>
            <w:pPr>
              <w:adjustRightInd w:val="0"/>
              <w:snapToGrid w:val="0"/>
              <w:jc w:val="center"/>
              <w:rPr>
                <w:color w:val="auto"/>
                <w:sz w:val="21"/>
                <w:szCs w:val="21"/>
              </w:rPr>
            </w:pPr>
            <w:r>
              <w:rPr>
                <w:color w:val="auto"/>
                <w:sz w:val="21"/>
                <w:szCs w:val="21"/>
              </w:rPr>
              <w:t>30</w:t>
            </w:r>
          </w:p>
        </w:tc>
        <w:tc>
          <w:tcPr>
            <w:tcW w:w="906" w:type="dxa"/>
            <w:vAlign w:val="center"/>
          </w:tcPr>
          <w:p>
            <w:pPr>
              <w:adjustRightInd w:val="0"/>
              <w:snapToGrid w:val="0"/>
              <w:jc w:val="center"/>
              <w:rPr>
                <w:color w:val="auto"/>
                <w:sz w:val="21"/>
                <w:szCs w:val="21"/>
              </w:rPr>
            </w:pPr>
            <w:r>
              <w:rPr>
                <w:color w:val="auto"/>
                <w:sz w:val="21"/>
                <w:szCs w:val="21"/>
              </w:rPr>
              <w:t>60</w:t>
            </w:r>
          </w:p>
        </w:tc>
        <w:tc>
          <w:tcPr>
            <w:tcW w:w="906" w:type="dxa"/>
            <w:vAlign w:val="center"/>
          </w:tcPr>
          <w:p>
            <w:pPr>
              <w:adjustRightInd w:val="0"/>
              <w:snapToGrid w:val="0"/>
              <w:jc w:val="center"/>
              <w:rPr>
                <w:color w:val="auto"/>
                <w:sz w:val="21"/>
                <w:szCs w:val="21"/>
              </w:rPr>
            </w:pPr>
            <w:r>
              <w:rPr>
                <w:color w:val="auto"/>
                <w:sz w:val="21"/>
                <w:szCs w:val="21"/>
              </w:rPr>
              <w:t>20</w:t>
            </w:r>
          </w:p>
        </w:tc>
        <w:tc>
          <w:tcPr>
            <w:tcW w:w="906" w:type="dxa"/>
            <w:vAlign w:val="center"/>
          </w:tcPr>
          <w:p>
            <w:pPr>
              <w:adjustRightInd w:val="0"/>
              <w:snapToGrid w:val="0"/>
              <w:jc w:val="center"/>
              <w:rPr>
                <w:color w:val="auto"/>
                <w:sz w:val="21"/>
                <w:szCs w:val="21"/>
              </w:rPr>
            </w:pPr>
            <w:r>
              <w:rPr>
                <w:color w:val="auto"/>
                <w:sz w:val="21"/>
                <w:szCs w:val="21"/>
              </w:rPr>
              <w:t>20</w:t>
            </w:r>
          </w:p>
        </w:tc>
        <w:tc>
          <w:tcPr>
            <w:tcW w:w="907" w:type="dxa"/>
            <w:vAlign w:val="center"/>
          </w:tcPr>
          <w:p>
            <w:pPr>
              <w:adjustRightInd w:val="0"/>
              <w:snapToGrid w:val="0"/>
              <w:jc w:val="center"/>
              <w:rPr>
                <w:color w:val="auto"/>
                <w:sz w:val="21"/>
                <w:szCs w:val="21"/>
              </w:rPr>
            </w:pPr>
            <w:r>
              <w:rPr>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出水水质（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2.45 </w:t>
            </w:r>
          </w:p>
        </w:tc>
        <w:tc>
          <w:tcPr>
            <w:tcW w:w="906" w:type="dxa"/>
            <w:vAlign w:val="center"/>
          </w:tcPr>
          <w:p>
            <w:pPr>
              <w:adjustRightInd w:val="0"/>
              <w:snapToGrid w:val="0"/>
              <w:jc w:val="center"/>
              <w:rPr>
                <w:color w:val="auto"/>
                <w:sz w:val="21"/>
                <w:szCs w:val="21"/>
              </w:rPr>
            </w:pPr>
            <w:r>
              <w:rPr>
                <w:color w:val="auto"/>
                <w:sz w:val="21"/>
                <w:szCs w:val="21"/>
              </w:rPr>
              <w:t xml:space="preserve">1.05 </w:t>
            </w:r>
          </w:p>
        </w:tc>
        <w:tc>
          <w:tcPr>
            <w:tcW w:w="906" w:type="dxa"/>
            <w:vAlign w:val="center"/>
          </w:tcPr>
          <w:p>
            <w:pPr>
              <w:adjustRightInd w:val="0"/>
              <w:snapToGrid w:val="0"/>
              <w:jc w:val="center"/>
              <w:rPr>
                <w:color w:val="auto"/>
                <w:sz w:val="21"/>
                <w:szCs w:val="21"/>
              </w:rPr>
            </w:pPr>
            <w:r>
              <w:rPr>
                <w:color w:val="auto"/>
                <w:sz w:val="21"/>
                <w:szCs w:val="21"/>
              </w:rPr>
              <w:t xml:space="preserve">3.24 </w:t>
            </w:r>
          </w:p>
        </w:tc>
        <w:tc>
          <w:tcPr>
            <w:tcW w:w="906" w:type="dxa"/>
            <w:vAlign w:val="center"/>
          </w:tcPr>
          <w:p>
            <w:pPr>
              <w:adjustRightInd w:val="0"/>
              <w:snapToGrid w:val="0"/>
              <w:jc w:val="center"/>
              <w:rPr>
                <w:color w:val="auto"/>
                <w:sz w:val="21"/>
                <w:szCs w:val="21"/>
              </w:rPr>
            </w:pPr>
            <w:r>
              <w:rPr>
                <w:color w:val="auto"/>
                <w:sz w:val="21"/>
                <w:szCs w:val="21"/>
              </w:rPr>
              <w:t xml:space="preserve">1.36 </w:t>
            </w:r>
          </w:p>
        </w:tc>
        <w:tc>
          <w:tcPr>
            <w:tcW w:w="906" w:type="dxa"/>
            <w:vAlign w:val="center"/>
          </w:tcPr>
          <w:p>
            <w:pPr>
              <w:adjustRightInd w:val="0"/>
              <w:snapToGrid w:val="0"/>
              <w:jc w:val="center"/>
              <w:rPr>
                <w:color w:val="auto"/>
                <w:sz w:val="21"/>
                <w:szCs w:val="21"/>
              </w:rPr>
            </w:pPr>
            <w:r>
              <w:rPr>
                <w:color w:val="auto"/>
                <w:sz w:val="21"/>
                <w:szCs w:val="21"/>
              </w:rPr>
              <w:t xml:space="preserve">1.09 </w:t>
            </w:r>
          </w:p>
        </w:tc>
        <w:tc>
          <w:tcPr>
            <w:tcW w:w="907" w:type="dxa"/>
            <w:vAlign w:val="center"/>
          </w:tcPr>
          <w:p>
            <w:pPr>
              <w:adjustRightInd w:val="0"/>
              <w:snapToGrid w:val="0"/>
              <w:jc w:val="center"/>
              <w:rPr>
                <w:color w:val="auto"/>
                <w:sz w:val="21"/>
                <w:szCs w:val="21"/>
              </w:rPr>
            </w:pPr>
            <w:r>
              <w:rPr>
                <w:color w:val="auto"/>
                <w:sz w:val="21"/>
                <w:szCs w:val="21"/>
              </w:rPr>
              <w:t xml:space="preserve">0.22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转盘滤池</w:t>
            </w: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进水水质（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2.45 </w:t>
            </w:r>
          </w:p>
        </w:tc>
        <w:tc>
          <w:tcPr>
            <w:tcW w:w="906" w:type="dxa"/>
            <w:vAlign w:val="center"/>
          </w:tcPr>
          <w:p>
            <w:pPr>
              <w:adjustRightInd w:val="0"/>
              <w:snapToGrid w:val="0"/>
              <w:jc w:val="center"/>
              <w:rPr>
                <w:color w:val="auto"/>
                <w:sz w:val="21"/>
                <w:szCs w:val="21"/>
              </w:rPr>
            </w:pPr>
            <w:r>
              <w:rPr>
                <w:color w:val="auto"/>
                <w:sz w:val="21"/>
                <w:szCs w:val="21"/>
              </w:rPr>
              <w:t xml:space="preserve">1.05 </w:t>
            </w:r>
          </w:p>
        </w:tc>
        <w:tc>
          <w:tcPr>
            <w:tcW w:w="906" w:type="dxa"/>
            <w:vAlign w:val="center"/>
          </w:tcPr>
          <w:p>
            <w:pPr>
              <w:adjustRightInd w:val="0"/>
              <w:snapToGrid w:val="0"/>
              <w:jc w:val="center"/>
              <w:rPr>
                <w:color w:val="auto"/>
                <w:sz w:val="21"/>
                <w:szCs w:val="21"/>
              </w:rPr>
            </w:pPr>
            <w:r>
              <w:rPr>
                <w:color w:val="auto"/>
                <w:sz w:val="21"/>
                <w:szCs w:val="21"/>
              </w:rPr>
              <w:t xml:space="preserve">3.24 </w:t>
            </w:r>
          </w:p>
        </w:tc>
        <w:tc>
          <w:tcPr>
            <w:tcW w:w="906" w:type="dxa"/>
            <w:vAlign w:val="center"/>
          </w:tcPr>
          <w:p>
            <w:pPr>
              <w:adjustRightInd w:val="0"/>
              <w:snapToGrid w:val="0"/>
              <w:jc w:val="center"/>
              <w:rPr>
                <w:color w:val="auto"/>
                <w:sz w:val="21"/>
                <w:szCs w:val="21"/>
              </w:rPr>
            </w:pPr>
            <w:r>
              <w:rPr>
                <w:color w:val="auto"/>
                <w:sz w:val="21"/>
                <w:szCs w:val="21"/>
              </w:rPr>
              <w:t xml:space="preserve">1.36 </w:t>
            </w:r>
          </w:p>
        </w:tc>
        <w:tc>
          <w:tcPr>
            <w:tcW w:w="906" w:type="dxa"/>
            <w:vAlign w:val="center"/>
          </w:tcPr>
          <w:p>
            <w:pPr>
              <w:adjustRightInd w:val="0"/>
              <w:snapToGrid w:val="0"/>
              <w:jc w:val="center"/>
              <w:rPr>
                <w:color w:val="auto"/>
                <w:sz w:val="21"/>
                <w:szCs w:val="21"/>
              </w:rPr>
            </w:pPr>
            <w:r>
              <w:rPr>
                <w:color w:val="auto"/>
                <w:sz w:val="21"/>
                <w:szCs w:val="21"/>
              </w:rPr>
              <w:t xml:space="preserve">1.09 </w:t>
            </w:r>
          </w:p>
        </w:tc>
        <w:tc>
          <w:tcPr>
            <w:tcW w:w="907" w:type="dxa"/>
            <w:vAlign w:val="center"/>
          </w:tcPr>
          <w:p>
            <w:pPr>
              <w:adjustRightInd w:val="0"/>
              <w:snapToGrid w:val="0"/>
              <w:jc w:val="center"/>
              <w:rPr>
                <w:color w:val="auto"/>
                <w:sz w:val="21"/>
                <w:szCs w:val="21"/>
              </w:rPr>
            </w:pPr>
            <w:r>
              <w:rPr>
                <w:color w:val="auto"/>
                <w:sz w:val="21"/>
                <w:szCs w:val="21"/>
              </w:rPr>
              <w:t xml:space="preserve">0.22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处理效率（</w:t>
            </w:r>
            <w:r>
              <w:rPr>
                <w:rFonts w:ascii="Times New Roman" w:hAnsi="Times New Roman"/>
                <w:color w:val="auto"/>
                <w:sz w:val="21"/>
                <w:szCs w:val="21"/>
              </w:rPr>
              <w:t>%</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15</w:t>
            </w:r>
          </w:p>
        </w:tc>
        <w:tc>
          <w:tcPr>
            <w:tcW w:w="906" w:type="dxa"/>
            <w:vAlign w:val="center"/>
          </w:tcPr>
          <w:p>
            <w:pPr>
              <w:adjustRightInd w:val="0"/>
              <w:snapToGrid w:val="0"/>
              <w:jc w:val="center"/>
              <w:rPr>
                <w:color w:val="auto"/>
                <w:sz w:val="21"/>
                <w:szCs w:val="21"/>
              </w:rPr>
            </w:pPr>
            <w:r>
              <w:rPr>
                <w:color w:val="auto"/>
                <w:sz w:val="21"/>
                <w:szCs w:val="21"/>
              </w:rPr>
              <w:t>15</w:t>
            </w:r>
          </w:p>
        </w:tc>
        <w:tc>
          <w:tcPr>
            <w:tcW w:w="906" w:type="dxa"/>
            <w:vAlign w:val="center"/>
          </w:tcPr>
          <w:p>
            <w:pPr>
              <w:adjustRightInd w:val="0"/>
              <w:snapToGrid w:val="0"/>
              <w:jc w:val="center"/>
              <w:rPr>
                <w:color w:val="auto"/>
                <w:sz w:val="21"/>
                <w:szCs w:val="21"/>
              </w:rPr>
            </w:pPr>
            <w:r>
              <w:rPr>
                <w:color w:val="auto"/>
                <w:sz w:val="21"/>
                <w:szCs w:val="21"/>
              </w:rPr>
              <w:t>30</w:t>
            </w:r>
          </w:p>
        </w:tc>
        <w:tc>
          <w:tcPr>
            <w:tcW w:w="906" w:type="dxa"/>
            <w:vAlign w:val="center"/>
          </w:tcPr>
          <w:p>
            <w:pPr>
              <w:adjustRightInd w:val="0"/>
              <w:snapToGrid w:val="0"/>
              <w:jc w:val="center"/>
              <w:rPr>
                <w:color w:val="auto"/>
                <w:sz w:val="21"/>
                <w:szCs w:val="21"/>
              </w:rPr>
            </w:pPr>
            <w:r>
              <w:rPr>
                <w:color w:val="auto"/>
                <w:sz w:val="21"/>
                <w:szCs w:val="21"/>
              </w:rPr>
              <w:t>15</w:t>
            </w:r>
          </w:p>
        </w:tc>
        <w:tc>
          <w:tcPr>
            <w:tcW w:w="906" w:type="dxa"/>
            <w:vAlign w:val="center"/>
          </w:tcPr>
          <w:p>
            <w:pPr>
              <w:adjustRightInd w:val="0"/>
              <w:snapToGrid w:val="0"/>
              <w:jc w:val="center"/>
              <w:rPr>
                <w:color w:val="auto"/>
                <w:sz w:val="21"/>
                <w:szCs w:val="21"/>
              </w:rPr>
            </w:pPr>
            <w:r>
              <w:rPr>
                <w:color w:val="auto"/>
                <w:sz w:val="21"/>
                <w:szCs w:val="21"/>
              </w:rPr>
              <w:t>15</w:t>
            </w:r>
          </w:p>
        </w:tc>
        <w:tc>
          <w:tcPr>
            <w:tcW w:w="907" w:type="dxa"/>
            <w:vAlign w:val="center"/>
          </w:tcPr>
          <w:p>
            <w:pPr>
              <w:adjustRightInd w:val="0"/>
              <w:snapToGrid w:val="0"/>
              <w:jc w:val="center"/>
              <w:rPr>
                <w:color w:val="auto"/>
                <w:sz w:val="21"/>
                <w:szCs w:val="21"/>
              </w:rPr>
            </w:pPr>
            <w:r>
              <w:rPr>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pStyle w:val="13"/>
              <w:adjustRightInd w:val="0"/>
              <w:snapToGrid w:val="0"/>
              <w:spacing w:line="240" w:lineRule="auto"/>
              <w:ind w:firstLine="0" w:firstLineChars="0"/>
              <w:jc w:val="center"/>
              <w:rPr>
                <w:rFonts w:ascii="Times New Roman" w:hAnsi="Times New Roman"/>
                <w:color w:val="auto"/>
                <w:sz w:val="21"/>
                <w:szCs w:val="21"/>
              </w:rPr>
            </w:pPr>
          </w:p>
        </w:tc>
        <w:tc>
          <w:tcPr>
            <w:tcW w:w="1843" w:type="dxa"/>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出水水质（</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 xml:space="preserve">2.08 </w:t>
            </w:r>
          </w:p>
        </w:tc>
        <w:tc>
          <w:tcPr>
            <w:tcW w:w="906" w:type="dxa"/>
            <w:vAlign w:val="center"/>
          </w:tcPr>
          <w:p>
            <w:pPr>
              <w:adjustRightInd w:val="0"/>
              <w:snapToGrid w:val="0"/>
              <w:jc w:val="center"/>
              <w:rPr>
                <w:color w:val="auto"/>
                <w:sz w:val="21"/>
                <w:szCs w:val="21"/>
              </w:rPr>
            </w:pPr>
            <w:r>
              <w:rPr>
                <w:color w:val="auto"/>
                <w:sz w:val="21"/>
                <w:szCs w:val="21"/>
              </w:rPr>
              <w:t xml:space="preserve">0.89 </w:t>
            </w:r>
          </w:p>
        </w:tc>
        <w:tc>
          <w:tcPr>
            <w:tcW w:w="906" w:type="dxa"/>
            <w:vAlign w:val="center"/>
          </w:tcPr>
          <w:p>
            <w:pPr>
              <w:adjustRightInd w:val="0"/>
              <w:snapToGrid w:val="0"/>
              <w:jc w:val="center"/>
              <w:rPr>
                <w:color w:val="auto"/>
                <w:sz w:val="21"/>
                <w:szCs w:val="21"/>
              </w:rPr>
            </w:pPr>
            <w:r>
              <w:rPr>
                <w:color w:val="auto"/>
                <w:sz w:val="21"/>
                <w:szCs w:val="21"/>
              </w:rPr>
              <w:t xml:space="preserve">2.27 </w:t>
            </w:r>
          </w:p>
        </w:tc>
        <w:tc>
          <w:tcPr>
            <w:tcW w:w="906" w:type="dxa"/>
            <w:vAlign w:val="center"/>
          </w:tcPr>
          <w:p>
            <w:pPr>
              <w:adjustRightInd w:val="0"/>
              <w:snapToGrid w:val="0"/>
              <w:jc w:val="center"/>
              <w:rPr>
                <w:color w:val="auto"/>
                <w:sz w:val="21"/>
                <w:szCs w:val="21"/>
              </w:rPr>
            </w:pPr>
            <w:r>
              <w:rPr>
                <w:color w:val="auto"/>
                <w:sz w:val="21"/>
                <w:szCs w:val="21"/>
              </w:rPr>
              <w:t xml:space="preserve">1.16 </w:t>
            </w:r>
          </w:p>
        </w:tc>
        <w:tc>
          <w:tcPr>
            <w:tcW w:w="906" w:type="dxa"/>
            <w:vAlign w:val="center"/>
          </w:tcPr>
          <w:p>
            <w:pPr>
              <w:adjustRightInd w:val="0"/>
              <w:snapToGrid w:val="0"/>
              <w:jc w:val="center"/>
              <w:rPr>
                <w:color w:val="auto"/>
                <w:sz w:val="21"/>
                <w:szCs w:val="21"/>
              </w:rPr>
            </w:pPr>
            <w:r>
              <w:rPr>
                <w:color w:val="auto"/>
                <w:sz w:val="21"/>
                <w:szCs w:val="21"/>
              </w:rPr>
              <w:t xml:space="preserve">0.92 </w:t>
            </w:r>
          </w:p>
        </w:tc>
        <w:tc>
          <w:tcPr>
            <w:tcW w:w="907" w:type="dxa"/>
            <w:vAlign w:val="center"/>
          </w:tcPr>
          <w:p>
            <w:pPr>
              <w:adjustRightInd w:val="0"/>
              <w:snapToGrid w:val="0"/>
              <w:jc w:val="center"/>
              <w:rPr>
                <w:color w:val="auto"/>
                <w:sz w:val="21"/>
                <w:szCs w:val="21"/>
              </w:rPr>
            </w:pPr>
            <w:r>
              <w:rPr>
                <w:color w:val="auto"/>
                <w:sz w:val="21"/>
                <w:szCs w:val="21"/>
              </w:rPr>
              <w:t xml:space="preserve">0.18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Align w:val="center"/>
          </w:tcPr>
          <w:p>
            <w:pPr>
              <w:pStyle w:val="13"/>
              <w:adjustRightInd w:val="0"/>
              <w:snapToGrid w:val="0"/>
              <w:spacing w:line="240" w:lineRule="auto"/>
              <w:ind w:firstLine="0" w:firstLineChars="0"/>
              <w:jc w:val="center"/>
              <w:rPr>
                <w:rFonts w:ascii="Times New Roman" w:hAnsi="Times New Roman"/>
                <w:color w:val="auto"/>
                <w:sz w:val="21"/>
                <w:szCs w:val="21"/>
              </w:rPr>
            </w:pPr>
            <w:r>
              <w:rPr>
                <w:rFonts w:ascii="Times New Roman" w:hAnsi="宋体"/>
                <w:color w:val="auto"/>
                <w:sz w:val="21"/>
                <w:szCs w:val="21"/>
              </w:rPr>
              <w:t>排放标准（</w:t>
            </w:r>
            <w:r>
              <w:rPr>
                <w:rFonts w:ascii="Times New Roman" w:hAnsi="Times New Roman"/>
                <w:color w:val="auto"/>
                <w:sz w:val="21"/>
                <w:szCs w:val="21"/>
              </w:rPr>
              <w:t>mg/L</w:t>
            </w:r>
            <w:r>
              <w:rPr>
                <w:rFonts w:ascii="Times New Roman" w:hAnsi="宋体"/>
                <w:color w:val="auto"/>
                <w:sz w:val="21"/>
                <w:szCs w:val="21"/>
              </w:rPr>
              <w:t>）</w:t>
            </w:r>
          </w:p>
        </w:tc>
        <w:tc>
          <w:tcPr>
            <w:tcW w:w="906" w:type="dxa"/>
            <w:vAlign w:val="center"/>
          </w:tcPr>
          <w:p>
            <w:pPr>
              <w:adjustRightInd w:val="0"/>
              <w:snapToGrid w:val="0"/>
              <w:jc w:val="center"/>
              <w:rPr>
                <w:color w:val="auto"/>
                <w:sz w:val="21"/>
                <w:szCs w:val="21"/>
              </w:rPr>
            </w:pPr>
            <w:r>
              <w:rPr>
                <w:color w:val="auto"/>
                <w:sz w:val="21"/>
                <w:szCs w:val="21"/>
              </w:rPr>
              <w:t>30</w:t>
            </w:r>
          </w:p>
        </w:tc>
        <w:tc>
          <w:tcPr>
            <w:tcW w:w="906" w:type="dxa"/>
            <w:vAlign w:val="center"/>
          </w:tcPr>
          <w:p>
            <w:pPr>
              <w:adjustRightInd w:val="0"/>
              <w:snapToGrid w:val="0"/>
              <w:jc w:val="center"/>
              <w:rPr>
                <w:color w:val="auto"/>
                <w:sz w:val="21"/>
                <w:szCs w:val="21"/>
              </w:rPr>
            </w:pPr>
            <w:r>
              <w:rPr>
                <w:color w:val="auto"/>
                <w:sz w:val="21"/>
                <w:szCs w:val="21"/>
              </w:rPr>
              <w:t>6</w:t>
            </w:r>
          </w:p>
        </w:tc>
        <w:tc>
          <w:tcPr>
            <w:tcW w:w="906" w:type="dxa"/>
            <w:vAlign w:val="center"/>
          </w:tcPr>
          <w:p>
            <w:pPr>
              <w:adjustRightInd w:val="0"/>
              <w:snapToGrid w:val="0"/>
              <w:jc w:val="center"/>
              <w:rPr>
                <w:color w:val="auto"/>
                <w:sz w:val="21"/>
                <w:szCs w:val="21"/>
              </w:rPr>
            </w:pPr>
            <w:r>
              <w:rPr>
                <w:color w:val="auto"/>
                <w:sz w:val="21"/>
                <w:szCs w:val="21"/>
              </w:rPr>
              <w:t>10</w:t>
            </w:r>
          </w:p>
        </w:tc>
        <w:tc>
          <w:tcPr>
            <w:tcW w:w="906" w:type="dxa"/>
            <w:vAlign w:val="center"/>
          </w:tcPr>
          <w:p>
            <w:pPr>
              <w:adjustRightInd w:val="0"/>
              <w:snapToGrid w:val="0"/>
              <w:jc w:val="center"/>
              <w:rPr>
                <w:color w:val="auto"/>
                <w:sz w:val="21"/>
                <w:szCs w:val="21"/>
              </w:rPr>
            </w:pPr>
            <w:r>
              <w:rPr>
                <w:rFonts w:hint="eastAsia"/>
                <w:color w:val="auto"/>
                <w:sz w:val="21"/>
                <w:szCs w:val="21"/>
              </w:rPr>
              <w:t>10</w:t>
            </w:r>
          </w:p>
        </w:tc>
        <w:tc>
          <w:tcPr>
            <w:tcW w:w="906" w:type="dxa"/>
            <w:vAlign w:val="center"/>
          </w:tcPr>
          <w:p>
            <w:pPr>
              <w:adjustRightInd w:val="0"/>
              <w:snapToGrid w:val="0"/>
              <w:jc w:val="center"/>
              <w:rPr>
                <w:color w:val="auto"/>
                <w:sz w:val="21"/>
                <w:szCs w:val="21"/>
              </w:rPr>
            </w:pPr>
            <w:r>
              <w:rPr>
                <w:color w:val="auto"/>
                <w:sz w:val="21"/>
                <w:szCs w:val="21"/>
              </w:rPr>
              <w:t>1.5</w:t>
            </w:r>
          </w:p>
        </w:tc>
        <w:tc>
          <w:tcPr>
            <w:tcW w:w="907" w:type="dxa"/>
            <w:vAlign w:val="center"/>
          </w:tcPr>
          <w:p>
            <w:pPr>
              <w:adjustRightInd w:val="0"/>
              <w:snapToGrid w:val="0"/>
              <w:jc w:val="center"/>
              <w:rPr>
                <w:color w:val="auto"/>
                <w:sz w:val="21"/>
                <w:szCs w:val="21"/>
              </w:rPr>
            </w:pPr>
            <w:r>
              <w:rPr>
                <w:color w:val="auto"/>
                <w:sz w:val="21"/>
                <w:szCs w:val="21"/>
              </w:rPr>
              <w:t>0.3</w:t>
            </w:r>
          </w:p>
        </w:tc>
      </w:tr>
    </w:tbl>
    <w:p>
      <w:pPr>
        <w:spacing w:beforeLines="50" w:line="360" w:lineRule="auto"/>
        <w:ind w:firstLine="510"/>
        <w:rPr>
          <w:color w:val="auto"/>
          <w:spacing w:val="4"/>
          <w:sz w:val="24"/>
          <w:szCs w:val="24"/>
        </w:rPr>
      </w:pPr>
      <w:r>
        <w:rPr>
          <w:rFonts w:hint="eastAsia"/>
          <w:color w:val="auto"/>
          <w:spacing w:val="4"/>
          <w:sz w:val="24"/>
          <w:szCs w:val="24"/>
        </w:rPr>
        <w:t>由上表可知</w:t>
      </w:r>
      <w:r>
        <w:rPr>
          <w:color w:val="auto"/>
          <w:spacing w:val="4"/>
          <w:sz w:val="24"/>
          <w:szCs w:val="24"/>
        </w:rPr>
        <w:t>，本项目的废水经上述工艺处理后</w:t>
      </w:r>
      <w:r>
        <w:rPr>
          <w:rFonts w:hint="eastAsia"/>
          <w:color w:val="auto"/>
          <w:spacing w:val="4"/>
          <w:sz w:val="24"/>
          <w:szCs w:val="24"/>
        </w:rPr>
        <w:t>各</w:t>
      </w:r>
      <w:r>
        <w:rPr>
          <w:color w:val="auto"/>
          <w:spacing w:val="4"/>
          <w:sz w:val="24"/>
          <w:szCs w:val="24"/>
        </w:rPr>
        <w:t>常规污染物均能够达到排放标准</w:t>
      </w:r>
      <w:r>
        <w:rPr>
          <w:rFonts w:hint="eastAsia"/>
          <w:color w:val="auto"/>
          <w:spacing w:val="4"/>
          <w:sz w:val="24"/>
          <w:szCs w:val="24"/>
        </w:rPr>
        <w:t>，</w:t>
      </w:r>
      <w:r>
        <w:rPr>
          <w:color w:val="auto"/>
          <w:spacing w:val="4"/>
          <w:sz w:val="24"/>
          <w:szCs w:val="24"/>
        </w:rPr>
        <w:t>本项目污水处理工艺技术可行。</w:t>
      </w:r>
    </w:p>
    <w:p>
      <w:pPr>
        <w:pStyle w:val="5"/>
        <w:rPr>
          <w:color w:val="auto"/>
        </w:rPr>
      </w:pPr>
      <w:r>
        <w:rPr>
          <w:rFonts w:hint="eastAsia"/>
          <w:color w:val="auto"/>
        </w:rPr>
        <w:t>6.2.1.2中水回用可行性分析</w:t>
      </w:r>
    </w:p>
    <w:p>
      <w:pPr>
        <w:adjustRightInd w:val="0"/>
        <w:snapToGrid w:val="0"/>
        <w:spacing w:line="360" w:lineRule="auto"/>
        <w:ind w:firstLine="480" w:firstLineChars="200"/>
        <w:rPr>
          <w:color w:val="auto"/>
          <w:sz w:val="24"/>
          <w:szCs w:val="24"/>
        </w:rPr>
      </w:pPr>
      <w:r>
        <w:rPr>
          <w:color w:val="auto"/>
          <w:sz w:val="24"/>
          <w:szCs w:val="24"/>
        </w:rPr>
        <w:t>项目建成后，</w:t>
      </w:r>
      <w:r>
        <w:rPr>
          <w:rFonts w:hint="eastAsia"/>
          <w:color w:val="auto"/>
          <w:sz w:val="24"/>
          <w:szCs w:val="24"/>
        </w:rPr>
        <w:t>经</w:t>
      </w:r>
      <w:r>
        <w:rPr>
          <w:color w:val="auto"/>
          <w:sz w:val="24"/>
          <w:szCs w:val="24"/>
        </w:rPr>
        <w:t>处理达标</w:t>
      </w:r>
      <w:r>
        <w:rPr>
          <w:rFonts w:hint="eastAsia"/>
          <w:color w:val="auto"/>
          <w:sz w:val="24"/>
          <w:szCs w:val="24"/>
        </w:rPr>
        <w:t>的</w:t>
      </w:r>
      <w:r>
        <w:rPr>
          <w:color w:val="auto"/>
          <w:sz w:val="24"/>
          <w:szCs w:val="24"/>
        </w:rPr>
        <w:t>少量尾水经水泵提升后提供水质净化厂自用</w:t>
      </w:r>
      <w:r>
        <w:rPr>
          <w:rFonts w:hint="eastAsia"/>
          <w:color w:val="auto"/>
          <w:sz w:val="24"/>
          <w:szCs w:val="24"/>
        </w:rPr>
        <w:t>（自用回用水量为87.42</w:t>
      </w:r>
      <w:r>
        <w:rPr>
          <w:color w:val="auto"/>
          <w:sz w:val="24"/>
          <w:szCs w:val="24"/>
        </w:rPr>
        <w:t xml:space="preserve"> m</w:t>
      </w:r>
      <w:r>
        <w:rPr>
          <w:color w:val="auto"/>
          <w:sz w:val="24"/>
          <w:szCs w:val="24"/>
          <w:vertAlign w:val="superscript"/>
        </w:rPr>
        <w:t>3</w:t>
      </w:r>
      <w:r>
        <w:rPr>
          <w:color w:val="auto"/>
          <w:sz w:val="24"/>
          <w:szCs w:val="24"/>
        </w:rPr>
        <w:t>/d</w:t>
      </w:r>
      <w:r>
        <w:rPr>
          <w:rFonts w:hint="eastAsia"/>
          <w:color w:val="auto"/>
          <w:sz w:val="24"/>
          <w:szCs w:val="24"/>
        </w:rPr>
        <w:t>）</w:t>
      </w:r>
      <w:r>
        <w:rPr>
          <w:color w:val="auto"/>
          <w:sz w:val="24"/>
          <w:szCs w:val="24"/>
        </w:rPr>
        <w:t>，部分</w:t>
      </w:r>
      <w:r>
        <w:rPr>
          <w:rFonts w:hint="eastAsia"/>
          <w:color w:val="auto"/>
          <w:sz w:val="24"/>
          <w:szCs w:val="24"/>
        </w:rPr>
        <w:t>排入中水回用池，</w:t>
      </w:r>
      <w:r>
        <w:rPr>
          <w:color w:val="auto"/>
          <w:sz w:val="24"/>
          <w:szCs w:val="24"/>
        </w:rPr>
        <w:t>回用于园区内</w:t>
      </w:r>
      <w:r>
        <w:rPr>
          <w:rFonts w:hint="eastAsia"/>
          <w:color w:val="auto"/>
          <w:sz w:val="24"/>
          <w:szCs w:val="24"/>
        </w:rPr>
        <w:t>园区内城市绿化、道路清扫和冲厕（该部分回用水量为2390.01</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rPr>
        <w:t>）。本项目</w:t>
      </w:r>
      <w:r>
        <w:rPr>
          <w:color w:val="auto"/>
          <w:sz w:val="24"/>
          <w:szCs w:val="24"/>
        </w:rPr>
        <w:t>尾水回用情况分析如下：</w:t>
      </w:r>
    </w:p>
    <w:p>
      <w:pPr>
        <w:adjustRightInd w:val="0"/>
        <w:snapToGrid w:val="0"/>
        <w:spacing w:line="360" w:lineRule="auto"/>
        <w:ind w:firstLine="482" w:firstLineChars="200"/>
        <w:rPr>
          <w:b/>
          <w:bCs/>
          <w:color w:val="auto"/>
          <w:sz w:val="24"/>
          <w:szCs w:val="24"/>
        </w:rPr>
      </w:pPr>
      <w:r>
        <w:rPr>
          <w:rFonts w:hint="eastAsia"/>
          <w:b/>
          <w:bCs/>
          <w:color w:val="auto"/>
          <w:sz w:val="24"/>
          <w:szCs w:val="24"/>
        </w:rPr>
        <w:t>1</w:t>
      </w:r>
      <w:r>
        <w:rPr>
          <w:b/>
          <w:bCs/>
          <w:color w:val="auto"/>
          <w:sz w:val="24"/>
          <w:szCs w:val="24"/>
        </w:rPr>
        <w:t>、回用水量分析</w:t>
      </w:r>
    </w:p>
    <w:p>
      <w:pPr>
        <w:adjustRightInd w:val="0"/>
        <w:snapToGrid w:val="0"/>
        <w:spacing w:line="360" w:lineRule="auto"/>
        <w:ind w:firstLine="480" w:firstLineChars="200"/>
        <w:rPr>
          <w:color w:val="auto"/>
          <w:sz w:val="24"/>
          <w:szCs w:val="24"/>
        </w:rPr>
      </w:pPr>
      <w:r>
        <w:rPr>
          <w:rFonts w:hint="eastAsia"/>
          <w:color w:val="auto"/>
          <w:sz w:val="24"/>
          <w:szCs w:val="24"/>
        </w:rPr>
        <w:t>项目尾水回用去向主要包括</w:t>
      </w:r>
      <w:r>
        <w:rPr>
          <w:color w:val="auto"/>
          <w:sz w:val="24"/>
          <w:szCs w:val="24"/>
        </w:rPr>
        <w:t>水质净化厂自用水</w:t>
      </w:r>
      <w:r>
        <w:rPr>
          <w:rFonts w:hint="eastAsia"/>
          <w:color w:val="auto"/>
          <w:sz w:val="24"/>
          <w:szCs w:val="24"/>
        </w:rPr>
        <w:t>、园区内城市绿化、道路清扫和冲厕。经水平衡计算，项目</w:t>
      </w:r>
      <w:r>
        <w:rPr>
          <w:color w:val="auto"/>
          <w:sz w:val="24"/>
          <w:szCs w:val="24"/>
        </w:rPr>
        <w:t>总回用水量为</w:t>
      </w:r>
      <w:r>
        <w:rPr>
          <w:rFonts w:hint="eastAsia"/>
          <w:color w:val="auto"/>
          <w:sz w:val="24"/>
          <w:szCs w:val="24"/>
        </w:rPr>
        <w:t>2477.43</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rPr>
        <w:t>。</w:t>
      </w:r>
    </w:p>
    <w:p>
      <w:pPr>
        <w:adjustRightInd w:val="0"/>
        <w:snapToGrid w:val="0"/>
        <w:spacing w:line="360" w:lineRule="auto"/>
        <w:ind w:firstLine="480" w:firstLineChars="200"/>
        <w:rPr>
          <w:color w:val="auto"/>
          <w:sz w:val="24"/>
          <w:szCs w:val="24"/>
        </w:rPr>
      </w:pPr>
      <w:r>
        <w:rPr>
          <w:color w:val="auto"/>
          <w:sz w:val="24"/>
          <w:szCs w:val="24"/>
        </w:rPr>
        <w:t>（1）水质净化厂自用水</w:t>
      </w:r>
    </w:p>
    <w:p>
      <w:pPr>
        <w:adjustRightInd w:val="0"/>
        <w:snapToGrid w:val="0"/>
        <w:spacing w:line="360" w:lineRule="auto"/>
        <w:ind w:firstLine="480" w:firstLineChars="200"/>
        <w:rPr>
          <w:color w:val="auto"/>
          <w:sz w:val="24"/>
          <w:szCs w:val="24"/>
        </w:rPr>
      </w:pPr>
      <w:r>
        <w:rPr>
          <w:bCs/>
          <w:color w:val="auto"/>
          <w:sz w:val="24"/>
          <w:szCs w:val="24"/>
        </w:rPr>
        <w:t>本项目水质净化厂自用的尾水包括反冲洗用水、</w:t>
      </w:r>
      <w:r>
        <w:rPr>
          <w:color w:val="auto"/>
          <w:sz w:val="24"/>
          <w:szCs w:val="24"/>
        </w:rPr>
        <w:t>污泥脱水机清洗用水</w:t>
      </w:r>
      <w:r>
        <w:rPr>
          <w:bCs/>
          <w:color w:val="auto"/>
          <w:sz w:val="24"/>
          <w:szCs w:val="24"/>
        </w:rPr>
        <w:t>、冲厕用水和绿化用水。根据工程分析，本项目反冲洗用水</w:t>
      </w:r>
      <w:r>
        <w:rPr>
          <w:color w:val="auto"/>
          <w:sz w:val="24"/>
          <w:szCs w:val="24"/>
        </w:rPr>
        <w:t>量为80m</w:t>
      </w:r>
      <w:r>
        <w:rPr>
          <w:color w:val="auto"/>
          <w:sz w:val="24"/>
          <w:szCs w:val="24"/>
          <w:vertAlign w:val="superscript"/>
        </w:rPr>
        <w:t>3</w:t>
      </w:r>
      <w:r>
        <w:rPr>
          <w:color w:val="auto"/>
          <w:sz w:val="24"/>
          <w:szCs w:val="24"/>
        </w:rPr>
        <w:t>/d；</w:t>
      </w:r>
      <w:r>
        <w:rPr>
          <w:rFonts w:hint="eastAsia"/>
          <w:color w:val="auto"/>
          <w:sz w:val="24"/>
          <w:szCs w:val="24"/>
        </w:rPr>
        <w:t>污</w:t>
      </w:r>
      <w:r>
        <w:rPr>
          <w:color w:val="auto"/>
          <w:sz w:val="24"/>
          <w:szCs w:val="24"/>
        </w:rPr>
        <w:t>泥脱水机清洗用水量为0.5m</w:t>
      </w:r>
      <w:r>
        <w:rPr>
          <w:color w:val="auto"/>
          <w:sz w:val="24"/>
          <w:szCs w:val="24"/>
          <w:vertAlign w:val="superscript"/>
        </w:rPr>
        <w:t>3</w:t>
      </w:r>
      <w:r>
        <w:rPr>
          <w:color w:val="auto"/>
          <w:sz w:val="24"/>
          <w:szCs w:val="24"/>
        </w:rPr>
        <w:t>/d；冲厕用水量为</w:t>
      </w:r>
      <w:r>
        <w:rPr>
          <w:rFonts w:hint="eastAsia"/>
          <w:color w:val="auto"/>
          <w:sz w:val="24"/>
          <w:szCs w:val="24"/>
        </w:rPr>
        <w:t>0.62</w:t>
      </w:r>
      <w:r>
        <w:rPr>
          <w:color w:val="auto"/>
          <w:sz w:val="24"/>
          <w:szCs w:val="24"/>
        </w:rPr>
        <w:t xml:space="preserve"> m</w:t>
      </w:r>
      <w:r>
        <w:rPr>
          <w:color w:val="auto"/>
          <w:sz w:val="24"/>
          <w:szCs w:val="24"/>
          <w:vertAlign w:val="superscript"/>
        </w:rPr>
        <w:t>3</w:t>
      </w:r>
      <w:r>
        <w:rPr>
          <w:color w:val="auto"/>
          <w:sz w:val="24"/>
          <w:szCs w:val="24"/>
        </w:rPr>
        <w:t>/d</w:t>
      </w:r>
      <w:r>
        <w:rPr>
          <w:rFonts w:hint="eastAsia"/>
          <w:color w:val="auto"/>
          <w:sz w:val="24"/>
          <w:szCs w:val="24"/>
        </w:rPr>
        <w:t>；</w:t>
      </w:r>
      <w:r>
        <w:rPr>
          <w:color w:val="auto"/>
          <w:sz w:val="24"/>
          <w:szCs w:val="24"/>
        </w:rPr>
        <w:t>绿化用水量约为</w:t>
      </w:r>
      <w:r>
        <w:rPr>
          <w:rFonts w:hint="eastAsia"/>
          <w:color w:val="auto"/>
          <w:sz w:val="24"/>
          <w:szCs w:val="24"/>
        </w:rPr>
        <w:t>6.3</w:t>
      </w:r>
      <w:r>
        <w:rPr>
          <w:color w:val="auto"/>
          <w:sz w:val="24"/>
          <w:szCs w:val="24"/>
        </w:rPr>
        <w:t>m</w:t>
      </w:r>
      <w:r>
        <w:rPr>
          <w:color w:val="auto"/>
          <w:sz w:val="24"/>
          <w:szCs w:val="24"/>
          <w:vertAlign w:val="superscript"/>
        </w:rPr>
        <w:t>3</w:t>
      </w:r>
      <w:r>
        <w:rPr>
          <w:color w:val="auto"/>
          <w:sz w:val="24"/>
          <w:szCs w:val="24"/>
        </w:rPr>
        <w:t>/d。</w:t>
      </w:r>
    </w:p>
    <w:p>
      <w:pPr>
        <w:adjustRightInd w:val="0"/>
        <w:snapToGrid w:val="0"/>
        <w:spacing w:line="360" w:lineRule="auto"/>
        <w:ind w:firstLine="480" w:firstLineChars="200"/>
        <w:rPr>
          <w:color w:val="auto"/>
          <w:sz w:val="24"/>
          <w:szCs w:val="24"/>
        </w:rPr>
      </w:pPr>
      <w:r>
        <w:rPr>
          <w:color w:val="auto"/>
          <w:sz w:val="24"/>
          <w:szCs w:val="24"/>
        </w:rPr>
        <w:t>因此，本项目</w:t>
      </w:r>
      <w:r>
        <w:rPr>
          <w:bCs/>
          <w:color w:val="auto"/>
          <w:sz w:val="24"/>
          <w:szCs w:val="24"/>
        </w:rPr>
        <w:t>本项目水质净化厂自用的尾水量共计</w:t>
      </w:r>
      <w:r>
        <w:rPr>
          <w:rFonts w:hint="eastAsia"/>
          <w:bCs/>
          <w:color w:val="auto"/>
          <w:sz w:val="24"/>
          <w:szCs w:val="24"/>
        </w:rPr>
        <w:t>87.42</w:t>
      </w:r>
      <w:r>
        <w:rPr>
          <w:color w:val="auto"/>
          <w:sz w:val="24"/>
          <w:szCs w:val="24"/>
        </w:rPr>
        <w:t>m</w:t>
      </w:r>
      <w:r>
        <w:rPr>
          <w:color w:val="auto"/>
          <w:sz w:val="24"/>
          <w:szCs w:val="24"/>
          <w:vertAlign w:val="superscript"/>
        </w:rPr>
        <w:t>3</w:t>
      </w:r>
      <w:r>
        <w:rPr>
          <w:color w:val="auto"/>
          <w:sz w:val="24"/>
          <w:szCs w:val="24"/>
        </w:rPr>
        <w:t>/d。</w:t>
      </w:r>
    </w:p>
    <w:p>
      <w:pPr>
        <w:adjustRightInd w:val="0"/>
        <w:snapToGrid w:val="0"/>
        <w:spacing w:line="360" w:lineRule="auto"/>
        <w:ind w:firstLine="480" w:firstLineChars="200"/>
        <w:rPr>
          <w:color w:val="auto"/>
          <w:sz w:val="24"/>
          <w:szCs w:val="24"/>
        </w:rPr>
      </w:pPr>
      <w:r>
        <w:rPr>
          <w:color w:val="auto"/>
          <w:sz w:val="24"/>
          <w:szCs w:val="24"/>
        </w:rPr>
        <w:t>（2）园区绿化用水</w:t>
      </w:r>
    </w:p>
    <w:p>
      <w:pPr>
        <w:adjustRightInd w:val="0"/>
        <w:snapToGrid w:val="0"/>
        <w:spacing w:line="360" w:lineRule="auto"/>
        <w:ind w:firstLine="480" w:firstLineChars="200"/>
        <w:rPr>
          <w:color w:val="auto"/>
          <w:sz w:val="24"/>
          <w:szCs w:val="24"/>
        </w:rPr>
      </w:pPr>
      <w:r>
        <w:rPr>
          <w:rFonts w:hint="eastAsia"/>
          <w:bCs/>
          <w:color w:val="auto"/>
          <w:sz w:val="24"/>
          <w:szCs w:val="24"/>
        </w:rPr>
        <w:t>本项目回用水可用于周边绿化灌溉。项目铺设的尾水回用管道可覆盖的绿化面积为33ha，</w:t>
      </w:r>
      <w:r>
        <w:rPr>
          <w:color w:val="auto"/>
          <w:sz w:val="24"/>
          <w:szCs w:val="24"/>
        </w:rPr>
        <w:t>用水定额参考</w:t>
      </w:r>
      <w:r>
        <w:rPr>
          <w:rFonts w:hint="eastAsia"/>
          <w:color w:val="auto"/>
          <w:sz w:val="24"/>
          <w:szCs w:val="24"/>
        </w:rPr>
        <w:t>广东省地方标准《用水定额 第3部分：生活》（DB44/T1461.3-2021）中“市内园林绿化-先进值”：0.7L</w:t>
      </w:r>
      <w:r>
        <w:rPr>
          <w:color w:val="auto"/>
          <w:sz w:val="24"/>
          <w:szCs w:val="24"/>
        </w:rPr>
        <w:t>/</w:t>
      </w:r>
      <w:r>
        <w:rPr>
          <w:rFonts w:hint="eastAsia"/>
          <w:color w:val="auto"/>
          <w:sz w:val="24"/>
          <w:szCs w:val="24"/>
        </w:rPr>
        <w:t>（m</w:t>
      </w:r>
      <w:r>
        <w:rPr>
          <w:rFonts w:hint="eastAsia"/>
          <w:color w:val="auto"/>
          <w:sz w:val="24"/>
          <w:szCs w:val="24"/>
          <w:vertAlign w:val="superscript"/>
        </w:rPr>
        <w:t>2</w:t>
      </w:r>
      <w:r>
        <w:rPr>
          <w:color w:val="auto"/>
          <w:sz w:val="24"/>
          <w:szCs w:val="24"/>
        </w:rPr>
        <w:t>▪</w:t>
      </w:r>
      <w:r>
        <w:rPr>
          <w:rFonts w:hint="eastAsia"/>
          <w:color w:val="auto"/>
          <w:sz w:val="24"/>
          <w:szCs w:val="24"/>
        </w:rPr>
        <w:t>d）</w:t>
      </w:r>
      <w:r>
        <w:rPr>
          <w:color w:val="auto"/>
          <w:sz w:val="24"/>
          <w:szCs w:val="24"/>
        </w:rPr>
        <w:t>，则园区绿化用水量为</w:t>
      </w:r>
      <w:r>
        <w:rPr>
          <w:rFonts w:hint="eastAsia"/>
          <w:color w:val="auto"/>
          <w:sz w:val="24"/>
          <w:szCs w:val="24"/>
        </w:rPr>
        <w:t>231</w:t>
      </w:r>
      <w:r>
        <w:rPr>
          <w:color w:val="auto"/>
          <w:sz w:val="24"/>
          <w:szCs w:val="24"/>
        </w:rPr>
        <w:t>m</w:t>
      </w:r>
      <w:r>
        <w:rPr>
          <w:color w:val="auto"/>
          <w:sz w:val="24"/>
          <w:szCs w:val="24"/>
          <w:vertAlign w:val="superscript"/>
        </w:rPr>
        <w:t>3</w:t>
      </w:r>
      <w:r>
        <w:rPr>
          <w:color w:val="auto"/>
          <w:sz w:val="24"/>
          <w:szCs w:val="24"/>
        </w:rPr>
        <w:t>/d。</w:t>
      </w:r>
    </w:p>
    <w:p>
      <w:pPr>
        <w:adjustRightInd w:val="0"/>
        <w:snapToGrid w:val="0"/>
        <w:spacing w:line="360" w:lineRule="auto"/>
        <w:ind w:firstLine="480" w:firstLineChars="200"/>
        <w:rPr>
          <w:color w:val="auto"/>
          <w:sz w:val="24"/>
          <w:szCs w:val="24"/>
        </w:rPr>
      </w:pPr>
      <w:r>
        <w:rPr>
          <w:color w:val="auto"/>
          <w:sz w:val="24"/>
          <w:szCs w:val="24"/>
        </w:rPr>
        <w:t>（</w:t>
      </w:r>
      <w:r>
        <w:rPr>
          <w:rFonts w:hint="eastAsia"/>
          <w:color w:val="auto"/>
          <w:sz w:val="24"/>
          <w:szCs w:val="24"/>
        </w:rPr>
        <w:t>3</w:t>
      </w:r>
      <w:r>
        <w:rPr>
          <w:color w:val="auto"/>
          <w:sz w:val="24"/>
          <w:szCs w:val="24"/>
        </w:rPr>
        <w:t>）园区</w:t>
      </w:r>
      <w:r>
        <w:rPr>
          <w:rFonts w:hint="eastAsia"/>
          <w:color w:val="auto"/>
          <w:sz w:val="24"/>
          <w:szCs w:val="24"/>
        </w:rPr>
        <w:t>冲厕</w:t>
      </w:r>
      <w:r>
        <w:rPr>
          <w:color w:val="auto"/>
          <w:sz w:val="24"/>
          <w:szCs w:val="24"/>
        </w:rPr>
        <w:t>用水</w:t>
      </w:r>
    </w:p>
    <w:p>
      <w:pPr>
        <w:adjustRightInd w:val="0"/>
        <w:snapToGrid w:val="0"/>
        <w:spacing w:line="360" w:lineRule="auto"/>
        <w:ind w:firstLine="480" w:firstLineChars="200"/>
        <w:rPr>
          <w:bCs/>
          <w:color w:val="auto"/>
          <w:sz w:val="24"/>
          <w:szCs w:val="24"/>
        </w:rPr>
      </w:pPr>
      <w:r>
        <w:rPr>
          <w:rFonts w:hint="eastAsia"/>
          <w:bCs/>
          <w:color w:val="auto"/>
          <w:sz w:val="24"/>
          <w:szCs w:val="24"/>
        </w:rPr>
        <w:t>本项目回用水可用于工业园区内的冲厕用水。经预测，项目铺设的尾水回用管道可覆盖的居住人口数约为4.1万人，就业人口数约为3.7万人。其中，居民生活用水定额参考</w:t>
      </w:r>
      <w:r>
        <w:rPr>
          <w:rFonts w:hint="eastAsia"/>
          <w:color w:val="auto"/>
          <w:sz w:val="24"/>
          <w:szCs w:val="24"/>
        </w:rPr>
        <w:t>广东省地方标准《用水定额 第3部分：生活》（DB44/T1461.3-2021）中小城镇的</w:t>
      </w:r>
      <w:r>
        <w:rPr>
          <w:rFonts w:hint="eastAsia"/>
          <w:bCs/>
          <w:color w:val="auto"/>
          <w:sz w:val="24"/>
          <w:szCs w:val="24"/>
        </w:rPr>
        <w:t>生活用水定额</w:t>
      </w:r>
      <w:r>
        <w:rPr>
          <w:rFonts w:hint="eastAsia"/>
          <w:color w:val="auto"/>
          <w:sz w:val="24"/>
          <w:szCs w:val="24"/>
        </w:rPr>
        <w:t>：140L</w:t>
      </w:r>
      <w:r>
        <w:rPr>
          <w:color w:val="auto"/>
          <w:sz w:val="24"/>
          <w:szCs w:val="24"/>
        </w:rPr>
        <w:t>/</w:t>
      </w:r>
      <w:r>
        <w:rPr>
          <w:rFonts w:hint="eastAsia"/>
          <w:color w:val="auto"/>
          <w:sz w:val="24"/>
          <w:szCs w:val="24"/>
        </w:rPr>
        <w:t>（人</w:t>
      </w:r>
      <w:r>
        <w:rPr>
          <w:color w:val="auto"/>
          <w:sz w:val="24"/>
          <w:szCs w:val="24"/>
        </w:rPr>
        <w:t>▪</w:t>
      </w:r>
      <w:r>
        <w:rPr>
          <w:rFonts w:hint="eastAsia"/>
          <w:color w:val="auto"/>
          <w:sz w:val="24"/>
          <w:szCs w:val="24"/>
        </w:rPr>
        <w:t>d），园区内员工</w:t>
      </w:r>
      <w:r>
        <w:rPr>
          <w:rFonts w:hint="eastAsia"/>
          <w:bCs/>
          <w:color w:val="auto"/>
          <w:sz w:val="24"/>
          <w:szCs w:val="24"/>
        </w:rPr>
        <w:t>生活用水定额参考</w:t>
      </w:r>
      <w:r>
        <w:rPr>
          <w:rFonts w:hint="eastAsia"/>
          <w:color w:val="auto"/>
          <w:sz w:val="24"/>
          <w:szCs w:val="24"/>
        </w:rPr>
        <w:t>广东省地方标准《用水定额 第3部分：生活》（DB44/T1461.3-2021）中“办公楼</w:t>
      </w:r>
      <w:r>
        <w:rPr>
          <w:color w:val="auto"/>
          <w:sz w:val="24"/>
          <w:szCs w:val="24"/>
        </w:rPr>
        <w:t>-</w:t>
      </w:r>
      <w:r>
        <w:rPr>
          <w:rFonts w:hint="eastAsia"/>
          <w:color w:val="auto"/>
          <w:sz w:val="24"/>
          <w:szCs w:val="24"/>
        </w:rPr>
        <w:t>无食堂和浴室-先进值”：10m</w:t>
      </w:r>
      <w:r>
        <w:rPr>
          <w:rFonts w:hint="eastAsia"/>
          <w:color w:val="auto"/>
          <w:sz w:val="24"/>
          <w:szCs w:val="24"/>
          <w:vertAlign w:val="superscript"/>
        </w:rPr>
        <w:t>3</w:t>
      </w:r>
      <w:r>
        <w:rPr>
          <w:color w:val="auto"/>
          <w:sz w:val="24"/>
          <w:szCs w:val="24"/>
        </w:rPr>
        <w:t>/</w:t>
      </w:r>
      <w:r>
        <w:rPr>
          <w:rFonts w:hint="eastAsia"/>
          <w:color w:val="auto"/>
          <w:sz w:val="24"/>
          <w:szCs w:val="24"/>
        </w:rPr>
        <w:t>（人</w:t>
      </w:r>
      <w:r>
        <w:rPr>
          <w:color w:val="auto"/>
          <w:sz w:val="24"/>
          <w:szCs w:val="24"/>
        </w:rPr>
        <w:t>▪</w:t>
      </w:r>
      <w:r>
        <w:rPr>
          <w:rFonts w:hint="eastAsia"/>
          <w:color w:val="auto"/>
          <w:sz w:val="24"/>
          <w:szCs w:val="24"/>
        </w:rPr>
        <w:t>a）。经计算，园区内居民生活用水量为5740 m</w:t>
      </w:r>
      <w:r>
        <w:rPr>
          <w:rFonts w:hint="eastAsia"/>
          <w:color w:val="auto"/>
          <w:sz w:val="24"/>
          <w:szCs w:val="24"/>
          <w:vertAlign w:val="superscript"/>
        </w:rPr>
        <w:t>3</w:t>
      </w:r>
      <w:r>
        <w:rPr>
          <w:color w:val="auto"/>
          <w:sz w:val="24"/>
          <w:szCs w:val="24"/>
        </w:rPr>
        <w:t>/</w:t>
      </w:r>
      <w:r>
        <w:rPr>
          <w:rFonts w:hint="eastAsia"/>
          <w:color w:val="auto"/>
          <w:sz w:val="24"/>
          <w:szCs w:val="24"/>
        </w:rPr>
        <w:t>d，员工</w:t>
      </w:r>
      <w:r>
        <w:rPr>
          <w:rFonts w:hint="eastAsia"/>
          <w:bCs/>
          <w:color w:val="auto"/>
          <w:sz w:val="24"/>
          <w:szCs w:val="24"/>
        </w:rPr>
        <w:t>生活用水量为1233.33</w:t>
      </w:r>
      <w:r>
        <w:rPr>
          <w:rFonts w:hint="eastAsia"/>
          <w:color w:val="auto"/>
          <w:sz w:val="24"/>
          <w:szCs w:val="24"/>
        </w:rPr>
        <w:t xml:space="preserve"> m</w:t>
      </w:r>
      <w:r>
        <w:rPr>
          <w:rFonts w:hint="eastAsia"/>
          <w:color w:val="auto"/>
          <w:sz w:val="24"/>
          <w:szCs w:val="24"/>
          <w:vertAlign w:val="superscript"/>
        </w:rPr>
        <w:t>3</w:t>
      </w:r>
      <w:r>
        <w:rPr>
          <w:color w:val="auto"/>
          <w:sz w:val="24"/>
          <w:szCs w:val="24"/>
        </w:rPr>
        <w:t>/</w:t>
      </w:r>
      <w:r>
        <w:rPr>
          <w:rFonts w:hint="eastAsia"/>
          <w:color w:val="auto"/>
          <w:sz w:val="24"/>
          <w:szCs w:val="24"/>
        </w:rPr>
        <w:t>d</w:t>
      </w:r>
      <w:r>
        <w:rPr>
          <w:rFonts w:hint="eastAsia"/>
          <w:bCs/>
          <w:color w:val="auto"/>
          <w:sz w:val="24"/>
          <w:szCs w:val="24"/>
        </w:rPr>
        <w:t>（年工作天数以300天计）。</w:t>
      </w:r>
    </w:p>
    <w:p>
      <w:pPr>
        <w:adjustRightInd w:val="0"/>
        <w:snapToGrid w:val="0"/>
        <w:spacing w:line="360" w:lineRule="auto"/>
        <w:ind w:firstLine="480" w:firstLineChars="200"/>
        <w:rPr>
          <w:color w:val="auto"/>
          <w:sz w:val="24"/>
          <w:szCs w:val="24"/>
        </w:rPr>
      </w:pPr>
      <w:r>
        <w:rPr>
          <w:rFonts w:hint="eastAsia"/>
          <w:color w:val="auto"/>
          <w:sz w:val="24"/>
          <w:szCs w:val="24"/>
        </w:rPr>
        <w:t>根据《全国民用建筑工程设计技术措施:给水排水(2009年版)》（中国计划出版社）表9.2.3各类建筑物分项给水百分率，冲厕用水占住宅用水的21%~21.3%，本评价以最小值21%进行计算，则居民</w:t>
      </w:r>
      <w:r>
        <w:rPr>
          <w:color w:val="auto"/>
          <w:sz w:val="24"/>
          <w:szCs w:val="24"/>
        </w:rPr>
        <w:t>冲厕用水量为</w:t>
      </w:r>
      <w:r>
        <w:rPr>
          <w:rFonts w:hint="eastAsia"/>
          <w:color w:val="auto"/>
          <w:sz w:val="24"/>
          <w:szCs w:val="24"/>
        </w:rPr>
        <w:t>1205.4 m</w:t>
      </w:r>
      <w:r>
        <w:rPr>
          <w:rFonts w:hint="eastAsia"/>
          <w:color w:val="auto"/>
          <w:sz w:val="24"/>
          <w:szCs w:val="24"/>
          <w:vertAlign w:val="superscript"/>
        </w:rPr>
        <w:t>3</w:t>
      </w:r>
      <w:r>
        <w:rPr>
          <w:color w:val="auto"/>
          <w:sz w:val="24"/>
          <w:szCs w:val="24"/>
        </w:rPr>
        <w:t>/</w:t>
      </w:r>
      <w:r>
        <w:rPr>
          <w:rFonts w:hint="eastAsia"/>
          <w:color w:val="auto"/>
          <w:sz w:val="24"/>
          <w:szCs w:val="24"/>
        </w:rPr>
        <w:t>d；冲厕用水占办公楼用水的60%~66%，本评价以最小值60%进行计算，则员工</w:t>
      </w:r>
      <w:r>
        <w:rPr>
          <w:color w:val="auto"/>
          <w:sz w:val="24"/>
          <w:szCs w:val="24"/>
        </w:rPr>
        <w:t>冲厕用水量为</w:t>
      </w:r>
      <w:r>
        <w:rPr>
          <w:rFonts w:hint="eastAsia"/>
          <w:color w:val="auto"/>
          <w:sz w:val="24"/>
          <w:szCs w:val="24"/>
        </w:rPr>
        <w:t>740</w:t>
      </w:r>
      <w:r>
        <w:rPr>
          <w:color w:val="auto"/>
          <w:sz w:val="24"/>
          <w:szCs w:val="24"/>
        </w:rPr>
        <w:t>m</w:t>
      </w:r>
      <w:r>
        <w:rPr>
          <w:color w:val="auto"/>
          <w:sz w:val="24"/>
          <w:szCs w:val="24"/>
          <w:vertAlign w:val="superscript"/>
        </w:rPr>
        <w:t>3</w:t>
      </w:r>
      <w:r>
        <w:rPr>
          <w:color w:val="auto"/>
          <w:sz w:val="24"/>
          <w:szCs w:val="24"/>
        </w:rPr>
        <w:t>/d。</w:t>
      </w:r>
    </w:p>
    <w:p>
      <w:pPr>
        <w:adjustRightInd w:val="0"/>
        <w:snapToGrid w:val="0"/>
        <w:spacing w:line="360" w:lineRule="auto"/>
        <w:ind w:firstLine="480" w:firstLineChars="200"/>
        <w:rPr>
          <w:bCs/>
          <w:color w:val="auto"/>
          <w:sz w:val="24"/>
          <w:szCs w:val="24"/>
        </w:rPr>
      </w:pPr>
      <w:r>
        <w:rPr>
          <w:rFonts w:hint="eastAsia"/>
          <w:color w:val="auto"/>
          <w:sz w:val="24"/>
          <w:szCs w:val="24"/>
        </w:rPr>
        <w:t>综上，</w:t>
      </w:r>
      <w:r>
        <w:rPr>
          <w:rFonts w:hint="eastAsia"/>
          <w:bCs/>
          <w:color w:val="auto"/>
          <w:sz w:val="24"/>
          <w:szCs w:val="24"/>
        </w:rPr>
        <w:t>项目可用于园区冲厕的回用水量为1945.4m</w:t>
      </w:r>
      <w:r>
        <w:rPr>
          <w:rFonts w:hint="eastAsia"/>
          <w:bCs/>
          <w:color w:val="auto"/>
          <w:sz w:val="24"/>
          <w:szCs w:val="24"/>
          <w:vertAlign w:val="superscript"/>
        </w:rPr>
        <w:t>3</w:t>
      </w:r>
      <w:r>
        <w:rPr>
          <w:rFonts w:hint="eastAsia"/>
          <w:bCs/>
          <w:color w:val="auto"/>
          <w:sz w:val="24"/>
          <w:szCs w:val="24"/>
        </w:rPr>
        <w:t>/d。</w:t>
      </w:r>
    </w:p>
    <w:p>
      <w:pPr>
        <w:adjustRightInd w:val="0"/>
        <w:snapToGrid w:val="0"/>
        <w:spacing w:line="360" w:lineRule="auto"/>
        <w:ind w:firstLine="480" w:firstLineChars="200"/>
        <w:rPr>
          <w:color w:val="auto"/>
          <w:sz w:val="24"/>
          <w:szCs w:val="24"/>
        </w:rPr>
      </w:pPr>
      <w:r>
        <w:rPr>
          <w:color w:val="auto"/>
          <w:sz w:val="24"/>
          <w:szCs w:val="24"/>
        </w:rPr>
        <w:t>（</w:t>
      </w:r>
      <w:r>
        <w:rPr>
          <w:rFonts w:hint="eastAsia"/>
          <w:color w:val="auto"/>
          <w:sz w:val="24"/>
          <w:szCs w:val="24"/>
        </w:rPr>
        <w:t>4</w:t>
      </w:r>
      <w:r>
        <w:rPr>
          <w:color w:val="auto"/>
          <w:sz w:val="24"/>
          <w:szCs w:val="24"/>
        </w:rPr>
        <w:t>）园区</w:t>
      </w:r>
      <w:r>
        <w:rPr>
          <w:rFonts w:hint="eastAsia"/>
          <w:color w:val="auto"/>
          <w:sz w:val="24"/>
          <w:szCs w:val="24"/>
        </w:rPr>
        <w:t>道路清扫</w:t>
      </w:r>
      <w:r>
        <w:rPr>
          <w:color w:val="auto"/>
          <w:sz w:val="24"/>
          <w:szCs w:val="24"/>
        </w:rPr>
        <w:t>用水</w:t>
      </w:r>
    </w:p>
    <w:p>
      <w:pPr>
        <w:adjustRightInd w:val="0"/>
        <w:snapToGrid w:val="0"/>
        <w:spacing w:line="360" w:lineRule="auto"/>
        <w:ind w:firstLine="480" w:firstLineChars="200"/>
        <w:rPr>
          <w:color w:val="auto"/>
          <w:sz w:val="24"/>
          <w:szCs w:val="24"/>
        </w:rPr>
      </w:pPr>
      <w:r>
        <w:rPr>
          <w:rFonts w:hint="eastAsia"/>
          <w:bCs/>
          <w:color w:val="auto"/>
          <w:sz w:val="24"/>
          <w:szCs w:val="24"/>
        </w:rPr>
        <w:t>本项目回用水可用于周边道路清扫。项目铺设的尾水回用管道可覆盖的道路面积为31.4ha，</w:t>
      </w:r>
      <w:r>
        <w:rPr>
          <w:color w:val="auto"/>
          <w:sz w:val="24"/>
          <w:szCs w:val="24"/>
        </w:rPr>
        <w:t>用水定额参考</w:t>
      </w:r>
      <w:r>
        <w:rPr>
          <w:rFonts w:hint="eastAsia"/>
          <w:color w:val="auto"/>
          <w:sz w:val="24"/>
          <w:szCs w:val="24"/>
        </w:rPr>
        <w:t>广东省地方标准《用水定额 第3部分：生活》（DB44/T1461.3-2021）中“浇洒道路和场地-先进值”：1.5 L</w:t>
      </w:r>
      <w:r>
        <w:rPr>
          <w:color w:val="auto"/>
          <w:sz w:val="24"/>
          <w:szCs w:val="24"/>
        </w:rPr>
        <w:t>/</w:t>
      </w:r>
      <w:r>
        <w:rPr>
          <w:rFonts w:hint="eastAsia"/>
          <w:color w:val="auto"/>
          <w:sz w:val="24"/>
          <w:szCs w:val="24"/>
        </w:rPr>
        <w:t>（m</w:t>
      </w:r>
      <w:r>
        <w:rPr>
          <w:rFonts w:hint="eastAsia"/>
          <w:color w:val="auto"/>
          <w:sz w:val="24"/>
          <w:szCs w:val="24"/>
          <w:vertAlign w:val="superscript"/>
        </w:rPr>
        <w:t>2</w:t>
      </w:r>
      <w:r>
        <w:rPr>
          <w:color w:val="auto"/>
          <w:sz w:val="24"/>
          <w:szCs w:val="24"/>
        </w:rPr>
        <w:t>▪</w:t>
      </w:r>
      <w:r>
        <w:rPr>
          <w:rFonts w:hint="eastAsia"/>
          <w:color w:val="auto"/>
          <w:sz w:val="24"/>
          <w:szCs w:val="24"/>
        </w:rPr>
        <w:t>d），</w:t>
      </w:r>
      <w:r>
        <w:rPr>
          <w:color w:val="auto"/>
          <w:sz w:val="24"/>
          <w:szCs w:val="24"/>
        </w:rPr>
        <w:t>则园区</w:t>
      </w:r>
      <w:r>
        <w:rPr>
          <w:rFonts w:hint="eastAsia"/>
          <w:color w:val="auto"/>
          <w:sz w:val="24"/>
          <w:szCs w:val="24"/>
        </w:rPr>
        <w:t>道路清扫</w:t>
      </w:r>
      <w:r>
        <w:rPr>
          <w:color w:val="auto"/>
          <w:sz w:val="24"/>
          <w:szCs w:val="24"/>
        </w:rPr>
        <w:t>用水量为</w:t>
      </w:r>
      <w:r>
        <w:rPr>
          <w:rFonts w:hint="eastAsia"/>
          <w:color w:val="auto"/>
          <w:sz w:val="24"/>
          <w:szCs w:val="24"/>
        </w:rPr>
        <w:t>471</w:t>
      </w:r>
      <w:r>
        <w:rPr>
          <w:color w:val="auto"/>
          <w:sz w:val="24"/>
          <w:szCs w:val="24"/>
        </w:rPr>
        <w:t>m</w:t>
      </w:r>
      <w:r>
        <w:rPr>
          <w:color w:val="auto"/>
          <w:sz w:val="24"/>
          <w:szCs w:val="24"/>
          <w:vertAlign w:val="superscript"/>
        </w:rPr>
        <w:t>3</w:t>
      </w:r>
      <w:r>
        <w:rPr>
          <w:color w:val="auto"/>
          <w:sz w:val="24"/>
          <w:szCs w:val="24"/>
        </w:rPr>
        <w:t>/d。</w:t>
      </w:r>
    </w:p>
    <w:p>
      <w:pPr>
        <w:adjustRightInd w:val="0"/>
        <w:snapToGrid w:val="0"/>
        <w:spacing w:line="360" w:lineRule="auto"/>
        <w:ind w:firstLine="480" w:firstLineChars="200"/>
        <w:rPr>
          <w:bCs/>
          <w:color w:val="auto"/>
          <w:sz w:val="24"/>
          <w:szCs w:val="24"/>
        </w:rPr>
      </w:pPr>
      <w:r>
        <w:rPr>
          <w:rFonts w:hint="eastAsia"/>
          <w:bCs/>
          <w:color w:val="auto"/>
          <w:sz w:val="24"/>
          <w:szCs w:val="24"/>
        </w:rPr>
        <w:t>经计算，以上中水回用环节的总水量为2734.82t/a，大于</w:t>
      </w:r>
      <w:r>
        <w:rPr>
          <w:rFonts w:hint="eastAsia"/>
          <w:color w:val="auto"/>
          <w:sz w:val="24"/>
          <w:szCs w:val="24"/>
        </w:rPr>
        <w:t>2477.43</w:t>
      </w:r>
      <w:r>
        <w:rPr>
          <w:rFonts w:hint="eastAsia"/>
          <w:bCs/>
          <w:color w:val="auto"/>
          <w:sz w:val="24"/>
          <w:szCs w:val="24"/>
        </w:rPr>
        <w:t>t/a（本项目中水回用水量）。因此，项目回用水量</w:t>
      </w:r>
      <w:r>
        <w:rPr>
          <w:rFonts w:hint="eastAsia"/>
          <w:color w:val="auto"/>
          <w:sz w:val="24"/>
          <w:szCs w:val="24"/>
        </w:rPr>
        <w:t>2477.43</w:t>
      </w:r>
      <w:r>
        <w:rPr>
          <w:rFonts w:hint="eastAsia"/>
          <w:bCs/>
          <w:color w:val="auto"/>
          <w:sz w:val="24"/>
          <w:szCs w:val="24"/>
        </w:rPr>
        <w:t>m</w:t>
      </w:r>
      <w:r>
        <w:rPr>
          <w:rFonts w:hint="eastAsia"/>
          <w:bCs/>
          <w:color w:val="auto"/>
          <w:sz w:val="24"/>
          <w:szCs w:val="24"/>
          <w:vertAlign w:val="superscript"/>
        </w:rPr>
        <w:t>3</w:t>
      </w:r>
      <w:r>
        <w:rPr>
          <w:rFonts w:hint="eastAsia"/>
          <w:bCs/>
          <w:color w:val="auto"/>
          <w:sz w:val="24"/>
          <w:szCs w:val="24"/>
        </w:rPr>
        <w:t>/d是可行的。</w:t>
      </w:r>
    </w:p>
    <w:p>
      <w:pPr>
        <w:adjustRightInd w:val="0"/>
        <w:snapToGrid w:val="0"/>
        <w:spacing w:line="360" w:lineRule="auto"/>
        <w:ind w:firstLine="482" w:firstLineChars="200"/>
        <w:rPr>
          <w:b/>
          <w:bCs/>
          <w:color w:val="auto"/>
          <w:sz w:val="24"/>
          <w:szCs w:val="24"/>
        </w:rPr>
      </w:pPr>
      <w:r>
        <w:rPr>
          <w:rFonts w:hint="eastAsia"/>
          <w:b/>
          <w:bCs/>
          <w:color w:val="auto"/>
          <w:sz w:val="24"/>
          <w:szCs w:val="24"/>
        </w:rPr>
        <w:t>2</w:t>
      </w:r>
      <w:r>
        <w:rPr>
          <w:b/>
          <w:bCs/>
          <w:color w:val="auto"/>
          <w:sz w:val="24"/>
          <w:szCs w:val="24"/>
        </w:rPr>
        <w:t>、回用水质分析</w:t>
      </w:r>
    </w:p>
    <w:p>
      <w:pPr>
        <w:adjustRightInd w:val="0"/>
        <w:snapToGrid w:val="0"/>
        <w:spacing w:line="360" w:lineRule="auto"/>
        <w:ind w:firstLine="480" w:firstLineChars="200"/>
        <w:rPr>
          <w:color w:val="auto"/>
          <w:sz w:val="24"/>
          <w:szCs w:val="24"/>
        </w:rPr>
      </w:pPr>
      <w:r>
        <w:rPr>
          <w:color w:val="auto"/>
          <w:sz w:val="24"/>
          <w:szCs w:val="24"/>
        </w:rPr>
        <w:t>本项目污水处理采用“曝气沉砂池+应急沉淀池+倒置AAO+曝气生物滤池+高效沉淀池+转盘滤池+消毒接触池”工艺，出水达到《地表水环境质量标准》（GB3838-2002）准</w:t>
      </w:r>
      <w:r>
        <w:rPr>
          <w:rFonts w:hint="eastAsia" w:ascii="宋体" w:hAnsi="宋体" w:cs="宋体"/>
          <w:color w:val="auto"/>
          <w:sz w:val="24"/>
          <w:szCs w:val="24"/>
        </w:rPr>
        <w:t>Ⅳ</w:t>
      </w:r>
      <w:r>
        <w:rPr>
          <w:color w:val="auto"/>
          <w:sz w:val="24"/>
          <w:szCs w:val="24"/>
        </w:rPr>
        <w:t>类标准（即SS、粪大肠菌群数达到《城镇污水处理厂污染物排放标准》（GB18918-2002）中的一级A出水标准，其它主要污染指标达到地表水</w:t>
      </w:r>
      <w:r>
        <w:rPr>
          <w:rFonts w:hint="eastAsia" w:ascii="宋体" w:hAnsi="宋体" w:cs="宋体"/>
          <w:color w:val="auto"/>
          <w:sz w:val="24"/>
          <w:szCs w:val="24"/>
        </w:rPr>
        <w:t>Ⅳ</w:t>
      </w:r>
      <w:r>
        <w:rPr>
          <w:color w:val="auto"/>
          <w:sz w:val="24"/>
          <w:szCs w:val="24"/>
        </w:rPr>
        <w:t>类标准，TN放宽至10mg/L），可以满足《城市污水再生利用 城市杂用水水质》（GB/T18920-2020）。</w:t>
      </w:r>
      <w:r>
        <w:rPr>
          <w:rFonts w:hint="eastAsia"/>
          <w:color w:val="auto"/>
          <w:sz w:val="24"/>
          <w:szCs w:val="24"/>
        </w:rPr>
        <w:t>因此，项目尾水回用于</w:t>
      </w:r>
      <w:r>
        <w:rPr>
          <w:color w:val="auto"/>
          <w:sz w:val="24"/>
          <w:szCs w:val="24"/>
        </w:rPr>
        <w:t>水质净化厂自用水</w:t>
      </w:r>
      <w:r>
        <w:rPr>
          <w:rFonts w:hint="eastAsia"/>
          <w:color w:val="auto"/>
          <w:sz w:val="24"/>
          <w:szCs w:val="24"/>
        </w:rPr>
        <w:t>、</w:t>
      </w:r>
      <w:r>
        <w:rPr>
          <w:color w:val="auto"/>
          <w:sz w:val="24"/>
          <w:szCs w:val="24"/>
        </w:rPr>
        <w:t>园区内绿化</w:t>
      </w:r>
      <w:r>
        <w:rPr>
          <w:rFonts w:hint="eastAsia"/>
          <w:color w:val="auto"/>
          <w:sz w:val="24"/>
          <w:szCs w:val="24"/>
        </w:rPr>
        <w:t>、冲厕、道路清扫是可行的。</w:t>
      </w:r>
    </w:p>
    <w:p>
      <w:pPr>
        <w:adjustRightInd w:val="0"/>
        <w:snapToGrid w:val="0"/>
        <w:spacing w:line="360" w:lineRule="auto"/>
        <w:ind w:firstLine="482" w:firstLineChars="200"/>
        <w:rPr>
          <w:b/>
          <w:bCs/>
          <w:color w:val="auto"/>
          <w:sz w:val="24"/>
          <w:szCs w:val="24"/>
        </w:rPr>
      </w:pPr>
      <w:r>
        <w:rPr>
          <w:rFonts w:hint="eastAsia"/>
          <w:b/>
          <w:bCs/>
          <w:color w:val="auto"/>
          <w:sz w:val="24"/>
          <w:szCs w:val="24"/>
        </w:rPr>
        <w:t>3、中水回用池布置合理性分析</w:t>
      </w:r>
    </w:p>
    <w:p>
      <w:pPr>
        <w:adjustRightInd w:val="0"/>
        <w:snapToGrid w:val="0"/>
        <w:spacing w:line="360" w:lineRule="auto"/>
        <w:ind w:firstLine="480" w:firstLineChars="200"/>
        <w:rPr>
          <w:color w:val="auto"/>
          <w:sz w:val="24"/>
          <w:szCs w:val="24"/>
        </w:rPr>
      </w:pPr>
      <w:r>
        <w:rPr>
          <w:rFonts w:hint="eastAsia"/>
          <w:color w:val="auto"/>
          <w:sz w:val="24"/>
          <w:szCs w:val="24"/>
        </w:rPr>
        <w:t>本项目布置有中水回用池2座，单池尺寸为16m×16m，池深1.6m。经</w:t>
      </w:r>
      <w:r>
        <w:rPr>
          <w:color w:val="auto"/>
          <w:sz w:val="24"/>
          <w:szCs w:val="24"/>
        </w:rPr>
        <w:t>处理达标</w:t>
      </w:r>
      <w:r>
        <w:rPr>
          <w:rFonts w:hint="eastAsia"/>
          <w:color w:val="auto"/>
          <w:sz w:val="24"/>
          <w:szCs w:val="24"/>
        </w:rPr>
        <w:t>的部分</w:t>
      </w:r>
      <w:r>
        <w:rPr>
          <w:color w:val="auto"/>
          <w:sz w:val="24"/>
          <w:szCs w:val="24"/>
        </w:rPr>
        <w:t>尾水</w:t>
      </w:r>
      <w:r>
        <w:rPr>
          <w:rFonts w:hint="eastAsia"/>
          <w:color w:val="auto"/>
          <w:sz w:val="24"/>
          <w:szCs w:val="24"/>
        </w:rPr>
        <w:t>经预埋管排入中水回用池，后经铺设于水质净化厂周边的回用水管网</w:t>
      </w:r>
      <w:r>
        <w:rPr>
          <w:color w:val="auto"/>
          <w:sz w:val="24"/>
          <w:szCs w:val="24"/>
        </w:rPr>
        <w:t>回用于园区内绿化</w:t>
      </w:r>
      <w:r>
        <w:rPr>
          <w:rFonts w:hint="eastAsia"/>
          <w:color w:val="auto"/>
          <w:sz w:val="24"/>
          <w:szCs w:val="24"/>
        </w:rPr>
        <w:t>、冲厕、道路清扫。经水平衡计算，</w:t>
      </w:r>
      <w:r>
        <w:rPr>
          <w:color w:val="auto"/>
          <w:sz w:val="24"/>
          <w:szCs w:val="24"/>
        </w:rPr>
        <w:t>园区内绿化</w:t>
      </w:r>
      <w:r>
        <w:rPr>
          <w:rFonts w:hint="eastAsia"/>
          <w:color w:val="auto"/>
          <w:sz w:val="24"/>
          <w:szCs w:val="24"/>
        </w:rPr>
        <w:t>、冲厕、道路清扫回用水量共计2390.01 m</w:t>
      </w:r>
      <w:r>
        <w:rPr>
          <w:rFonts w:hint="eastAsia"/>
          <w:color w:val="auto"/>
          <w:sz w:val="24"/>
          <w:szCs w:val="24"/>
          <w:vertAlign w:val="superscript"/>
        </w:rPr>
        <w:t>3</w:t>
      </w:r>
      <w:r>
        <w:rPr>
          <w:rFonts w:hint="eastAsia"/>
          <w:color w:val="auto"/>
          <w:sz w:val="24"/>
          <w:szCs w:val="24"/>
        </w:rPr>
        <w:t>/d。本项目布置的中水回用池容积共计819.2 m</w:t>
      </w:r>
      <w:r>
        <w:rPr>
          <w:rFonts w:hint="eastAsia"/>
          <w:color w:val="auto"/>
          <w:sz w:val="24"/>
          <w:szCs w:val="24"/>
          <w:vertAlign w:val="superscript"/>
        </w:rPr>
        <w:t>3</w:t>
      </w:r>
      <w:r>
        <w:rPr>
          <w:rFonts w:hint="eastAsia"/>
          <w:color w:val="auto"/>
          <w:sz w:val="24"/>
          <w:szCs w:val="24"/>
        </w:rPr>
        <w:t>/d，由于晴天时回用水停留时间较小，故该中水回用池主要储存雨天时的园区绿化用水和道路清扫用水，该部分</w:t>
      </w:r>
      <w:r>
        <w:rPr>
          <w:color w:val="auto"/>
          <w:sz w:val="24"/>
          <w:szCs w:val="24"/>
        </w:rPr>
        <w:t>用水量为</w:t>
      </w:r>
      <w:r>
        <w:rPr>
          <w:rFonts w:hint="eastAsia"/>
          <w:color w:val="auto"/>
          <w:sz w:val="24"/>
          <w:szCs w:val="24"/>
        </w:rPr>
        <w:t>702</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rPr>
        <w:t>，项目设置的中水回用池可完全容纳绿化用水和道路清扫用水。因此，本项目布置的中水回用池是合理的。</w:t>
      </w:r>
    </w:p>
    <w:p>
      <w:pPr>
        <w:adjustRightInd w:val="0"/>
        <w:snapToGrid w:val="0"/>
        <w:spacing w:line="360" w:lineRule="auto"/>
        <w:ind w:firstLine="480" w:firstLineChars="200"/>
        <w:rPr>
          <w:color w:val="auto"/>
          <w:sz w:val="24"/>
          <w:szCs w:val="24"/>
        </w:rPr>
      </w:pPr>
      <w:r>
        <w:rPr>
          <w:color w:val="auto"/>
          <w:sz w:val="24"/>
          <w:szCs w:val="24"/>
        </w:rPr>
        <w:t>综上所述，本项目处理达标的少量尾水经水泵提升后提供水质净化厂自用，部分排入</w:t>
      </w:r>
      <w:r>
        <w:rPr>
          <w:rFonts w:hint="eastAsia"/>
          <w:color w:val="auto"/>
          <w:sz w:val="24"/>
          <w:szCs w:val="24"/>
        </w:rPr>
        <w:t>中水回用池</w:t>
      </w:r>
      <w:r>
        <w:rPr>
          <w:color w:val="auto"/>
          <w:sz w:val="24"/>
          <w:szCs w:val="24"/>
        </w:rPr>
        <w:t>，回用于园区内绿化</w:t>
      </w:r>
      <w:r>
        <w:rPr>
          <w:rFonts w:hint="eastAsia"/>
          <w:color w:val="auto"/>
          <w:sz w:val="24"/>
          <w:szCs w:val="24"/>
        </w:rPr>
        <w:t>、冲厕、道路清扫</w:t>
      </w:r>
      <w:r>
        <w:rPr>
          <w:color w:val="auto"/>
          <w:sz w:val="24"/>
          <w:szCs w:val="24"/>
        </w:rPr>
        <w:t>，总回用水量为</w:t>
      </w:r>
      <w:r>
        <w:rPr>
          <w:rFonts w:hint="eastAsia"/>
          <w:color w:val="auto"/>
          <w:sz w:val="24"/>
          <w:szCs w:val="24"/>
        </w:rPr>
        <w:t>2477.43</w:t>
      </w:r>
      <w:r>
        <w:rPr>
          <w:color w:val="auto"/>
          <w:sz w:val="24"/>
          <w:szCs w:val="24"/>
        </w:rPr>
        <w:t>m</w:t>
      </w:r>
      <w:r>
        <w:rPr>
          <w:color w:val="auto"/>
          <w:sz w:val="24"/>
          <w:szCs w:val="24"/>
          <w:vertAlign w:val="superscript"/>
        </w:rPr>
        <w:t>3</w:t>
      </w:r>
      <w:r>
        <w:rPr>
          <w:color w:val="auto"/>
          <w:sz w:val="24"/>
          <w:szCs w:val="24"/>
        </w:rPr>
        <w:t>/d，是可行的。</w:t>
      </w:r>
    </w:p>
    <w:p>
      <w:pPr>
        <w:pStyle w:val="5"/>
        <w:rPr>
          <w:color w:val="auto"/>
        </w:rPr>
      </w:pPr>
      <w:r>
        <w:rPr>
          <w:rFonts w:hint="eastAsia"/>
          <w:color w:val="auto"/>
        </w:rPr>
        <w:t>6.2.1.3</w:t>
      </w:r>
      <w:r>
        <w:rPr>
          <w:color w:val="auto"/>
        </w:rPr>
        <w:t xml:space="preserve">安装在线监测系统 </w:t>
      </w:r>
    </w:p>
    <w:p>
      <w:pPr>
        <w:pStyle w:val="27"/>
        <w:spacing w:after="0" w:line="360" w:lineRule="auto"/>
        <w:ind w:firstLine="480" w:firstLineChars="200"/>
        <w:rPr>
          <w:color w:val="auto"/>
          <w:sz w:val="24"/>
          <w:szCs w:val="24"/>
        </w:rPr>
      </w:pPr>
      <w:r>
        <w:rPr>
          <w:color w:val="auto"/>
          <w:sz w:val="24"/>
          <w:szCs w:val="24"/>
        </w:rPr>
        <w:t>为确保本项目能正常运行，不发生事故排放或偷排，</w:t>
      </w:r>
      <w:r>
        <w:rPr>
          <w:rFonts w:hint="eastAsia"/>
          <w:color w:val="auto"/>
          <w:sz w:val="24"/>
          <w:szCs w:val="24"/>
        </w:rPr>
        <w:t>水质净化</w:t>
      </w:r>
      <w:r>
        <w:rPr>
          <w:color w:val="auto"/>
          <w:sz w:val="24"/>
          <w:szCs w:val="24"/>
        </w:rPr>
        <w:t>厂在</w:t>
      </w:r>
      <w:r>
        <w:rPr>
          <w:rFonts w:hint="eastAsia"/>
          <w:color w:val="auto"/>
          <w:sz w:val="24"/>
          <w:szCs w:val="24"/>
        </w:rPr>
        <w:t>进水总管</w:t>
      </w:r>
      <w:r>
        <w:rPr>
          <w:color w:val="auto"/>
          <w:sz w:val="24"/>
          <w:szCs w:val="24"/>
        </w:rPr>
        <w:t>、</w:t>
      </w:r>
      <w:r>
        <w:rPr>
          <w:rFonts w:hint="eastAsia"/>
          <w:color w:val="auto"/>
          <w:sz w:val="24"/>
          <w:szCs w:val="24"/>
        </w:rPr>
        <w:t>废水总排放口</w:t>
      </w:r>
      <w:r>
        <w:rPr>
          <w:color w:val="auto"/>
          <w:sz w:val="24"/>
          <w:szCs w:val="24"/>
        </w:rPr>
        <w:t>安装自动在线监控装置，并与环保部门监测网络联接，使</w:t>
      </w:r>
      <w:r>
        <w:rPr>
          <w:rFonts w:hint="eastAsia"/>
          <w:color w:val="auto"/>
          <w:sz w:val="24"/>
          <w:szCs w:val="24"/>
        </w:rPr>
        <w:t>水质净化</w:t>
      </w:r>
      <w:r>
        <w:rPr>
          <w:color w:val="auto"/>
          <w:sz w:val="24"/>
          <w:szCs w:val="24"/>
        </w:rPr>
        <w:t>厂的运营处在环保部门实时监管范围。</w:t>
      </w:r>
    </w:p>
    <w:p>
      <w:pPr>
        <w:pStyle w:val="4"/>
        <w:rPr>
          <w:color w:val="auto"/>
        </w:rPr>
      </w:pPr>
      <w:bookmarkStart w:id="160" w:name="_Toc26276877"/>
      <w:r>
        <w:rPr>
          <w:rFonts w:hint="eastAsia"/>
          <w:color w:val="auto"/>
        </w:rPr>
        <w:t>6.2.2 运营期废气治理措施</w:t>
      </w:r>
      <w:bookmarkEnd w:id="160"/>
    </w:p>
    <w:p>
      <w:pPr>
        <w:spacing w:line="360" w:lineRule="auto"/>
        <w:ind w:firstLine="480" w:firstLineChars="200"/>
        <w:rPr>
          <w:color w:val="auto"/>
          <w:sz w:val="24"/>
          <w:szCs w:val="24"/>
        </w:rPr>
      </w:pPr>
      <w:r>
        <w:rPr>
          <w:rFonts w:hint="eastAsia"/>
          <w:color w:val="auto"/>
          <w:sz w:val="24"/>
          <w:szCs w:val="24"/>
        </w:rPr>
        <w:t>本项目运营过程产生的废气主要为各污水处理环节产生的恶臭，根据有关研究及调查结果（郭静等，污水处理厂恶臭污染状况分析与评价，中国给排水，2002，18(2)，41-42），污水处理厂恶臭发生源主要是格栅井、曝气池、储泥池、污泥浓缩池处。针对臭气主要产生区域，项目拟在污水预处理单元及污泥脱水机房设置除臭装置，将污水处理系统排出的恶臭通过废气收集系统统一收集，并连接管道输送至恶臭处理系统。</w:t>
      </w:r>
    </w:p>
    <w:p>
      <w:pPr>
        <w:spacing w:line="360" w:lineRule="auto"/>
        <w:ind w:firstLine="480" w:firstLineChars="200"/>
        <w:rPr>
          <w:color w:val="auto"/>
          <w:sz w:val="24"/>
          <w:szCs w:val="24"/>
        </w:rPr>
      </w:pPr>
      <w:r>
        <w:rPr>
          <w:rFonts w:hint="eastAsia"/>
          <w:color w:val="auto"/>
          <w:sz w:val="24"/>
          <w:szCs w:val="24"/>
        </w:rPr>
        <w:t>本项目采用化学洗涤+生物滤池工艺进行除臭。除臭系统的工艺流程为：臭气收集→风管输送→化学滤池→生物滤池→达标排放。经化学洗涤+生物滤池除臭系统处理后的废气集中到15米高的废气排气筒排放。</w:t>
      </w:r>
    </w:p>
    <w:p>
      <w:pPr>
        <w:spacing w:line="360" w:lineRule="auto"/>
        <w:ind w:firstLine="480" w:firstLineChars="200"/>
        <w:rPr>
          <w:color w:val="auto"/>
          <w:sz w:val="24"/>
          <w:szCs w:val="24"/>
        </w:rPr>
      </w:pPr>
      <w:r>
        <w:rPr>
          <w:rFonts w:hint="eastAsia"/>
          <w:color w:val="auto"/>
          <w:sz w:val="24"/>
          <w:szCs w:val="24"/>
        </w:rPr>
        <w:t>化学洗涤法是利用臭气中的某些物质和药液产生中和反应的特性，利用呈碱性的苛性钠和次氯酸钠溶液，脱去臭气中硫化氢等酸性物质，利用盐酸等酸性溶液，去除臭气中的氨气等碱性物质。生物滤池法是将要处理的气体首先进行预湿，然后在敞开式滤池中，气体由下向上通过装满有机填料（肥料、果壳、树皮及其混合物）滤料床进行处理，臭气被吸收入填料床的表面和生物膜表面，附着在填料表面的微生物（主要是细菌、真菌等）氧化吸附/吸收的气体。参考同类项目（李亮, 赵忠富, 张明杰, et al. 猎德污水处理厂污泥系统除臭工程设计[J]. 给水排水(12):41-44.），化学洗涤+生物滤池工艺对H</w:t>
      </w:r>
      <w:r>
        <w:rPr>
          <w:rFonts w:hint="eastAsia"/>
          <w:color w:val="auto"/>
          <w:sz w:val="24"/>
          <w:szCs w:val="24"/>
          <w:vertAlign w:val="subscript"/>
        </w:rPr>
        <w:t>2</w:t>
      </w:r>
      <w:r>
        <w:rPr>
          <w:rFonts w:hint="eastAsia"/>
          <w:color w:val="auto"/>
          <w:sz w:val="24"/>
          <w:szCs w:val="24"/>
        </w:rPr>
        <w:t>S实测处理效率大于99%，对NH</w:t>
      </w:r>
      <w:r>
        <w:rPr>
          <w:rFonts w:hint="eastAsia"/>
          <w:color w:val="auto"/>
          <w:sz w:val="24"/>
          <w:szCs w:val="24"/>
          <w:vertAlign w:val="subscript"/>
        </w:rPr>
        <w:t>3</w:t>
      </w:r>
      <w:r>
        <w:rPr>
          <w:rFonts w:hint="eastAsia"/>
          <w:color w:val="auto"/>
          <w:sz w:val="24"/>
          <w:szCs w:val="24"/>
        </w:rPr>
        <w:t>实测处理效率大于90%。经上述措施处理后，项目臭气有组织排放可以达到《恶臭污染物排放标准》（GB 14554-93）表2排放标准限值。</w:t>
      </w:r>
    </w:p>
    <w:p>
      <w:pPr>
        <w:spacing w:line="360" w:lineRule="auto"/>
        <w:ind w:firstLine="480" w:firstLineChars="200"/>
        <w:rPr>
          <w:color w:val="auto"/>
          <w:sz w:val="24"/>
          <w:szCs w:val="24"/>
        </w:rPr>
      </w:pPr>
      <w:r>
        <w:rPr>
          <w:rFonts w:hint="eastAsia"/>
          <w:color w:val="auto"/>
          <w:sz w:val="24"/>
          <w:szCs w:val="24"/>
        </w:rPr>
        <w:t>针对无组织排放，本项目主要采取抑制产生、个人防护和减少向外扩散等措施进行恶臭防治。具体如下：</w:t>
      </w:r>
    </w:p>
    <w:p>
      <w:pPr>
        <w:spacing w:line="360" w:lineRule="auto"/>
        <w:ind w:firstLine="480" w:firstLineChars="200"/>
        <w:rPr>
          <w:color w:val="auto"/>
          <w:sz w:val="24"/>
          <w:szCs w:val="24"/>
        </w:rPr>
      </w:pPr>
      <w:r>
        <w:rPr>
          <w:rFonts w:hint="eastAsia"/>
          <w:color w:val="auto"/>
          <w:sz w:val="24"/>
          <w:szCs w:val="24"/>
        </w:rPr>
        <w:t>（1）加强厂区及厂界绿化。绿色植物具有一定的吸收有害气体，减轻恶臭异味的作用，本项目应加强绿化，绿化植物的选择也应考虑抗污力强，净化空气好的植物；此外，在厂区内应广种花草、果树，使厂区形成花园式布局。各季的果树花和花卉香味可以降低或减轻恶臭味在空气中的浓度（至少人的感觉会降低）而达到防护的目的。常见优势树种见下表。</w:t>
      </w:r>
    </w:p>
    <w:p>
      <w:pPr>
        <w:jc w:val="center"/>
        <w:rPr>
          <w:b/>
          <w:color w:val="auto"/>
          <w:sz w:val="24"/>
          <w:szCs w:val="24"/>
        </w:rPr>
      </w:pPr>
      <w:r>
        <w:rPr>
          <w:rFonts w:hint="eastAsia"/>
          <w:b/>
          <w:color w:val="auto"/>
          <w:sz w:val="24"/>
          <w:szCs w:val="24"/>
        </w:rPr>
        <w:t>表6-2-2   绿化树种的特性及保护环境功能</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3402"/>
        <w:gridCol w:w="3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b/>
                <w:color w:val="auto"/>
                <w:sz w:val="21"/>
                <w:szCs w:val="21"/>
              </w:rPr>
            </w:pPr>
            <w:r>
              <w:rPr>
                <w:rFonts w:hint="eastAsia"/>
                <w:b/>
                <w:color w:val="auto"/>
                <w:sz w:val="21"/>
                <w:szCs w:val="21"/>
              </w:rPr>
              <w:t>种类</w:t>
            </w:r>
          </w:p>
        </w:tc>
        <w:tc>
          <w:tcPr>
            <w:tcW w:w="3402" w:type="dxa"/>
          </w:tcPr>
          <w:p>
            <w:pPr>
              <w:jc w:val="center"/>
              <w:rPr>
                <w:b/>
                <w:color w:val="auto"/>
                <w:sz w:val="21"/>
                <w:szCs w:val="21"/>
              </w:rPr>
            </w:pPr>
            <w:r>
              <w:rPr>
                <w:rFonts w:hint="eastAsia"/>
                <w:b/>
                <w:color w:val="auto"/>
                <w:sz w:val="21"/>
                <w:szCs w:val="21"/>
              </w:rPr>
              <w:t>特性</w:t>
            </w:r>
          </w:p>
        </w:tc>
        <w:tc>
          <w:tcPr>
            <w:tcW w:w="3452" w:type="dxa"/>
          </w:tcPr>
          <w:p>
            <w:pPr>
              <w:jc w:val="center"/>
              <w:rPr>
                <w:b/>
                <w:color w:val="auto"/>
                <w:sz w:val="21"/>
                <w:szCs w:val="21"/>
              </w:rPr>
            </w:pPr>
            <w:r>
              <w:rPr>
                <w:rFonts w:hint="eastAsia"/>
                <w:b/>
                <w:color w:val="auto"/>
                <w:sz w:val="21"/>
                <w:szCs w:val="21"/>
              </w:rPr>
              <w:t>保护环境功能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color w:val="auto"/>
                <w:sz w:val="21"/>
                <w:szCs w:val="21"/>
              </w:rPr>
            </w:pPr>
            <w:r>
              <w:rPr>
                <w:rFonts w:hint="eastAsia"/>
                <w:color w:val="auto"/>
                <w:sz w:val="21"/>
                <w:szCs w:val="21"/>
              </w:rPr>
              <w:t>银杏</w:t>
            </w:r>
          </w:p>
        </w:tc>
        <w:tc>
          <w:tcPr>
            <w:tcW w:w="3402" w:type="dxa"/>
          </w:tcPr>
          <w:p>
            <w:pPr>
              <w:jc w:val="center"/>
              <w:rPr>
                <w:color w:val="auto"/>
                <w:sz w:val="21"/>
                <w:szCs w:val="21"/>
              </w:rPr>
            </w:pPr>
            <w:r>
              <w:rPr>
                <w:rFonts w:hint="eastAsia"/>
                <w:color w:val="auto"/>
                <w:sz w:val="21"/>
                <w:szCs w:val="21"/>
              </w:rPr>
              <w:t>耐寒、适应性强</w:t>
            </w:r>
          </w:p>
        </w:tc>
        <w:tc>
          <w:tcPr>
            <w:tcW w:w="3452" w:type="dxa"/>
          </w:tcPr>
          <w:p>
            <w:pPr>
              <w:jc w:val="center"/>
              <w:rPr>
                <w:color w:val="auto"/>
                <w:sz w:val="21"/>
                <w:szCs w:val="21"/>
              </w:rPr>
            </w:pPr>
            <w:r>
              <w:rPr>
                <w:rFonts w:hint="eastAsia"/>
                <w:color w:val="auto"/>
                <w:sz w:val="21"/>
                <w:szCs w:val="21"/>
              </w:rPr>
              <w:t>吸收有害气体、杀菌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color w:val="auto"/>
                <w:sz w:val="21"/>
                <w:szCs w:val="21"/>
              </w:rPr>
            </w:pPr>
            <w:r>
              <w:rPr>
                <w:rFonts w:hint="eastAsia"/>
                <w:color w:val="auto"/>
                <w:sz w:val="21"/>
                <w:szCs w:val="21"/>
              </w:rPr>
              <w:t>刺槐</w:t>
            </w:r>
          </w:p>
        </w:tc>
        <w:tc>
          <w:tcPr>
            <w:tcW w:w="3402" w:type="dxa"/>
          </w:tcPr>
          <w:p>
            <w:pPr>
              <w:jc w:val="center"/>
              <w:rPr>
                <w:color w:val="auto"/>
                <w:sz w:val="21"/>
                <w:szCs w:val="21"/>
              </w:rPr>
            </w:pPr>
            <w:r>
              <w:rPr>
                <w:rFonts w:hint="eastAsia"/>
                <w:color w:val="auto"/>
                <w:sz w:val="21"/>
                <w:szCs w:val="21"/>
              </w:rPr>
              <w:t>耐塞、抗旱、怕水湿</w:t>
            </w:r>
          </w:p>
        </w:tc>
        <w:tc>
          <w:tcPr>
            <w:tcW w:w="3452" w:type="dxa"/>
          </w:tcPr>
          <w:p>
            <w:pPr>
              <w:jc w:val="center"/>
              <w:rPr>
                <w:color w:val="auto"/>
                <w:sz w:val="21"/>
                <w:szCs w:val="21"/>
              </w:rPr>
            </w:pPr>
            <w:r>
              <w:rPr>
                <w:rFonts w:hint="eastAsia"/>
                <w:color w:val="auto"/>
                <w:sz w:val="21"/>
                <w:szCs w:val="21"/>
              </w:rPr>
              <w:t>抗污染，吸收有害气体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tcPr>
          <w:p>
            <w:pPr>
              <w:jc w:val="center"/>
              <w:rPr>
                <w:color w:val="auto"/>
                <w:sz w:val="21"/>
                <w:szCs w:val="21"/>
              </w:rPr>
            </w:pPr>
            <w:r>
              <w:rPr>
                <w:rFonts w:hint="eastAsia"/>
                <w:color w:val="auto"/>
                <w:sz w:val="21"/>
                <w:szCs w:val="21"/>
              </w:rPr>
              <w:t>泡桐</w:t>
            </w:r>
          </w:p>
        </w:tc>
        <w:tc>
          <w:tcPr>
            <w:tcW w:w="3402" w:type="dxa"/>
          </w:tcPr>
          <w:p>
            <w:pPr>
              <w:jc w:val="center"/>
              <w:rPr>
                <w:color w:val="auto"/>
                <w:sz w:val="21"/>
                <w:szCs w:val="21"/>
              </w:rPr>
            </w:pPr>
            <w:r>
              <w:rPr>
                <w:rFonts w:hint="eastAsia"/>
                <w:color w:val="auto"/>
                <w:sz w:val="21"/>
                <w:szCs w:val="21"/>
              </w:rPr>
              <w:t>耐旱、不耐水湿</w:t>
            </w:r>
          </w:p>
        </w:tc>
        <w:tc>
          <w:tcPr>
            <w:tcW w:w="3452" w:type="dxa"/>
          </w:tcPr>
          <w:p>
            <w:pPr>
              <w:jc w:val="center"/>
              <w:rPr>
                <w:color w:val="auto"/>
                <w:sz w:val="21"/>
                <w:szCs w:val="21"/>
              </w:rPr>
            </w:pPr>
            <w:r>
              <w:rPr>
                <w:rFonts w:hint="eastAsia"/>
                <w:color w:val="auto"/>
                <w:sz w:val="21"/>
                <w:szCs w:val="21"/>
              </w:rPr>
              <w:t>抗污染、吸收有害气体、防尘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color w:val="auto"/>
                <w:sz w:val="21"/>
                <w:szCs w:val="21"/>
              </w:rPr>
            </w:pPr>
            <w:r>
              <w:rPr>
                <w:rFonts w:hint="eastAsia"/>
                <w:color w:val="auto"/>
                <w:sz w:val="21"/>
                <w:szCs w:val="21"/>
              </w:rPr>
              <w:t>油松</w:t>
            </w:r>
          </w:p>
        </w:tc>
        <w:tc>
          <w:tcPr>
            <w:tcW w:w="3402" w:type="dxa"/>
          </w:tcPr>
          <w:p>
            <w:pPr>
              <w:jc w:val="center"/>
              <w:rPr>
                <w:color w:val="auto"/>
                <w:sz w:val="21"/>
                <w:szCs w:val="21"/>
              </w:rPr>
            </w:pPr>
            <w:r>
              <w:rPr>
                <w:rFonts w:hint="eastAsia"/>
                <w:color w:val="auto"/>
                <w:sz w:val="21"/>
                <w:szCs w:val="21"/>
              </w:rPr>
              <w:t>耐寒、耐旱、常绿</w:t>
            </w:r>
          </w:p>
        </w:tc>
        <w:tc>
          <w:tcPr>
            <w:tcW w:w="3452" w:type="dxa"/>
          </w:tcPr>
          <w:p>
            <w:pPr>
              <w:jc w:val="center"/>
              <w:rPr>
                <w:color w:val="auto"/>
                <w:sz w:val="21"/>
                <w:szCs w:val="21"/>
              </w:rPr>
            </w:pPr>
            <w:r>
              <w:rPr>
                <w:rFonts w:hint="eastAsia"/>
                <w:color w:val="auto"/>
                <w:sz w:val="21"/>
                <w:szCs w:val="21"/>
              </w:rPr>
              <w:t>防尘、防风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color w:val="auto"/>
                <w:sz w:val="21"/>
                <w:szCs w:val="21"/>
              </w:rPr>
            </w:pPr>
            <w:r>
              <w:rPr>
                <w:rFonts w:hint="eastAsia"/>
                <w:color w:val="auto"/>
                <w:sz w:val="21"/>
                <w:szCs w:val="21"/>
              </w:rPr>
              <w:t>槐树</w:t>
            </w:r>
          </w:p>
        </w:tc>
        <w:tc>
          <w:tcPr>
            <w:tcW w:w="3402" w:type="dxa"/>
          </w:tcPr>
          <w:p>
            <w:pPr>
              <w:jc w:val="center"/>
              <w:rPr>
                <w:color w:val="auto"/>
                <w:sz w:val="21"/>
                <w:szCs w:val="21"/>
              </w:rPr>
            </w:pPr>
            <w:r>
              <w:rPr>
                <w:rFonts w:hint="eastAsia"/>
                <w:color w:val="auto"/>
                <w:sz w:val="21"/>
                <w:szCs w:val="21"/>
              </w:rPr>
              <w:t>喜干冷气候</w:t>
            </w:r>
          </w:p>
        </w:tc>
        <w:tc>
          <w:tcPr>
            <w:tcW w:w="3452" w:type="dxa"/>
          </w:tcPr>
          <w:p>
            <w:pPr>
              <w:jc w:val="center"/>
              <w:rPr>
                <w:color w:val="auto"/>
                <w:sz w:val="21"/>
                <w:szCs w:val="21"/>
              </w:rPr>
            </w:pPr>
            <w:r>
              <w:rPr>
                <w:rFonts w:hint="eastAsia"/>
                <w:color w:val="auto"/>
                <w:sz w:val="21"/>
                <w:szCs w:val="21"/>
              </w:rPr>
              <w:t>抗污染、吸收有害气体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color w:val="auto"/>
                <w:sz w:val="21"/>
                <w:szCs w:val="21"/>
              </w:rPr>
            </w:pPr>
            <w:r>
              <w:rPr>
                <w:rFonts w:hint="eastAsia"/>
                <w:color w:val="auto"/>
                <w:sz w:val="21"/>
                <w:szCs w:val="21"/>
              </w:rPr>
              <w:t>旱柳</w:t>
            </w:r>
          </w:p>
        </w:tc>
        <w:tc>
          <w:tcPr>
            <w:tcW w:w="3402" w:type="dxa"/>
          </w:tcPr>
          <w:p>
            <w:pPr>
              <w:jc w:val="center"/>
              <w:rPr>
                <w:color w:val="auto"/>
                <w:sz w:val="21"/>
                <w:szCs w:val="21"/>
              </w:rPr>
            </w:pPr>
            <w:r>
              <w:rPr>
                <w:rFonts w:hint="eastAsia"/>
                <w:color w:val="auto"/>
                <w:sz w:val="21"/>
                <w:szCs w:val="21"/>
              </w:rPr>
              <w:t>耐旱、耐水湿</w:t>
            </w:r>
          </w:p>
        </w:tc>
        <w:tc>
          <w:tcPr>
            <w:tcW w:w="3452" w:type="dxa"/>
          </w:tcPr>
          <w:p>
            <w:pPr>
              <w:jc w:val="center"/>
              <w:rPr>
                <w:color w:val="auto"/>
                <w:sz w:val="21"/>
                <w:szCs w:val="21"/>
              </w:rPr>
            </w:pPr>
            <w:r>
              <w:rPr>
                <w:rFonts w:hint="eastAsia"/>
                <w:color w:val="auto"/>
                <w:sz w:val="21"/>
                <w:szCs w:val="21"/>
              </w:rPr>
              <w:t>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tcPr>
          <w:p>
            <w:pPr>
              <w:jc w:val="center"/>
              <w:rPr>
                <w:color w:val="auto"/>
                <w:sz w:val="21"/>
                <w:szCs w:val="21"/>
              </w:rPr>
            </w:pPr>
            <w:r>
              <w:rPr>
                <w:rFonts w:hint="eastAsia"/>
                <w:color w:val="auto"/>
                <w:sz w:val="21"/>
                <w:szCs w:val="21"/>
              </w:rPr>
              <w:t>垂柳</w:t>
            </w:r>
          </w:p>
        </w:tc>
        <w:tc>
          <w:tcPr>
            <w:tcW w:w="3402" w:type="dxa"/>
          </w:tcPr>
          <w:p>
            <w:pPr>
              <w:jc w:val="center"/>
              <w:rPr>
                <w:color w:val="auto"/>
                <w:sz w:val="21"/>
                <w:szCs w:val="21"/>
              </w:rPr>
            </w:pPr>
            <w:r>
              <w:rPr>
                <w:rFonts w:hint="eastAsia"/>
                <w:color w:val="auto"/>
                <w:sz w:val="21"/>
                <w:szCs w:val="21"/>
              </w:rPr>
              <w:t>耐水湿</w:t>
            </w:r>
          </w:p>
        </w:tc>
        <w:tc>
          <w:tcPr>
            <w:tcW w:w="3452" w:type="dxa"/>
          </w:tcPr>
          <w:p>
            <w:pPr>
              <w:jc w:val="center"/>
              <w:rPr>
                <w:color w:val="auto"/>
                <w:sz w:val="21"/>
                <w:szCs w:val="21"/>
              </w:rPr>
            </w:pPr>
            <w:r>
              <w:rPr>
                <w:rFonts w:hint="eastAsia"/>
                <w:color w:val="auto"/>
                <w:sz w:val="21"/>
                <w:szCs w:val="21"/>
              </w:rPr>
              <w:t>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jc w:val="center"/>
              <w:rPr>
                <w:color w:val="auto"/>
                <w:sz w:val="21"/>
                <w:szCs w:val="21"/>
              </w:rPr>
            </w:pPr>
            <w:r>
              <w:rPr>
                <w:rFonts w:hint="eastAsia"/>
                <w:color w:val="auto"/>
                <w:sz w:val="21"/>
                <w:szCs w:val="21"/>
              </w:rPr>
              <w:t>加杨</w:t>
            </w:r>
          </w:p>
        </w:tc>
        <w:tc>
          <w:tcPr>
            <w:tcW w:w="3402" w:type="dxa"/>
          </w:tcPr>
          <w:p>
            <w:pPr>
              <w:jc w:val="center"/>
              <w:rPr>
                <w:color w:val="auto"/>
                <w:sz w:val="21"/>
                <w:szCs w:val="21"/>
              </w:rPr>
            </w:pPr>
            <w:r>
              <w:rPr>
                <w:rFonts w:hint="eastAsia"/>
                <w:color w:val="auto"/>
                <w:sz w:val="21"/>
                <w:szCs w:val="21"/>
              </w:rPr>
              <w:t>耐涝</w:t>
            </w:r>
          </w:p>
        </w:tc>
        <w:tc>
          <w:tcPr>
            <w:tcW w:w="3452" w:type="dxa"/>
          </w:tcPr>
          <w:p>
            <w:pPr>
              <w:jc w:val="center"/>
              <w:rPr>
                <w:color w:val="auto"/>
                <w:sz w:val="21"/>
                <w:szCs w:val="21"/>
              </w:rPr>
            </w:pPr>
            <w:r>
              <w:rPr>
                <w:rFonts w:hint="eastAsia"/>
                <w:color w:val="auto"/>
                <w:sz w:val="21"/>
                <w:szCs w:val="21"/>
              </w:rPr>
              <w:t>吸收有害气体、防风</w:t>
            </w:r>
          </w:p>
        </w:tc>
      </w:tr>
    </w:tbl>
    <w:p>
      <w:pPr>
        <w:spacing w:line="360" w:lineRule="auto"/>
        <w:ind w:firstLine="480" w:firstLineChars="200"/>
        <w:jc w:val="left"/>
        <w:rPr>
          <w:color w:val="auto"/>
          <w:sz w:val="24"/>
          <w:szCs w:val="24"/>
        </w:rPr>
      </w:pPr>
      <w:r>
        <w:rPr>
          <w:rFonts w:hint="eastAsia"/>
          <w:color w:val="auto"/>
          <w:sz w:val="24"/>
          <w:szCs w:val="24"/>
        </w:rPr>
        <w:t>（2）污泥等固废日产日清。通过及时清运污泥的方式削减厂内恶臭源强度及数量。</w:t>
      </w:r>
    </w:p>
    <w:p>
      <w:pPr>
        <w:spacing w:line="360" w:lineRule="auto"/>
        <w:ind w:firstLine="480" w:firstLineChars="200"/>
        <w:jc w:val="left"/>
        <w:rPr>
          <w:color w:val="auto"/>
          <w:sz w:val="24"/>
          <w:szCs w:val="24"/>
        </w:rPr>
      </w:pPr>
      <w:r>
        <w:rPr>
          <w:rFonts w:hint="eastAsia"/>
          <w:color w:val="auto"/>
          <w:sz w:val="24"/>
          <w:szCs w:val="24"/>
        </w:rPr>
        <w:t>（3）加强个人劳动卫生保护。</w:t>
      </w:r>
    </w:p>
    <w:p>
      <w:pPr>
        <w:spacing w:line="360" w:lineRule="auto"/>
        <w:ind w:firstLine="480" w:firstLineChars="200"/>
        <w:jc w:val="left"/>
        <w:rPr>
          <w:color w:val="auto"/>
          <w:sz w:val="24"/>
          <w:szCs w:val="24"/>
        </w:rPr>
      </w:pPr>
      <w:r>
        <w:rPr>
          <w:rFonts w:hint="eastAsia"/>
          <w:color w:val="auto"/>
          <w:sz w:val="24"/>
          <w:szCs w:val="24"/>
        </w:rPr>
        <w:t>（4）重视作好消毒杀菌、灭蚊蝇等环境卫生工作。</w:t>
      </w:r>
    </w:p>
    <w:p>
      <w:pPr>
        <w:spacing w:line="360" w:lineRule="auto"/>
        <w:ind w:firstLine="480" w:firstLineChars="200"/>
        <w:jc w:val="left"/>
        <w:rPr>
          <w:color w:val="auto"/>
          <w:sz w:val="24"/>
          <w:szCs w:val="24"/>
        </w:rPr>
      </w:pPr>
      <w:r>
        <w:rPr>
          <w:rFonts w:hint="eastAsia"/>
          <w:color w:val="auto"/>
          <w:sz w:val="24"/>
          <w:szCs w:val="24"/>
        </w:rPr>
        <w:t>综上分析，本项目恶臭防治措施具有较好的可行性和可靠性，项目通过对以上措施的落实，可最大限度的减轻项目废气无组织排放对周围环境造成的影响，措施可行。</w:t>
      </w:r>
    </w:p>
    <w:p>
      <w:pPr>
        <w:pStyle w:val="4"/>
        <w:rPr>
          <w:color w:val="auto"/>
        </w:rPr>
      </w:pPr>
      <w:bookmarkStart w:id="161" w:name="_Toc26276878"/>
      <w:r>
        <w:rPr>
          <w:rFonts w:hint="eastAsia"/>
          <w:color w:val="auto"/>
        </w:rPr>
        <w:t>6.2.3运营期噪声治理措施</w:t>
      </w:r>
      <w:bookmarkEnd w:id="161"/>
    </w:p>
    <w:p>
      <w:pPr>
        <w:spacing w:line="360" w:lineRule="auto"/>
        <w:ind w:firstLine="480" w:firstLineChars="200"/>
        <w:jc w:val="left"/>
        <w:rPr>
          <w:color w:val="auto"/>
          <w:sz w:val="24"/>
          <w:szCs w:val="24"/>
        </w:rPr>
      </w:pPr>
      <w:r>
        <w:rPr>
          <w:rFonts w:hint="eastAsia"/>
          <w:color w:val="auto"/>
          <w:sz w:val="24"/>
          <w:szCs w:val="24"/>
        </w:rPr>
        <w:t>项目营运期主要噪声源为厂内各类污水提升泵、鼓风机、污泥脱水机等设备，主要采取从源头以及传播途径上对噪声进行控制的措施，拟采取以下措施降低噪声影响：</w:t>
      </w:r>
    </w:p>
    <w:p>
      <w:pPr>
        <w:spacing w:line="360" w:lineRule="auto"/>
        <w:ind w:firstLine="480" w:firstLineChars="200"/>
        <w:jc w:val="left"/>
        <w:rPr>
          <w:color w:val="auto"/>
          <w:sz w:val="24"/>
          <w:szCs w:val="24"/>
        </w:rPr>
      </w:pPr>
      <w:r>
        <w:rPr>
          <w:rFonts w:hint="eastAsia"/>
          <w:color w:val="auto"/>
          <w:sz w:val="24"/>
          <w:szCs w:val="24"/>
        </w:rPr>
        <w:t>（1）尽量选用低噪声设备；</w:t>
      </w:r>
    </w:p>
    <w:p>
      <w:pPr>
        <w:spacing w:line="360" w:lineRule="auto"/>
        <w:ind w:firstLine="480" w:firstLineChars="200"/>
        <w:jc w:val="left"/>
        <w:rPr>
          <w:color w:val="auto"/>
          <w:sz w:val="24"/>
          <w:szCs w:val="24"/>
        </w:rPr>
      </w:pPr>
      <w:r>
        <w:rPr>
          <w:rFonts w:hint="eastAsia"/>
          <w:color w:val="auto"/>
          <w:sz w:val="24"/>
          <w:szCs w:val="24"/>
        </w:rPr>
        <w:t>（2）鼓风机等高噪声设备安装消声器，操作人员应做好个人防护噪声措施；</w:t>
      </w:r>
    </w:p>
    <w:p>
      <w:pPr>
        <w:spacing w:line="360" w:lineRule="auto"/>
        <w:ind w:firstLine="480" w:firstLineChars="200"/>
        <w:jc w:val="left"/>
        <w:rPr>
          <w:color w:val="auto"/>
          <w:sz w:val="24"/>
          <w:szCs w:val="24"/>
        </w:rPr>
      </w:pPr>
      <w:r>
        <w:rPr>
          <w:rFonts w:hint="eastAsia"/>
          <w:color w:val="auto"/>
          <w:sz w:val="24"/>
          <w:szCs w:val="24"/>
        </w:rPr>
        <w:t>（3）加强机械、车辆和设备的保养维修，保持正常运行、正常运转，降低噪声；</w:t>
      </w:r>
    </w:p>
    <w:p>
      <w:pPr>
        <w:spacing w:line="360" w:lineRule="auto"/>
        <w:ind w:firstLine="480" w:firstLineChars="200"/>
        <w:jc w:val="left"/>
        <w:rPr>
          <w:color w:val="auto"/>
          <w:sz w:val="24"/>
          <w:szCs w:val="24"/>
        </w:rPr>
      </w:pPr>
      <w:r>
        <w:rPr>
          <w:rFonts w:hint="eastAsia"/>
          <w:color w:val="auto"/>
          <w:sz w:val="24"/>
          <w:szCs w:val="24"/>
        </w:rPr>
        <w:t>（4）高噪声设备设置于室内，通过厂房隔声及合理布局等减少噪声传播。</w:t>
      </w:r>
    </w:p>
    <w:p>
      <w:pPr>
        <w:spacing w:line="360" w:lineRule="auto"/>
        <w:ind w:firstLine="480" w:firstLineChars="200"/>
        <w:jc w:val="left"/>
        <w:rPr>
          <w:color w:val="auto"/>
          <w:sz w:val="24"/>
          <w:szCs w:val="24"/>
        </w:rPr>
      </w:pPr>
      <w:r>
        <w:rPr>
          <w:rFonts w:hint="eastAsia"/>
          <w:color w:val="auto"/>
          <w:sz w:val="24"/>
          <w:szCs w:val="24"/>
        </w:rPr>
        <w:t>（5）项目大部分水泵、机械等为潜水作业，通过水体阻隔后对周边环境基本无影响，同时对水泵采用基础减震，可有效减少噪声的产生。</w:t>
      </w:r>
    </w:p>
    <w:p>
      <w:pPr>
        <w:spacing w:line="360" w:lineRule="auto"/>
        <w:ind w:firstLine="480" w:firstLineChars="200"/>
        <w:jc w:val="left"/>
        <w:rPr>
          <w:color w:val="auto"/>
          <w:sz w:val="24"/>
          <w:szCs w:val="24"/>
        </w:rPr>
      </w:pPr>
      <w:r>
        <w:rPr>
          <w:rFonts w:hint="eastAsia"/>
          <w:color w:val="auto"/>
          <w:sz w:val="24"/>
          <w:szCs w:val="24"/>
        </w:rPr>
        <w:t>综上所述，本项目噪声处理措施从技术经济论证角度来说是可行的。</w:t>
      </w:r>
    </w:p>
    <w:p>
      <w:pPr>
        <w:pStyle w:val="4"/>
        <w:rPr>
          <w:color w:val="auto"/>
        </w:rPr>
      </w:pPr>
      <w:bookmarkStart w:id="162" w:name="_Toc26276879"/>
      <w:r>
        <w:rPr>
          <w:rFonts w:hint="eastAsia"/>
          <w:color w:val="auto"/>
        </w:rPr>
        <w:t>6.2.4运营期固体废物治理措施</w:t>
      </w:r>
      <w:bookmarkEnd w:id="162"/>
    </w:p>
    <w:p>
      <w:pPr>
        <w:spacing w:line="360" w:lineRule="auto"/>
        <w:ind w:firstLine="480" w:firstLineChars="200"/>
        <w:jc w:val="left"/>
        <w:rPr>
          <w:color w:val="auto"/>
          <w:sz w:val="24"/>
          <w:szCs w:val="24"/>
        </w:rPr>
      </w:pPr>
      <w:r>
        <w:rPr>
          <w:rFonts w:hint="eastAsia"/>
          <w:color w:val="auto"/>
          <w:sz w:val="24"/>
          <w:szCs w:val="24"/>
        </w:rPr>
        <w:t>本项目营运期产生的固体废弃物主要为粗/细格栅拦截的栅渣、剩余污泥、深度处理污泥、生活垃圾、废化学试剂。</w:t>
      </w:r>
    </w:p>
    <w:p>
      <w:pPr>
        <w:pStyle w:val="5"/>
        <w:rPr>
          <w:color w:val="auto"/>
        </w:rPr>
      </w:pPr>
      <w:r>
        <w:rPr>
          <w:rFonts w:hint="eastAsia"/>
          <w:color w:val="auto"/>
        </w:rPr>
        <w:t>6.2.4.1生活垃圾治理措施</w:t>
      </w:r>
      <w:r>
        <w:rPr>
          <w:color w:val="auto"/>
        </w:rPr>
        <w:t xml:space="preserve"> </w:t>
      </w:r>
    </w:p>
    <w:p>
      <w:pPr>
        <w:spacing w:line="360" w:lineRule="auto"/>
        <w:ind w:firstLine="480" w:firstLineChars="200"/>
        <w:jc w:val="left"/>
        <w:rPr>
          <w:color w:val="auto"/>
          <w:sz w:val="24"/>
          <w:szCs w:val="24"/>
        </w:rPr>
      </w:pPr>
      <w:r>
        <w:rPr>
          <w:rFonts w:hint="eastAsia"/>
          <w:color w:val="auto"/>
          <w:sz w:val="24"/>
          <w:szCs w:val="24"/>
        </w:rPr>
        <w:t>本项目办公区设有垃圾桶，生活垃圾定点收集，定期清运至就近垃圾暂存点，由环卫部门统一清运。</w:t>
      </w:r>
    </w:p>
    <w:p>
      <w:pPr>
        <w:pStyle w:val="5"/>
        <w:rPr>
          <w:color w:val="auto"/>
        </w:rPr>
      </w:pPr>
      <w:r>
        <w:rPr>
          <w:rFonts w:hint="eastAsia"/>
          <w:color w:val="auto"/>
        </w:rPr>
        <w:t>6.2.4.1栅渣治理措施</w:t>
      </w:r>
      <w:r>
        <w:rPr>
          <w:color w:val="auto"/>
        </w:rPr>
        <w:t xml:space="preserve"> </w:t>
      </w:r>
    </w:p>
    <w:p>
      <w:pPr>
        <w:spacing w:line="360" w:lineRule="auto"/>
        <w:ind w:firstLine="480" w:firstLineChars="200"/>
        <w:jc w:val="left"/>
        <w:rPr>
          <w:color w:val="auto"/>
          <w:sz w:val="24"/>
          <w:szCs w:val="24"/>
        </w:rPr>
      </w:pPr>
      <w:r>
        <w:rPr>
          <w:rFonts w:hint="eastAsia"/>
          <w:color w:val="auto"/>
          <w:sz w:val="24"/>
          <w:szCs w:val="24"/>
        </w:rPr>
        <w:t>栅渣主要包括较大块状物、枝状物、软性物质和软塑料等粗/细垃圾和悬浮或飘浮状态的杂物，</w:t>
      </w:r>
      <w:r>
        <w:rPr>
          <w:rFonts w:hint="eastAsia"/>
          <w:color w:val="auto"/>
          <w:kern w:val="0"/>
          <w:sz w:val="24"/>
          <w:szCs w:val="24"/>
        </w:rPr>
        <w:t>本项目接纳的废水不属于含重金属污水，污染因子主要为COD</w:t>
      </w:r>
      <w:r>
        <w:rPr>
          <w:rFonts w:hint="eastAsia"/>
          <w:color w:val="auto"/>
          <w:kern w:val="0"/>
          <w:sz w:val="24"/>
          <w:szCs w:val="24"/>
          <w:vertAlign w:val="subscript"/>
        </w:rPr>
        <w:t>Cr</w:t>
      </w:r>
      <w:r>
        <w:rPr>
          <w:rFonts w:hint="eastAsia"/>
          <w:color w:val="auto"/>
          <w:kern w:val="0"/>
          <w:sz w:val="24"/>
          <w:szCs w:val="24"/>
        </w:rPr>
        <w:t>、BOD</w:t>
      </w:r>
      <w:r>
        <w:rPr>
          <w:rFonts w:hint="eastAsia"/>
          <w:color w:val="auto"/>
          <w:kern w:val="0"/>
          <w:sz w:val="24"/>
          <w:szCs w:val="24"/>
          <w:vertAlign w:val="subscript"/>
        </w:rPr>
        <w:t>5</w:t>
      </w:r>
      <w:r>
        <w:rPr>
          <w:rFonts w:hint="eastAsia"/>
          <w:color w:val="auto"/>
          <w:kern w:val="0"/>
          <w:sz w:val="24"/>
          <w:szCs w:val="24"/>
        </w:rPr>
        <w:t>、SS和氨氮，废水成分较为简单，</w:t>
      </w:r>
      <w:r>
        <w:rPr>
          <w:rFonts w:hint="eastAsia"/>
          <w:color w:val="auto"/>
          <w:sz w:val="24"/>
          <w:szCs w:val="24"/>
        </w:rPr>
        <w:t>因此格栅池产生的栅渣为一般固体废物，经压榨打包后使用渣斗储存，交由环卫部门处理。</w:t>
      </w:r>
    </w:p>
    <w:p>
      <w:pPr>
        <w:pStyle w:val="5"/>
        <w:rPr>
          <w:color w:val="auto"/>
        </w:rPr>
      </w:pPr>
      <w:r>
        <w:rPr>
          <w:rFonts w:hint="eastAsia"/>
          <w:color w:val="auto"/>
        </w:rPr>
        <w:t>6.2.4.3污泥治理措施</w:t>
      </w:r>
      <w:r>
        <w:rPr>
          <w:color w:val="auto"/>
        </w:rPr>
        <w:t xml:space="preserve"> </w:t>
      </w:r>
    </w:p>
    <w:p>
      <w:pPr>
        <w:spacing w:line="360" w:lineRule="auto"/>
        <w:ind w:firstLine="480" w:firstLineChars="200"/>
        <w:jc w:val="left"/>
        <w:rPr>
          <w:color w:val="auto"/>
          <w:sz w:val="24"/>
          <w:szCs w:val="24"/>
        </w:rPr>
      </w:pPr>
      <w:r>
        <w:rPr>
          <w:rFonts w:hint="eastAsia"/>
          <w:color w:val="auto"/>
          <w:sz w:val="24"/>
          <w:szCs w:val="24"/>
        </w:rPr>
        <w:t>水质净化厂产生的污泥一般含水率较高，堆放不当时渗出的污水会污染周围环境，同时散发的臭味会对大气环境造成影响。为减少污泥造成的二次污染，建议在污泥贮存和运输过程中采取如下措施：</w:t>
      </w:r>
    </w:p>
    <w:p>
      <w:pPr>
        <w:spacing w:line="360" w:lineRule="auto"/>
        <w:ind w:firstLine="482" w:firstLineChars="200"/>
        <w:jc w:val="left"/>
        <w:rPr>
          <w:b/>
          <w:bCs/>
          <w:color w:val="auto"/>
          <w:sz w:val="24"/>
          <w:szCs w:val="24"/>
        </w:rPr>
      </w:pPr>
      <w:r>
        <w:rPr>
          <w:rFonts w:hint="eastAsia"/>
          <w:b/>
          <w:bCs/>
          <w:color w:val="auto"/>
          <w:sz w:val="24"/>
          <w:szCs w:val="24"/>
        </w:rPr>
        <w:t>1、污泥贮存</w:t>
      </w:r>
    </w:p>
    <w:p>
      <w:pPr>
        <w:spacing w:line="360" w:lineRule="auto"/>
        <w:ind w:firstLine="480" w:firstLineChars="200"/>
        <w:jc w:val="left"/>
        <w:rPr>
          <w:color w:val="auto"/>
          <w:sz w:val="24"/>
          <w:szCs w:val="24"/>
        </w:rPr>
      </w:pPr>
      <w:r>
        <w:rPr>
          <w:rFonts w:hint="eastAsia"/>
          <w:color w:val="auto"/>
          <w:sz w:val="24"/>
          <w:szCs w:val="24"/>
        </w:rPr>
        <w:t>（1）污泥贮存过程中应避免发生雨淋、遗洒、泄漏、渗漏；</w:t>
      </w:r>
    </w:p>
    <w:p>
      <w:pPr>
        <w:spacing w:line="360" w:lineRule="auto"/>
        <w:ind w:firstLine="480" w:firstLineChars="200"/>
        <w:jc w:val="left"/>
        <w:rPr>
          <w:color w:val="auto"/>
          <w:sz w:val="24"/>
          <w:szCs w:val="24"/>
        </w:rPr>
      </w:pPr>
      <w:r>
        <w:rPr>
          <w:rFonts w:hint="eastAsia"/>
          <w:color w:val="auto"/>
          <w:sz w:val="24"/>
          <w:szCs w:val="24"/>
        </w:rPr>
        <w:t>（2）严禁将污泥向有关部门划定的污泥临时中转站或最终处置场所以外的地面水体、沿岸、洼地、河滩等任何区域排放、堆置；</w:t>
      </w:r>
    </w:p>
    <w:p>
      <w:pPr>
        <w:spacing w:line="360" w:lineRule="auto"/>
        <w:ind w:firstLine="480" w:firstLineChars="200"/>
        <w:jc w:val="left"/>
        <w:rPr>
          <w:color w:val="auto"/>
          <w:sz w:val="24"/>
          <w:szCs w:val="24"/>
        </w:rPr>
      </w:pPr>
      <w:r>
        <w:rPr>
          <w:rFonts w:hint="eastAsia"/>
          <w:color w:val="auto"/>
          <w:sz w:val="24"/>
          <w:szCs w:val="24"/>
        </w:rPr>
        <w:t>（3）污泥中转或临时贮存场地应作硬化处理，应采取措施防止因污泥和渗滤液渗漏、溢流而污染周围环境及当地地下水，避免臭气对周边大气环境造成影响；</w:t>
      </w:r>
    </w:p>
    <w:p>
      <w:pPr>
        <w:spacing w:line="360" w:lineRule="auto"/>
        <w:ind w:firstLine="480" w:firstLineChars="200"/>
        <w:jc w:val="left"/>
        <w:rPr>
          <w:color w:val="auto"/>
          <w:sz w:val="24"/>
          <w:szCs w:val="24"/>
        </w:rPr>
      </w:pPr>
      <w:r>
        <w:rPr>
          <w:rFonts w:hint="eastAsia"/>
          <w:color w:val="auto"/>
          <w:sz w:val="24"/>
          <w:szCs w:val="24"/>
        </w:rPr>
        <w:t>（4）堆放时滤出的污水应收集到污水处理系统进行处理。</w:t>
      </w:r>
    </w:p>
    <w:p>
      <w:pPr>
        <w:spacing w:line="360" w:lineRule="auto"/>
        <w:ind w:firstLine="482" w:firstLineChars="200"/>
        <w:jc w:val="left"/>
        <w:rPr>
          <w:b/>
          <w:bCs/>
          <w:color w:val="auto"/>
          <w:sz w:val="24"/>
          <w:szCs w:val="24"/>
        </w:rPr>
      </w:pPr>
      <w:r>
        <w:rPr>
          <w:rFonts w:hint="eastAsia"/>
          <w:b/>
          <w:bCs/>
          <w:color w:val="auto"/>
          <w:sz w:val="24"/>
          <w:szCs w:val="24"/>
        </w:rPr>
        <w:t>2、污泥运输</w:t>
      </w:r>
    </w:p>
    <w:p>
      <w:pPr>
        <w:spacing w:line="360" w:lineRule="auto"/>
        <w:ind w:firstLine="480" w:firstLineChars="200"/>
        <w:jc w:val="left"/>
        <w:rPr>
          <w:color w:val="auto"/>
          <w:sz w:val="24"/>
          <w:szCs w:val="24"/>
        </w:rPr>
      </w:pPr>
      <w:r>
        <w:rPr>
          <w:rFonts w:hint="eastAsia"/>
          <w:color w:val="auto"/>
          <w:sz w:val="24"/>
          <w:szCs w:val="24"/>
        </w:rPr>
        <w:t>（1）污泥运输可以采用机械及管道连续输送或采用密闭车辆进行运输；</w:t>
      </w:r>
    </w:p>
    <w:p>
      <w:pPr>
        <w:spacing w:line="360" w:lineRule="auto"/>
        <w:ind w:firstLine="480" w:firstLineChars="200"/>
        <w:jc w:val="left"/>
        <w:rPr>
          <w:color w:val="auto"/>
          <w:sz w:val="24"/>
          <w:szCs w:val="24"/>
        </w:rPr>
      </w:pPr>
      <w:r>
        <w:rPr>
          <w:rFonts w:hint="eastAsia"/>
          <w:color w:val="auto"/>
          <w:sz w:val="24"/>
          <w:szCs w:val="24"/>
        </w:rPr>
        <w:t>（2）污泥运输车辆应密封、防水、不渗漏，四周槽帮牢固可靠、无破损、挡板严密、在驶出装载现场前，应将车辆槽帮和车轮洗干净，不得带泥行驶，不得沿途泄露，运输时发现自身有泄露的，应及时清扫干净；</w:t>
      </w:r>
    </w:p>
    <w:p>
      <w:pPr>
        <w:spacing w:line="360" w:lineRule="auto"/>
        <w:ind w:firstLine="480" w:firstLineChars="200"/>
        <w:jc w:val="left"/>
        <w:rPr>
          <w:color w:val="auto"/>
          <w:sz w:val="24"/>
          <w:szCs w:val="24"/>
        </w:rPr>
      </w:pPr>
      <w:r>
        <w:rPr>
          <w:rFonts w:hint="eastAsia"/>
          <w:color w:val="auto"/>
          <w:sz w:val="24"/>
          <w:szCs w:val="24"/>
        </w:rPr>
        <w:t>（3）运输车辆应当按照相关市政管理行政部门依法批准的运输路线、时间、装卸地点运输和卸倒。运输污泥应尽量避开上下班高峰期。在离居民住宅较近的地点运输污泥时，应尽量避开早晨、中午时间，要安排足够数量的污泥运输车辆进行运输。尽可能避开居民聚集点、水源保护区、名胜古迹、风景旅游区等环境敏感区；</w:t>
      </w:r>
    </w:p>
    <w:p>
      <w:pPr>
        <w:spacing w:line="360" w:lineRule="auto"/>
        <w:ind w:firstLine="480" w:firstLineChars="200"/>
        <w:jc w:val="left"/>
        <w:rPr>
          <w:color w:val="auto"/>
          <w:sz w:val="24"/>
          <w:szCs w:val="24"/>
        </w:rPr>
      </w:pPr>
      <w:r>
        <w:rPr>
          <w:rFonts w:hint="eastAsia"/>
          <w:color w:val="auto"/>
          <w:sz w:val="24"/>
          <w:szCs w:val="24"/>
        </w:rPr>
        <w:t xml:space="preserve">（4）运输过程中未经许可严禁将污泥在厂外进行中转存放或堆放，严禁将污泥向环境中倾倒、丢弃、遗洒。污泥运输过程中不得进行中间装卸操作。 </w:t>
      </w:r>
    </w:p>
    <w:p>
      <w:pPr>
        <w:spacing w:line="360" w:lineRule="auto"/>
        <w:ind w:firstLine="482" w:firstLineChars="200"/>
        <w:jc w:val="left"/>
        <w:rPr>
          <w:b/>
          <w:bCs/>
          <w:color w:val="auto"/>
          <w:sz w:val="24"/>
          <w:szCs w:val="24"/>
        </w:rPr>
      </w:pPr>
      <w:r>
        <w:rPr>
          <w:rFonts w:hint="eastAsia"/>
          <w:b/>
          <w:bCs/>
          <w:color w:val="auto"/>
          <w:sz w:val="24"/>
          <w:szCs w:val="24"/>
        </w:rPr>
        <w:t>3、污泥最终处置及其可行性分析</w:t>
      </w:r>
    </w:p>
    <w:p>
      <w:pPr>
        <w:spacing w:line="360" w:lineRule="auto"/>
        <w:ind w:firstLine="480" w:firstLineChars="200"/>
        <w:jc w:val="left"/>
        <w:rPr>
          <w:color w:val="auto"/>
          <w:sz w:val="24"/>
          <w:szCs w:val="24"/>
        </w:rPr>
      </w:pPr>
      <w:r>
        <w:rPr>
          <w:rFonts w:hint="eastAsia"/>
          <w:color w:val="auto"/>
          <w:sz w:val="24"/>
          <w:szCs w:val="24"/>
        </w:rPr>
        <w:t>根据环境保护部《关于污（废）水处理设施产生污泥危险特性鉴别有关意见的函》（环函[2010]129号），本项目所产生的污泥可能具有危险特性，应按《国家危险废物名录（2021年版）》、《危险废物鉴别技术规范》（HJ298-2019）和危险废物鉴别标准GB5085和GB5086 及GB／T15555 鉴别方法对污泥进行危险特性鉴别，以确定最终处置去向，若属于危险废物，应与有资质单位签定处置协议，进行无害化处置；若属于一般固废，则根据鉴定结果优先进行综合利用，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p>
      <w:pPr>
        <w:spacing w:line="360" w:lineRule="auto"/>
        <w:ind w:firstLine="480" w:firstLineChars="200"/>
        <w:jc w:val="left"/>
        <w:rPr>
          <w:color w:val="auto"/>
          <w:sz w:val="24"/>
          <w:szCs w:val="24"/>
        </w:rPr>
      </w:pPr>
      <w:r>
        <w:rPr>
          <w:rFonts w:hint="eastAsia"/>
          <w:color w:val="auto"/>
          <w:sz w:val="24"/>
          <w:szCs w:val="24"/>
        </w:rPr>
        <w:t>（1）卫生填埋去向（梅州市五华县周江镇兰鱼村生活垃圾处理场）分析</w:t>
      </w:r>
    </w:p>
    <w:p>
      <w:pPr>
        <w:spacing w:line="360" w:lineRule="auto"/>
        <w:ind w:firstLine="480" w:firstLineChars="200"/>
        <w:jc w:val="left"/>
        <w:rPr>
          <w:color w:val="auto"/>
          <w:sz w:val="24"/>
          <w:szCs w:val="24"/>
        </w:rPr>
      </w:pPr>
      <w:r>
        <w:rPr>
          <w:rFonts w:hint="eastAsia"/>
          <w:color w:val="auto"/>
          <w:sz w:val="24"/>
          <w:szCs w:val="24"/>
        </w:rPr>
        <w:t>经咨询梅州市生态环境局五华分局，目前五华县城生活垃圾卫生填埋场将于2021年进入封场期，五华县近2年取得环评批复的仅有梅州市五华县周江镇兰鱼村生活垃圾处理场。</w:t>
      </w:r>
    </w:p>
    <w:p>
      <w:pPr>
        <w:spacing w:line="360" w:lineRule="auto"/>
        <w:ind w:firstLine="480" w:firstLineChars="200"/>
        <w:jc w:val="left"/>
        <w:rPr>
          <w:color w:val="auto"/>
          <w:sz w:val="24"/>
          <w:szCs w:val="24"/>
        </w:rPr>
      </w:pPr>
      <w:r>
        <w:rPr>
          <w:rFonts w:hint="eastAsia"/>
          <w:color w:val="auto"/>
          <w:sz w:val="24"/>
          <w:szCs w:val="24"/>
        </w:rPr>
        <w:t>根据《梅州市五华县周江镇兰鱼村生活垃圾处理场升级改造项目环境影响报告书（报批稿）》（2019年）及《梅州市生态环境局关于梅州市五华县周江镇兰鱼村生活垃圾处理场升级改造项目环境影响报告书的批复》（梅市环审﹝2019﹞18号），梅州市五华县周江镇兰鱼村生活垃圾处理场位于梅州市五华县周江镇兰鱼村，其占地面积 98718m</w:t>
      </w:r>
      <w:r>
        <w:rPr>
          <w:rFonts w:hint="eastAsia"/>
          <w:color w:val="auto"/>
          <w:sz w:val="24"/>
          <w:szCs w:val="24"/>
          <w:vertAlign w:val="superscript"/>
        </w:rPr>
        <w:t>2</w:t>
      </w:r>
      <w:r>
        <w:rPr>
          <w:rFonts w:hint="eastAsia"/>
          <w:color w:val="auto"/>
          <w:sz w:val="24"/>
          <w:szCs w:val="24"/>
        </w:rPr>
        <w:t>，填埋区面积约 70710m</w:t>
      </w:r>
      <w:r>
        <w:rPr>
          <w:rFonts w:hint="eastAsia"/>
          <w:color w:val="auto"/>
          <w:sz w:val="24"/>
          <w:szCs w:val="24"/>
          <w:vertAlign w:val="superscript"/>
        </w:rPr>
        <w:t>2</w:t>
      </w:r>
      <w:r>
        <w:rPr>
          <w:rFonts w:hint="eastAsia"/>
          <w:color w:val="auto"/>
          <w:sz w:val="24"/>
          <w:szCs w:val="24"/>
        </w:rPr>
        <w:t>，分为东、西两个子填埋区，两个分区之间用分区挡坝隔开，总库容约150万m</w:t>
      </w:r>
      <w:r>
        <w:rPr>
          <w:rFonts w:hint="eastAsia"/>
          <w:color w:val="auto"/>
          <w:sz w:val="24"/>
          <w:szCs w:val="24"/>
          <w:vertAlign w:val="superscript"/>
        </w:rPr>
        <w:t>3</w:t>
      </w:r>
      <w:r>
        <w:rPr>
          <w:rFonts w:hint="eastAsia"/>
          <w:color w:val="auto"/>
          <w:sz w:val="24"/>
          <w:szCs w:val="24"/>
        </w:rPr>
        <w:t xml:space="preserve">，日均处理生活垃圾约800t/d，升级改造后服务年限4年，服务期为2020年~2023年。主要处理周江镇及周边乡镇的生活垃圾，并处理超过五华县县城生活垃圾无害化处理场设计处理能力之外的生活垃圾，以及五华县垃圾焚烧发电厂建成前、五华县县城生活垃圾处理场满容后县域产生的生活垃圾。 </w:t>
      </w:r>
    </w:p>
    <w:p>
      <w:pPr>
        <w:spacing w:line="360" w:lineRule="auto"/>
        <w:ind w:firstLine="480" w:firstLineChars="200"/>
        <w:jc w:val="left"/>
        <w:rPr>
          <w:color w:val="auto"/>
          <w:sz w:val="24"/>
          <w:szCs w:val="24"/>
        </w:rPr>
      </w:pPr>
      <w:r>
        <w:rPr>
          <w:rFonts w:hint="eastAsia"/>
          <w:color w:val="auto"/>
          <w:sz w:val="24"/>
          <w:szCs w:val="24"/>
        </w:rPr>
        <w:t>根据《梅州市五华县周江镇兰鱼村生活垃圾处理场升级改造项目环境影响报告书（报批稿）》（2019年），对进场垃圾要求如下：</w:t>
      </w:r>
    </w:p>
    <w:p>
      <w:pPr>
        <w:spacing w:line="360" w:lineRule="auto"/>
        <w:ind w:firstLine="480" w:firstLineChars="200"/>
        <w:jc w:val="left"/>
        <w:rPr>
          <w:color w:val="auto"/>
          <w:sz w:val="24"/>
          <w:szCs w:val="24"/>
        </w:rPr>
      </w:pPr>
      <w:r>
        <w:rPr>
          <w:rFonts w:hint="eastAsia"/>
          <w:color w:val="auto"/>
          <w:sz w:val="24"/>
          <w:szCs w:val="24"/>
        </w:rPr>
        <w:t xml:space="preserve">“进场垃圾需满足《生活垃圾填埋场污染控制标准》（GB16889-2008）中表 3 特别排放限值的要求，具体如下： </w:t>
      </w:r>
    </w:p>
    <w:p>
      <w:pPr>
        <w:spacing w:line="360" w:lineRule="auto"/>
        <w:ind w:firstLine="480" w:firstLineChars="200"/>
        <w:jc w:val="left"/>
        <w:rPr>
          <w:color w:val="auto"/>
          <w:sz w:val="24"/>
          <w:szCs w:val="24"/>
        </w:rPr>
      </w:pPr>
      <w:r>
        <w:rPr>
          <w:rFonts w:hint="eastAsia"/>
          <w:color w:val="auto"/>
          <w:sz w:val="24"/>
          <w:szCs w:val="24"/>
        </w:rPr>
        <w:t xml:space="preserve">①下列废物可以直接进入生活垃圾填埋场填埋处置： </w:t>
      </w:r>
    </w:p>
    <w:p>
      <w:pPr>
        <w:spacing w:line="360" w:lineRule="auto"/>
        <w:ind w:firstLine="480" w:firstLineChars="200"/>
        <w:jc w:val="left"/>
        <w:rPr>
          <w:color w:val="auto"/>
          <w:sz w:val="24"/>
          <w:szCs w:val="24"/>
        </w:rPr>
      </w:pPr>
      <w:r>
        <w:rPr>
          <w:rFonts w:hint="eastAsia"/>
          <w:color w:val="auto"/>
          <w:sz w:val="24"/>
          <w:szCs w:val="24"/>
        </w:rPr>
        <w:t xml:space="preserve">由环境卫生机构收集或者自行收集的混合生活垃圾，以及企事业单位产生的办公废物； </w:t>
      </w:r>
    </w:p>
    <w:p>
      <w:pPr>
        <w:spacing w:line="360" w:lineRule="auto"/>
        <w:ind w:firstLine="480" w:firstLineChars="200"/>
        <w:jc w:val="left"/>
        <w:rPr>
          <w:color w:val="auto"/>
          <w:sz w:val="24"/>
          <w:szCs w:val="24"/>
        </w:rPr>
      </w:pPr>
      <w:r>
        <w:rPr>
          <w:rFonts w:hint="eastAsia"/>
          <w:color w:val="auto"/>
          <w:sz w:val="24"/>
          <w:szCs w:val="24"/>
        </w:rPr>
        <w:t xml:space="preserve">生活垃圾堆肥处理产生的固态残余物； </w:t>
      </w:r>
    </w:p>
    <w:p>
      <w:pPr>
        <w:spacing w:line="360" w:lineRule="auto"/>
        <w:ind w:firstLine="480" w:firstLineChars="200"/>
        <w:jc w:val="left"/>
        <w:rPr>
          <w:color w:val="auto"/>
          <w:sz w:val="24"/>
          <w:szCs w:val="24"/>
        </w:rPr>
      </w:pPr>
      <w:r>
        <w:rPr>
          <w:rFonts w:hint="eastAsia"/>
          <w:color w:val="auto"/>
          <w:sz w:val="24"/>
          <w:szCs w:val="24"/>
        </w:rPr>
        <w:t xml:space="preserve">服装加工、食品加工以及其它城市生活服务行业产生的性质与生活垃圾相近的一般工业固体废物。 </w:t>
      </w:r>
    </w:p>
    <w:p>
      <w:pPr>
        <w:spacing w:line="360" w:lineRule="auto"/>
        <w:ind w:firstLine="480" w:firstLineChars="200"/>
        <w:jc w:val="left"/>
        <w:rPr>
          <w:color w:val="auto"/>
          <w:sz w:val="24"/>
          <w:szCs w:val="24"/>
        </w:rPr>
      </w:pPr>
      <w:r>
        <w:rPr>
          <w:rFonts w:hint="eastAsia"/>
          <w:color w:val="auto"/>
          <w:sz w:val="24"/>
          <w:szCs w:val="24"/>
        </w:rPr>
        <w:t xml:space="preserve">②一般工业固体废物经处理后，按照 HJ/T300-2007 制备的浸出液中危害成分浓度低于规定的限值，可以进入生活垃圾填埋场填埋处置。 </w:t>
      </w:r>
    </w:p>
    <w:p>
      <w:pPr>
        <w:spacing w:line="360" w:lineRule="auto"/>
        <w:ind w:firstLine="480" w:firstLineChars="200"/>
        <w:jc w:val="left"/>
        <w:rPr>
          <w:color w:val="auto"/>
          <w:sz w:val="24"/>
          <w:szCs w:val="24"/>
        </w:rPr>
      </w:pPr>
      <w:r>
        <w:rPr>
          <w:rFonts w:hint="eastAsia"/>
          <w:color w:val="auto"/>
          <w:sz w:val="24"/>
          <w:szCs w:val="24"/>
        </w:rPr>
        <w:t xml:space="preserve">③厌氧产沼等生物处理后的固态残余物、粪便经处理后的固态残余物和生活污水处理站污泥经处理后含水率小于 60%，可以进入生活垃圾填埋场填埋处置。 </w:t>
      </w:r>
    </w:p>
    <w:p>
      <w:pPr>
        <w:spacing w:line="360" w:lineRule="auto"/>
        <w:ind w:firstLine="480" w:firstLineChars="200"/>
        <w:jc w:val="left"/>
        <w:rPr>
          <w:color w:val="auto"/>
          <w:sz w:val="24"/>
          <w:szCs w:val="24"/>
        </w:rPr>
      </w:pPr>
      <w:r>
        <w:rPr>
          <w:rFonts w:hint="eastAsia"/>
          <w:color w:val="auto"/>
          <w:sz w:val="24"/>
          <w:szCs w:val="24"/>
        </w:rPr>
        <w:t xml:space="preserve">下列废物不得在本生活垃圾填埋场中填埋处置。 </w:t>
      </w:r>
    </w:p>
    <w:p>
      <w:pPr>
        <w:spacing w:line="360" w:lineRule="auto"/>
        <w:ind w:firstLine="480" w:firstLineChars="200"/>
        <w:jc w:val="left"/>
        <w:rPr>
          <w:color w:val="auto"/>
          <w:sz w:val="24"/>
          <w:szCs w:val="24"/>
        </w:rPr>
      </w:pPr>
      <w:r>
        <w:rPr>
          <w:rFonts w:hint="eastAsia"/>
          <w:color w:val="auto"/>
          <w:sz w:val="24"/>
          <w:szCs w:val="24"/>
        </w:rPr>
        <w:t xml:space="preserve">除符合规定的生活垃圾焚烧飞灰以外的危险废物； </w:t>
      </w:r>
    </w:p>
    <w:p>
      <w:pPr>
        <w:spacing w:line="360" w:lineRule="auto"/>
        <w:ind w:firstLine="480" w:firstLineChars="200"/>
        <w:jc w:val="left"/>
        <w:rPr>
          <w:color w:val="auto"/>
          <w:sz w:val="24"/>
          <w:szCs w:val="24"/>
        </w:rPr>
      </w:pPr>
      <w:r>
        <w:rPr>
          <w:rFonts w:hint="eastAsia"/>
          <w:color w:val="auto"/>
          <w:sz w:val="24"/>
          <w:szCs w:val="24"/>
        </w:rPr>
        <w:t xml:space="preserve">未经处理的餐饮废物； </w:t>
      </w:r>
    </w:p>
    <w:p>
      <w:pPr>
        <w:spacing w:line="360" w:lineRule="auto"/>
        <w:ind w:firstLine="480" w:firstLineChars="200"/>
        <w:jc w:val="left"/>
        <w:rPr>
          <w:color w:val="auto"/>
          <w:sz w:val="24"/>
          <w:szCs w:val="24"/>
        </w:rPr>
      </w:pPr>
      <w:r>
        <w:rPr>
          <w:rFonts w:hint="eastAsia"/>
          <w:color w:val="auto"/>
          <w:sz w:val="24"/>
          <w:szCs w:val="24"/>
        </w:rPr>
        <w:t xml:space="preserve">未经处理的粪便； </w:t>
      </w:r>
    </w:p>
    <w:p>
      <w:pPr>
        <w:spacing w:line="360" w:lineRule="auto"/>
        <w:ind w:firstLine="480" w:firstLineChars="200"/>
        <w:jc w:val="left"/>
        <w:rPr>
          <w:color w:val="auto"/>
          <w:sz w:val="24"/>
          <w:szCs w:val="24"/>
        </w:rPr>
      </w:pPr>
      <w:r>
        <w:rPr>
          <w:rFonts w:hint="eastAsia"/>
          <w:color w:val="auto"/>
          <w:sz w:val="24"/>
          <w:szCs w:val="24"/>
        </w:rPr>
        <w:t xml:space="preserve">禽畜养殖废物； </w:t>
      </w:r>
    </w:p>
    <w:p>
      <w:pPr>
        <w:spacing w:line="360" w:lineRule="auto"/>
        <w:ind w:firstLine="480" w:firstLineChars="200"/>
        <w:jc w:val="left"/>
        <w:rPr>
          <w:color w:val="auto"/>
          <w:sz w:val="24"/>
          <w:szCs w:val="24"/>
        </w:rPr>
      </w:pPr>
      <w:r>
        <w:rPr>
          <w:rFonts w:hint="eastAsia"/>
          <w:color w:val="auto"/>
          <w:sz w:val="24"/>
          <w:szCs w:val="24"/>
        </w:rPr>
        <w:t xml:space="preserve">电子废物及其处理处置残余物； </w:t>
      </w:r>
    </w:p>
    <w:p>
      <w:pPr>
        <w:spacing w:line="360" w:lineRule="auto"/>
        <w:ind w:firstLine="480" w:firstLineChars="200"/>
        <w:jc w:val="left"/>
        <w:rPr>
          <w:color w:val="auto"/>
          <w:sz w:val="24"/>
          <w:szCs w:val="24"/>
        </w:rPr>
      </w:pPr>
      <w:r>
        <w:rPr>
          <w:rFonts w:hint="eastAsia"/>
          <w:color w:val="auto"/>
          <w:sz w:val="24"/>
          <w:szCs w:val="24"/>
        </w:rPr>
        <w:t>除本填埋场产生的渗滤液之外的任何液态废物和废水。 ”</w:t>
      </w:r>
    </w:p>
    <w:p>
      <w:pPr>
        <w:spacing w:line="360" w:lineRule="auto"/>
        <w:ind w:firstLine="480" w:firstLineChars="200"/>
        <w:jc w:val="left"/>
        <w:rPr>
          <w:color w:val="auto"/>
          <w:sz w:val="24"/>
          <w:szCs w:val="24"/>
        </w:rPr>
      </w:pPr>
      <w:r>
        <w:rPr>
          <w:rFonts w:hint="eastAsia"/>
          <w:color w:val="auto"/>
          <w:sz w:val="24"/>
          <w:szCs w:val="24"/>
        </w:rPr>
        <w:t>本项目污泥经危险废物毒性鉴别后，若属于一般固体废物，且按照J/T300-2007 制备的浸出液中危害成分浓度低于规定的限值，则可直接进入梅州市五华县周江镇兰鱼村生活垃圾处理场；若不满足规定的限值，应处理达到规定的限值后方可进入梅州市五华县周江镇兰鱼村生活垃圾处理场。</w:t>
      </w:r>
    </w:p>
    <w:p>
      <w:pPr>
        <w:spacing w:line="360" w:lineRule="auto"/>
        <w:ind w:firstLine="480" w:firstLineChars="200"/>
        <w:jc w:val="left"/>
        <w:rPr>
          <w:color w:val="auto"/>
          <w:sz w:val="24"/>
          <w:szCs w:val="24"/>
        </w:rPr>
      </w:pPr>
      <w:r>
        <w:rPr>
          <w:rFonts w:hint="eastAsia"/>
          <w:color w:val="auto"/>
          <w:sz w:val="24"/>
          <w:szCs w:val="24"/>
        </w:rPr>
        <w:t>梅州市五华县周江镇兰鱼村生活垃圾处理场计划于2021年5月完工并投入使用，而本项目拟计划于2022年6月底投入运行，比该填埋场计划投入使用时间晚13个月，因此本项目污泥在满足其入场条件的前提下委托梅州市五华县周江镇兰鱼村生活垃圾处理场填埋处置是可行的。</w:t>
      </w:r>
    </w:p>
    <w:p>
      <w:pPr>
        <w:spacing w:line="360" w:lineRule="auto"/>
        <w:ind w:firstLine="480" w:firstLineChars="200"/>
        <w:jc w:val="left"/>
        <w:rPr>
          <w:color w:val="auto"/>
          <w:sz w:val="24"/>
          <w:szCs w:val="24"/>
        </w:rPr>
      </w:pPr>
      <w:r>
        <w:rPr>
          <w:rFonts w:hint="eastAsia"/>
          <w:color w:val="auto"/>
          <w:sz w:val="24"/>
          <w:szCs w:val="24"/>
        </w:rPr>
        <w:t>（2）综合利用去向（梅州市污泥处理处置中心）分析</w:t>
      </w:r>
    </w:p>
    <w:p>
      <w:pPr>
        <w:spacing w:line="360" w:lineRule="auto"/>
        <w:ind w:firstLine="480" w:firstLineChars="200"/>
        <w:jc w:val="left"/>
        <w:rPr>
          <w:color w:val="auto"/>
          <w:sz w:val="24"/>
          <w:szCs w:val="24"/>
        </w:rPr>
      </w:pPr>
      <w:r>
        <w:rPr>
          <w:rFonts w:hint="eastAsia"/>
          <w:color w:val="auto"/>
          <w:sz w:val="24"/>
          <w:szCs w:val="24"/>
        </w:rPr>
        <w:t>梅州市污泥处理处置中心位于广东省梅州市顺丰县埔寨镇半岭村，接收梅州市、揭阳、潮州、汕头等市城镇污水处理厂产生的污泥，并以页岩粘土、粉煤灰作为辅料生产环保烧结砖，于2016年2月18日取得《梅州市环保局关于梅州市污泥处理处置中心项目环境影响报告书的审批意见》（梅市环审[2016]14号），批准的日处理污泥约500吨。目前，项目仅于2017年10月进行了环保验收，即《梅州市污泥处理处置中心首期日处理100吨污泥项目竣工环境保护验收监测报告》，本项目污泥产生量为1.963t/d，占梅州市污泥处理处置中心污泥日处理污泥量（首期日处理量100吨，已通过竣工环境保护验收）较小，因此，在本项目污泥满足《城镇污水处理厂污泥处置制砖用泥质》（GB/T25031-2010）的要求的情况下，委托梅州市污泥综合处理处置中心进行综合利用制作环保烧结砖是可行的。</w:t>
      </w:r>
    </w:p>
    <w:p>
      <w:pPr>
        <w:pStyle w:val="5"/>
        <w:rPr>
          <w:color w:val="auto"/>
        </w:rPr>
      </w:pPr>
      <w:r>
        <w:rPr>
          <w:rFonts w:hint="eastAsia"/>
          <w:color w:val="auto"/>
        </w:rPr>
        <w:t>6.2.4.4危险废物污染防治措施</w:t>
      </w:r>
      <w:r>
        <w:rPr>
          <w:color w:val="auto"/>
        </w:rPr>
        <w:t xml:space="preserve"> </w:t>
      </w:r>
    </w:p>
    <w:p>
      <w:pPr>
        <w:spacing w:line="360" w:lineRule="auto"/>
        <w:ind w:firstLine="480" w:firstLineChars="200"/>
        <w:jc w:val="left"/>
        <w:rPr>
          <w:color w:val="auto"/>
          <w:sz w:val="24"/>
          <w:szCs w:val="24"/>
        </w:rPr>
      </w:pPr>
      <w:r>
        <w:rPr>
          <w:rFonts w:hint="eastAsia"/>
          <w:color w:val="auto"/>
          <w:sz w:val="24"/>
          <w:szCs w:val="24"/>
        </w:rPr>
        <w:t>本项目产生的废化学试剂属于危险废物，此外，污泥经脱水后经危险特性鉴别，也可能属于危险废物。项目危险废物收集、处置及运输情况见下：</w:t>
      </w:r>
    </w:p>
    <w:p>
      <w:pPr>
        <w:spacing w:line="360" w:lineRule="auto"/>
        <w:ind w:firstLine="482" w:firstLineChars="200"/>
        <w:rPr>
          <w:color w:val="auto"/>
          <w:sz w:val="24"/>
          <w:szCs w:val="24"/>
        </w:rPr>
      </w:pPr>
      <w:r>
        <w:rPr>
          <w:rFonts w:hint="eastAsia"/>
          <w:b/>
          <w:bCs/>
          <w:color w:val="auto"/>
          <w:sz w:val="24"/>
          <w:szCs w:val="24"/>
        </w:rPr>
        <w:t>1、危险废物的收集和贮存</w:t>
      </w:r>
    </w:p>
    <w:p>
      <w:pPr>
        <w:spacing w:line="360" w:lineRule="auto"/>
        <w:ind w:firstLine="480" w:firstLineChars="200"/>
        <w:rPr>
          <w:color w:val="auto"/>
          <w:sz w:val="24"/>
          <w:szCs w:val="24"/>
        </w:rPr>
      </w:pPr>
      <w:r>
        <w:rPr>
          <w:rFonts w:hint="eastAsia"/>
          <w:color w:val="auto"/>
          <w:sz w:val="24"/>
          <w:szCs w:val="24"/>
        </w:rPr>
        <w:t>（1）危险废物贮存场所设置防雨、防火、防雷、防扬尘装置。</w:t>
      </w:r>
    </w:p>
    <w:p>
      <w:pPr>
        <w:spacing w:line="360" w:lineRule="auto"/>
        <w:ind w:firstLine="480" w:firstLineChars="200"/>
        <w:rPr>
          <w:color w:val="auto"/>
          <w:sz w:val="24"/>
          <w:szCs w:val="24"/>
        </w:rPr>
      </w:pPr>
      <w:r>
        <w:rPr>
          <w:rFonts w:hint="eastAsia"/>
          <w:color w:val="auto"/>
          <w:sz w:val="24"/>
          <w:szCs w:val="24"/>
        </w:rPr>
        <w:t>（2）危废暂存间地面先用三合土铺底，夯实后在上层铺10</w:t>
      </w:r>
      <w:r>
        <w:rPr>
          <w:rFonts w:hint="eastAsia"/>
          <w:color w:val="auto"/>
          <w:sz w:val="24"/>
          <w:szCs w:val="24"/>
          <w:vertAlign w:val="superscript"/>
        </w:rPr>
        <w:t>-15</w:t>
      </w:r>
      <w:r>
        <w:rPr>
          <w:rFonts w:hint="eastAsia"/>
          <w:color w:val="auto"/>
          <w:sz w:val="24"/>
          <w:szCs w:val="24"/>
        </w:rPr>
        <w:t>cm 的防渗水泥硬化，并铺环氧树脂防渗，等效黏土防渗层 Mb≥6.0m，K≤1×10</w:t>
      </w:r>
      <w:r>
        <w:rPr>
          <w:rFonts w:hint="eastAsia"/>
          <w:color w:val="auto"/>
          <w:sz w:val="24"/>
          <w:szCs w:val="24"/>
          <w:vertAlign w:val="superscript"/>
        </w:rPr>
        <w:t>-7</w:t>
      </w:r>
      <w:r>
        <w:rPr>
          <w:rFonts w:hint="eastAsia"/>
          <w:color w:val="auto"/>
          <w:sz w:val="24"/>
          <w:szCs w:val="24"/>
        </w:rPr>
        <w:t>cm/s；或参考GB18598 执行。房间四周壁及裙角铺设土工膜，再用水泥硬化，并与地面防渗层连成整体。</w:t>
      </w:r>
    </w:p>
    <w:p>
      <w:pPr>
        <w:spacing w:line="360" w:lineRule="auto"/>
        <w:ind w:firstLine="480" w:firstLineChars="200"/>
        <w:rPr>
          <w:color w:val="auto"/>
          <w:sz w:val="24"/>
          <w:szCs w:val="24"/>
        </w:rPr>
      </w:pPr>
      <w:r>
        <w:rPr>
          <w:rFonts w:hint="eastAsia"/>
          <w:color w:val="auto"/>
          <w:sz w:val="24"/>
          <w:szCs w:val="24"/>
        </w:rPr>
        <w:t>（3）危废暂存间内设置分区，将不同的危险废物分开贮存，每个贮存区域之间设置挡墙间隔。</w:t>
      </w:r>
    </w:p>
    <w:p>
      <w:pPr>
        <w:spacing w:line="360" w:lineRule="auto"/>
        <w:ind w:firstLine="480" w:firstLineChars="200"/>
        <w:rPr>
          <w:color w:val="auto"/>
          <w:sz w:val="24"/>
          <w:szCs w:val="24"/>
        </w:rPr>
      </w:pPr>
      <w:r>
        <w:rPr>
          <w:rFonts w:hint="eastAsia"/>
          <w:color w:val="auto"/>
          <w:sz w:val="24"/>
          <w:szCs w:val="24"/>
        </w:rPr>
        <w:t>（4）在危险废物储存间外设危险废物警示标志，暂存间内及盛装危险废物的容器上设置危险废物标签，写明危险废物种类和危害，由专人管理。危废警示标志及标签如下图所示：</w:t>
      </w:r>
    </w:p>
    <w:p>
      <w:pPr>
        <w:spacing w:line="360" w:lineRule="auto"/>
        <w:jc w:val="center"/>
        <w:rPr>
          <w:color w:val="auto"/>
          <w:sz w:val="24"/>
          <w:szCs w:val="24"/>
        </w:rPr>
      </w:pPr>
      <w:r>
        <w:rPr>
          <w:color w:val="auto"/>
          <w:sz w:val="24"/>
          <w:szCs w:val="24"/>
        </w:rPr>
        <w:drawing>
          <wp:inline distT="0" distB="0" distL="0" distR="0">
            <wp:extent cx="5248910" cy="2277110"/>
            <wp:effectExtent l="0" t="0" r="8890" b="8890"/>
            <wp:docPr id="3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5"/>
                    <pic:cNvPicPr>
                      <a:picLocks noChangeAspect="1" noChangeArrowheads="1"/>
                    </pic:cNvPicPr>
                  </pic:nvPicPr>
                  <pic:blipFill>
                    <a:blip r:embed="rId77" cstate="print"/>
                    <a:srcRect/>
                    <a:stretch>
                      <a:fillRect/>
                    </a:stretch>
                  </pic:blipFill>
                  <pic:spPr>
                    <a:xfrm>
                      <a:off x="0" y="0"/>
                      <a:ext cx="5248910" cy="2277110"/>
                    </a:xfrm>
                    <a:prstGeom prst="rect">
                      <a:avLst/>
                    </a:prstGeom>
                    <a:noFill/>
                    <a:ln w="9525">
                      <a:noFill/>
                      <a:miter lim="800000"/>
                      <a:headEnd/>
                      <a:tailEnd/>
                    </a:ln>
                  </pic:spPr>
                </pic:pic>
              </a:graphicData>
            </a:graphic>
          </wp:inline>
        </w:drawing>
      </w:r>
    </w:p>
    <w:p>
      <w:pPr>
        <w:spacing w:line="360" w:lineRule="auto"/>
        <w:jc w:val="center"/>
        <w:rPr>
          <w:color w:val="auto"/>
          <w:sz w:val="24"/>
          <w:szCs w:val="24"/>
        </w:rPr>
      </w:pPr>
      <w:r>
        <w:rPr>
          <w:color w:val="auto"/>
          <w:sz w:val="24"/>
          <w:szCs w:val="24"/>
        </w:rPr>
        <w:drawing>
          <wp:inline distT="0" distB="0" distL="0" distR="0">
            <wp:extent cx="5219700" cy="4288790"/>
            <wp:effectExtent l="0" t="0" r="7620" b="8890"/>
            <wp:docPr id="3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8"/>
                    <pic:cNvPicPr>
                      <a:picLocks noChangeAspect="1" noChangeArrowheads="1"/>
                    </pic:cNvPicPr>
                  </pic:nvPicPr>
                  <pic:blipFill>
                    <a:blip r:embed="rId78" cstate="print"/>
                    <a:srcRect/>
                    <a:stretch>
                      <a:fillRect/>
                    </a:stretch>
                  </pic:blipFill>
                  <pic:spPr>
                    <a:xfrm>
                      <a:off x="0" y="0"/>
                      <a:ext cx="5219700" cy="4288790"/>
                    </a:xfrm>
                    <a:prstGeom prst="rect">
                      <a:avLst/>
                    </a:prstGeom>
                    <a:noFill/>
                    <a:ln w="9525">
                      <a:noFill/>
                      <a:miter lim="800000"/>
                      <a:headEnd/>
                      <a:tailEnd/>
                    </a:ln>
                  </pic:spPr>
                </pic:pic>
              </a:graphicData>
            </a:graphic>
          </wp:inline>
        </w:drawing>
      </w:r>
    </w:p>
    <w:p>
      <w:pPr>
        <w:spacing w:line="360" w:lineRule="auto"/>
        <w:ind w:firstLine="480" w:firstLineChars="200"/>
        <w:rPr>
          <w:color w:val="auto"/>
          <w:sz w:val="24"/>
          <w:szCs w:val="24"/>
        </w:rPr>
      </w:pPr>
      <w:r>
        <w:rPr>
          <w:rFonts w:hint="eastAsia"/>
          <w:color w:val="auto"/>
          <w:sz w:val="24"/>
          <w:szCs w:val="24"/>
        </w:rPr>
        <w:t>（5）危险废物暂存间设置专门的管理台账，做好危险废物的情况记录，记录上须注明危险废物的名称、来源、数量、特性和包装容器的类别、入库日期、存放库位、废物出库日期及接收单位名称。危险废物的记录和货单在危险废物回取后应继续保留3 年。</w:t>
      </w:r>
    </w:p>
    <w:p>
      <w:pPr>
        <w:spacing w:line="360" w:lineRule="auto"/>
        <w:ind w:firstLine="482" w:firstLineChars="200"/>
        <w:rPr>
          <w:b/>
          <w:bCs/>
          <w:color w:val="auto"/>
          <w:sz w:val="24"/>
          <w:szCs w:val="24"/>
        </w:rPr>
      </w:pPr>
      <w:r>
        <w:rPr>
          <w:rFonts w:hint="eastAsia"/>
          <w:b/>
          <w:bCs/>
          <w:color w:val="auto"/>
          <w:sz w:val="24"/>
          <w:szCs w:val="24"/>
        </w:rPr>
        <w:t>2、危险废物的转移</w:t>
      </w:r>
    </w:p>
    <w:p>
      <w:pPr>
        <w:spacing w:line="360" w:lineRule="auto"/>
        <w:ind w:firstLine="480" w:firstLineChars="200"/>
        <w:rPr>
          <w:color w:val="auto"/>
          <w:sz w:val="24"/>
          <w:szCs w:val="24"/>
        </w:rPr>
      </w:pPr>
      <w:r>
        <w:rPr>
          <w:rFonts w:hint="eastAsia"/>
          <w:color w:val="auto"/>
          <w:sz w:val="24"/>
          <w:szCs w:val="24"/>
        </w:rPr>
        <w:t>危险废物的转移应遵从《危险废物转移联单管理办法》及其他有关规定的要求，并禁止在转移过程中将危险废物排放至环境中。</w:t>
      </w:r>
    </w:p>
    <w:p>
      <w:pPr>
        <w:spacing w:line="360" w:lineRule="auto"/>
        <w:ind w:firstLine="482" w:firstLineChars="200"/>
        <w:rPr>
          <w:b/>
          <w:bCs/>
          <w:color w:val="auto"/>
          <w:sz w:val="24"/>
          <w:szCs w:val="24"/>
        </w:rPr>
      </w:pPr>
      <w:r>
        <w:rPr>
          <w:rFonts w:hint="eastAsia"/>
          <w:b/>
          <w:bCs/>
          <w:color w:val="auto"/>
          <w:sz w:val="24"/>
          <w:szCs w:val="24"/>
        </w:rPr>
        <w:t>3、危险废物的运输</w:t>
      </w:r>
    </w:p>
    <w:p>
      <w:pPr>
        <w:spacing w:line="360" w:lineRule="auto"/>
        <w:ind w:firstLine="480" w:firstLineChars="200"/>
        <w:rPr>
          <w:color w:val="auto"/>
          <w:sz w:val="24"/>
          <w:szCs w:val="24"/>
        </w:rPr>
      </w:pPr>
      <w:r>
        <w:rPr>
          <w:rFonts w:hint="eastAsia"/>
          <w:color w:val="auto"/>
          <w:sz w:val="24"/>
          <w:szCs w:val="24"/>
        </w:rPr>
        <w:t>危险废物的运输参照《危险废物收集贮存运输技术规范》（HJ2025-2012），建设单位可与危废处置单位共同研究危险废物运输的有关事宜，应制定出危险废物往返收集网络路线，确保危险废物的运输安全可靠，减少或避免运输过程中的二次污染和可能造成的环境风险。根据《危险化学品安全管理条例》（2013年修订）的有关规定，在危险废弃物外运至处置单位时必须严格遵守以下要求：</w:t>
      </w:r>
    </w:p>
    <w:p>
      <w:pPr>
        <w:spacing w:line="360" w:lineRule="auto"/>
        <w:ind w:firstLine="480" w:firstLineChars="200"/>
        <w:rPr>
          <w:color w:val="auto"/>
          <w:sz w:val="24"/>
          <w:szCs w:val="24"/>
        </w:rPr>
      </w:pPr>
      <w:r>
        <w:rPr>
          <w:rFonts w:hint="eastAsia"/>
          <w:color w:val="auto"/>
          <w:sz w:val="24"/>
          <w:szCs w:val="24"/>
        </w:rPr>
        <w:t>（1）做好每次外运处置废弃物的运输登记，认真填写危险废物转移联单（每种废物填写一份联单），并加盖公司公章，经运输单位核实验收签字后，将联单第一联副联自留存档；将联单第二联交移出地环境保护行政主管部门；第三联及其余各联交付运输单位，随危险废物转移运行；第四联交接受单位；第五联交接受地环保局。</w:t>
      </w:r>
    </w:p>
    <w:p>
      <w:pPr>
        <w:spacing w:line="360" w:lineRule="auto"/>
        <w:ind w:firstLine="480" w:firstLineChars="200"/>
        <w:rPr>
          <w:color w:val="auto"/>
          <w:sz w:val="24"/>
          <w:szCs w:val="24"/>
        </w:rPr>
      </w:pPr>
      <w:r>
        <w:rPr>
          <w:rFonts w:hint="eastAsia"/>
          <w:color w:val="auto"/>
          <w:sz w:val="24"/>
          <w:szCs w:val="24"/>
        </w:rPr>
        <w:t>（2）废弃物处置单位的运输人员必须掌握危险化学品运输的安全知识，了解所运载的危险化学品的性质、危害特性、包装容器的使用特性和发生意外时的应急措施。运输车辆必须具有车辆危险货物运输许可证。驾驶人员必须由取得驾驶执照的熟练人员担任。</w:t>
      </w:r>
    </w:p>
    <w:p>
      <w:pPr>
        <w:spacing w:line="360" w:lineRule="auto"/>
        <w:ind w:firstLine="480" w:firstLineChars="200"/>
        <w:rPr>
          <w:color w:val="auto"/>
          <w:sz w:val="24"/>
          <w:szCs w:val="24"/>
        </w:rPr>
      </w:pPr>
      <w:r>
        <w:rPr>
          <w:rFonts w:hint="eastAsia"/>
          <w:color w:val="auto"/>
          <w:sz w:val="24"/>
          <w:szCs w:val="24"/>
        </w:rPr>
        <w:t>（3）处置单位在运输危险废弃物时必须配备押运人员，并随时处于押运人员的监管之下，不得超装、超载，严格按照所在城市规定的行车时间和行车路线行驶，不得进入危险化学品运输车辆禁止通行的区域。</w:t>
      </w:r>
    </w:p>
    <w:p>
      <w:pPr>
        <w:spacing w:line="360" w:lineRule="auto"/>
        <w:ind w:firstLine="480" w:firstLineChars="200"/>
        <w:rPr>
          <w:color w:val="auto"/>
          <w:sz w:val="24"/>
          <w:szCs w:val="24"/>
        </w:rPr>
      </w:pPr>
      <w:r>
        <w:rPr>
          <w:rFonts w:hint="eastAsia"/>
          <w:color w:val="auto"/>
          <w:sz w:val="24"/>
          <w:szCs w:val="24"/>
        </w:rPr>
        <w:t>（4）危险废弃物在运输途中若发生被盗、丢失、流散、泄漏等情况时，公司及押运人员必须立即向当地公安部门报告，并采取一切可能的警示措施。</w:t>
      </w:r>
    </w:p>
    <w:p>
      <w:pPr>
        <w:spacing w:line="360" w:lineRule="auto"/>
        <w:ind w:firstLine="480" w:firstLineChars="200"/>
        <w:rPr>
          <w:color w:val="auto"/>
          <w:sz w:val="24"/>
          <w:szCs w:val="24"/>
        </w:rPr>
      </w:pPr>
      <w:r>
        <w:rPr>
          <w:rFonts w:hint="eastAsia"/>
          <w:color w:val="auto"/>
          <w:sz w:val="24"/>
          <w:szCs w:val="24"/>
        </w:rPr>
        <w:t>（5）一旦发生废弃物泄漏事故，公司和废弃物处置单位都应积极协助有关部门采取必要的安全措施，减少事故损失，防止事故蔓延、扩大；针对事故对人体、动植物、土壤、水源、空气造成的现实危害和可能产生的危害，应迅速采取封闭、隔离、洗消等措施，并对事故造成的危害进行监测、处置，直至符合国家环境保护标准。</w:t>
      </w:r>
    </w:p>
    <w:p>
      <w:pPr>
        <w:spacing w:line="360" w:lineRule="auto"/>
        <w:ind w:firstLine="480" w:firstLineChars="200"/>
        <w:jc w:val="left"/>
        <w:rPr>
          <w:color w:val="auto"/>
          <w:sz w:val="24"/>
          <w:szCs w:val="24"/>
        </w:rPr>
      </w:pPr>
      <w:r>
        <w:rPr>
          <w:rFonts w:hint="eastAsia"/>
          <w:color w:val="auto"/>
          <w:sz w:val="24"/>
          <w:szCs w:val="24"/>
        </w:rPr>
        <w:t>此外，危险废物的转移运输必须包装，以防止和避免在运输过程中发生散扬、渗漏、流失等情况而污染环境，危险废物的包装执行《危险货物运输包装通用技术条件》（GB12463-2009）及《危险货物运输包装标志》（GB190-2009）。应制定定期考察制度，对车辆、人员、防护措施等进行全方位的考察，以确保安全运输。严格执行危险品运输各项规定。运输车辆需挂有明显的标志，以便引起其它车辆的重视。</w:t>
      </w:r>
    </w:p>
    <w:p>
      <w:pPr>
        <w:spacing w:line="360" w:lineRule="auto"/>
        <w:ind w:firstLine="480" w:firstLineChars="200"/>
        <w:jc w:val="left"/>
        <w:rPr>
          <w:color w:val="auto"/>
          <w:sz w:val="24"/>
          <w:szCs w:val="24"/>
        </w:rPr>
      </w:pPr>
      <w:r>
        <w:rPr>
          <w:rFonts w:hint="eastAsia"/>
          <w:color w:val="auto"/>
          <w:sz w:val="24"/>
          <w:szCs w:val="24"/>
        </w:rPr>
        <w:t>综上所述，本项目产生的固体废物均得到妥善处理，去向明确，只要做好相应的管理工作，可保证产生的固废对周边环境不会造成明显影响，本项目固废治理经济技术可行。</w:t>
      </w:r>
    </w:p>
    <w:p>
      <w:pPr>
        <w:pStyle w:val="4"/>
        <w:rPr>
          <w:color w:val="auto"/>
        </w:rPr>
      </w:pPr>
      <w:bookmarkStart w:id="163" w:name="_Toc26276880"/>
      <w:r>
        <w:rPr>
          <w:rFonts w:hint="eastAsia"/>
          <w:color w:val="auto"/>
        </w:rPr>
        <w:t>6.2.5地下水环境保护措施</w:t>
      </w:r>
      <w:bookmarkEnd w:id="163"/>
    </w:p>
    <w:p>
      <w:pPr>
        <w:spacing w:line="360" w:lineRule="auto"/>
        <w:ind w:firstLine="482" w:firstLineChars="200"/>
        <w:jc w:val="left"/>
        <w:rPr>
          <w:b/>
          <w:color w:val="auto"/>
          <w:sz w:val="24"/>
          <w:szCs w:val="24"/>
        </w:rPr>
      </w:pPr>
      <w:r>
        <w:rPr>
          <w:rFonts w:hint="eastAsia"/>
          <w:b/>
          <w:color w:val="auto"/>
          <w:sz w:val="24"/>
          <w:szCs w:val="24"/>
        </w:rPr>
        <w:t>1、污染源源头控制措施</w:t>
      </w:r>
    </w:p>
    <w:p>
      <w:pPr>
        <w:spacing w:line="360" w:lineRule="auto"/>
        <w:ind w:firstLine="480" w:firstLineChars="200"/>
        <w:jc w:val="left"/>
        <w:rPr>
          <w:color w:val="auto"/>
          <w:sz w:val="24"/>
          <w:szCs w:val="24"/>
        </w:rPr>
      </w:pPr>
      <w:r>
        <w:rPr>
          <w:rFonts w:hint="eastAsia"/>
          <w:color w:val="auto"/>
          <w:sz w:val="24"/>
          <w:szCs w:val="24"/>
        </w:rPr>
        <w:t>本项目污染源头控制主要包括减少污染物的排放，提出工艺、管道、设备、污水储存及处理构筑物应采取的污染控制措施，将污染物跑、冒、滴、漏降到最低限度。</w:t>
      </w:r>
    </w:p>
    <w:p>
      <w:pPr>
        <w:spacing w:line="360" w:lineRule="auto"/>
        <w:ind w:firstLine="480" w:firstLineChars="200"/>
        <w:jc w:val="left"/>
        <w:rPr>
          <w:color w:val="auto"/>
          <w:sz w:val="24"/>
          <w:szCs w:val="24"/>
        </w:rPr>
      </w:pPr>
      <w:r>
        <w:rPr>
          <w:rFonts w:hint="eastAsia"/>
          <w:color w:val="auto"/>
          <w:sz w:val="24"/>
          <w:szCs w:val="24"/>
        </w:rPr>
        <w:t>（1）实施清洁生产及各类废物循环利用的具体方案，减少污染物的排放量；防止污染物的跑冒漏滴，将污染物的泄露环境风险事故降到最低限度。</w:t>
      </w:r>
    </w:p>
    <w:p>
      <w:pPr>
        <w:spacing w:line="360" w:lineRule="auto"/>
        <w:ind w:firstLine="480" w:firstLineChars="200"/>
        <w:jc w:val="left"/>
        <w:rPr>
          <w:color w:val="auto"/>
          <w:sz w:val="24"/>
          <w:szCs w:val="24"/>
        </w:rPr>
      </w:pPr>
      <w:r>
        <w:rPr>
          <w:rFonts w:hint="eastAsia"/>
          <w:color w:val="auto"/>
          <w:sz w:val="24"/>
          <w:szCs w:val="24"/>
        </w:rPr>
        <w:t>（2）对厂内排水系统和各池体及管道（包括截污管道和尾水管道）均做防渗处理。</w:t>
      </w:r>
    </w:p>
    <w:p>
      <w:pPr>
        <w:spacing w:line="360" w:lineRule="auto"/>
        <w:ind w:firstLine="482" w:firstLineChars="200"/>
        <w:jc w:val="left"/>
        <w:rPr>
          <w:b/>
          <w:color w:val="auto"/>
          <w:sz w:val="24"/>
          <w:szCs w:val="24"/>
        </w:rPr>
      </w:pPr>
      <w:r>
        <w:rPr>
          <w:rFonts w:hint="eastAsia"/>
          <w:b/>
          <w:color w:val="auto"/>
          <w:sz w:val="24"/>
          <w:szCs w:val="24"/>
        </w:rPr>
        <w:t>2、分区防渗措施</w:t>
      </w:r>
    </w:p>
    <w:p>
      <w:pPr>
        <w:spacing w:line="360" w:lineRule="auto"/>
        <w:ind w:firstLine="480" w:firstLineChars="200"/>
        <w:jc w:val="left"/>
        <w:rPr>
          <w:color w:val="auto"/>
          <w:sz w:val="24"/>
          <w:szCs w:val="24"/>
        </w:rPr>
      </w:pPr>
      <w:r>
        <w:rPr>
          <w:rFonts w:hint="eastAsia"/>
          <w:color w:val="auto"/>
          <w:sz w:val="24"/>
          <w:szCs w:val="24"/>
        </w:rPr>
        <w:t>为有效防止项目运行过程中废水下渗污染地下水，本项目各建构筑物应采取分区防渗措施。</w:t>
      </w:r>
    </w:p>
    <w:p>
      <w:pPr>
        <w:spacing w:line="360" w:lineRule="auto"/>
        <w:ind w:firstLine="480" w:firstLineChars="200"/>
        <w:jc w:val="left"/>
        <w:rPr>
          <w:color w:val="auto"/>
          <w:sz w:val="24"/>
          <w:szCs w:val="24"/>
        </w:rPr>
      </w:pPr>
      <w:r>
        <w:rPr>
          <w:rFonts w:hint="eastAsia"/>
          <w:color w:val="auto"/>
          <w:sz w:val="24"/>
          <w:szCs w:val="24"/>
        </w:rPr>
        <w:t>根据本项目的生产区域划分，防渗划分为重点防渗区、一般防渗区和简单防渗区，对本项目各个建设工程单元可能泄漏污染物的地面进行防渗处理，可有效防止污染物渗入地下，并及时地将泄漏、渗漏的污染物收集并进行集中处理。</w:t>
      </w:r>
    </w:p>
    <w:p>
      <w:pPr>
        <w:spacing w:line="360" w:lineRule="auto"/>
        <w:ind w:firstLine="480" w:firstLineChars="200"/>
        <w:jc w:val="left"/>
        <w:rPr>
          <w:color w:val="auto"/>
          <w:sz w:val="24"/>
          <w:szCs w:val="24"/>
        </w:rPr>
      </w:pPr>
      <w:r>
        <w:rPr>
          <w:rFonts w:hint="eastAsia"/>
          <w:color w:val="auto"/>
          <w:sz w:val="24"/>
          <w:szCs w:val="24"/>
        </w:rPr>
        <w:t>重点防渗区包括污水处理区、污泥处理区、固体废物暂存区和加药间等，重点污染防渗区防渗设计方案可参考土工膜（厚度不小于1.5mm）+抗渗混凝土（厚度不小于100mm），土工膜宜选用HDPE 膜、LLDPE 膜等，总防渗系数不应大于1.0×10</w:t>
      </w:r>
      <w:r>
        <w:rPr>
          <w:rFonts w:hint="eastAsia"/>
          <w:color w:val="auto"/>
          <w:sz w:val="24"/>
          <w:szCs w:val="24"/>
          <w:vertAlign w:val="superscript"/>
        </w:rPr>
        <w:t>-10</w:t>
      </w:r>
      <w:r>
        <w:rPr>
          <w:rFonts w:hint="eastAsia"/>
          <w:color w:val="auto"/>
          <w:sz w:val="24"/>
          <w:szCs w:val="24"/>
        </w:rPr>
        <w:t>cm/s。</w:t>
      </w:r>
    </w:p>
    <w:p>
      <w:pPr>
        <w:spacing w:line="360" w:lineRule="auto"/>
        <w:ind w:firstLine="480" w:firstLineChars="200"/>
        <w:jc w:val="left"/>
        <w:rPr>
          <w:color w:val="auto"/>
          <w:sz w:val="24"/>
          <w:szCs w:val="24"/>
        </w:rPr>
      </w:pPr>
      <w:r>
        <w:rPr>
          <w:rFonts w:hint="eastAsia"/>
          <w:color w:val="auto"/>
          <w:sz w:val="24"/>
          <w:szCs w:val="24"/>
        </w:rPr>
        <w:t>一般防渗区主要包括公辅设备区、办公生活区和装置区等，防渗技术要求为等效粘土防渗层Mb≥1.5m，防渗系数为≤10</w:t>
      </w:r>
      <w:r>
        <w:rPr>
          <w:rFonts w:hint="eastAsia"/>
          <w:color w:val="auto"/>
          <w:sz w:val="24"/>
          <w:szCs w:val="24"/>
          <w:vertAlign w:val="superscript"/>
        </w:rPr>
        <w:t>-7</w:t>
      </w:r>
      <w:r>
        <w:rPr>
          <w:rFonts w:hint="eastAsia"/>
          <w:color w:val="auto"/>
          <w:sz w:val="24"/>
          <w:szCs w:val="24"/>
        </w:rPr>
        <w:t>cm/s，可参考天然防渗材料（厚度不小于1.5m）或抗渗混凝土（厚度不宜小于100mm），切断污染地下水的途径。</w:t>
      </w:r>
    </w:p>
    <w:p>
      <w:pPr>
        <w:spacing w:line="360" w:lineRule="auto"/>
        <w:ind w:firstLine="480" w:firstLineChars="200"/>
        <w:jc w:val="left"/>
        <w:rPr>
          <w:color w:val="auto"/>
          <w:sz w:val="24"/>
          <w:szCs w:val="24"/>
        </w:rPr>
      </w:pPr>
      <w:r>
        <w:rPr>
          <w:rFonts w:hint="eastAsia"/>
          <w:color w:val="auto"/>
          <w:sz w:val="24"/>
          <w:szCs w:val="24"/>
        </w:rPr>
        <w:t>其他区域为简单防渗区，一般地面硬化即可。</w:t>
      </w:r>
    </w:p>
    <w:p>
      <w:pPr>
        <w:spacing w:line="360" w:lineRule="auto"/>
        <w:ind w:firstLine="480" w:firstLineChars="200"/>
        <w:jc w:val="left"/>
        <w:rPr>
          <w:color w:val="auto"/>
          <w:sz w:val="24"/>
          <w:szCs w:val="24"/>
        </w:rPr>
      </w:pPr>
      <w:r>
        <w:rPr>
          <w:rFonts w:hint="eastAsia"/>
          <w:color w:val="auto"/>
          <w:sz w:val="24"/>
          <w:szCs w:val="24"/>
        </w:rPr>
        <w:t>上述防渗结构仅为环评建议结构，后期施工结构可由专业设计单位另行设计，但不得低于相应防渗要求。</w:t>
      </w:r>
    </w:p>
    <w:p>
      <w:pPr>
        <w:spacing w:line="360" w:lineRule="auto"/>
        <w:ind w:firstLine="482" w:firstLineChars="200"/>
        <w:jc w:val="left"/>
        <w:rPr>
          <w:b/>
          <w:color w:val="auto"/>
          <w:sz w:val="24"/>
          <w:szCs w:val="24"/>
        </w:rPr>
      </w:pPr>
      <w:r>
        <w:rPr>
          <w:rFonts w:hint="eastAsia"/>
          <w:b/>
          <w:color w:val="auto"/>
          <w:sz w:val="24"/>
          <w:szCs w:val="24"/>
        </w:rPr>
        <w:t>3、定期检查</w:t>
      </w:r>
    </w:p>
    <w:p>
      <w:pPr>
        <w:spacing w:line="360" w:lineRule="auto"/>
        <w:ind w:firstLine="480" w:firstLineChars="200"/>
        <w:jc w:val="left"/>
        <w:rPr>
          <w:color w:val="auto"/>
          <w:sz w:val="24"/>
          <w:szCs w:val="24"/>
        </w:rPr>
      </w:pPr>
      <w:r>
        <w:rPr>
          <w:rFonts w:hint="eastAsia"/>
          <w:color w:val="auto"/>
          <w:sz w:val="24"/>
          <w:szCs w:val="24"/>
        </w:rPr>
        <w:t>根据本项目产污特征，建议项目运行过程中布设地下水水质监测点，对评价因子进行跟踪监测，其跟踪监测方案如下：</w:t>
      </w:r>
    </w:p>
    <w:p>
      <w:pPr>
        <w:spacing w:line="360" w:lineRule="auto"/>
        <w:ind w:firstLine="480" w:firstLineChars="200"/>
        <w:jc w:val="left"/>
        <w:rPr>
          <w:color w:val="auto"/>
          <w:sz w:val="24"/>
          <w:szCs w:val="24"/>
        </w:rPr>
      </w:pPr>
      <w:r>
        <w:rPr>
          <w:rFonts w:hint="eastAsia"/>
          <w:color w:val="auto"/>
          <w:sz w:val="24"/>
          <w:szCs w:val="24"/>
        </w:rPr>
        <w:t>（1）地下水监测井布设原则</w:t>
      </w:r>
    </w:p>
    <w:p>
      <w:pPr>
        <w:spacing w:line="360" w:lineRule="auto"/>
        <w:ind w:firstLine="480" w:firstLineChars="200"/>
        <w:jc w:val="left"/>
        <w:rPr>
          <w:color w:val="auto"/>
          <w:sz w:val="24"/>
          <w:szCs w:val="24"/>
        </w:rPr>
      </w:pPr>
      <w:r>
        <w:rPr>
          <w:rFonts w:hint="eastAsia"/>
          <w:color w:val="auto"/>
          <w:sz w:val="24"/>
          <w:szCs w:val="24"/>
        </w:rPr>
        <w:t>①重点污染区监测原则；</w:t>
      </w:r>
    </w:p>
    <w:p>
      <w:pPr>
        <w:spacing w:line="360" w:lineRule="auto"/>
        <w:ind w:firstLine="480" w:firstLineChars="200"/>
        <w:jc w:val="left"/>
        <w:rPr>
          <w:color w:val="auto"/>
          <w:sz w:val="24"/>
          <w:szCs w:val="24"/>
        </w:rPr>
      </w:pPr>
      <w:r>
        <w:rPr>
          <w:rFonts w:hint="eastAsia"/>
          <w:color w:val="auto"/>
          <w:sz w:val="24"/>
          <w:szCs w:val="24"/>
        </w:rPr>
        <w:t>②主要考虑项目区浅层地下水；</w:t>
      </w:r>
    </w:p>
    <w:p>
      <w:pPr>
        <w:spacing w:line="360" w:lineRule="auto"/>
        <w:ind w:firstLine="480" w:firstLineChars="200"/>
        <w:jc w:val="left"/>
        <w:rPr>
          <w:color w:val="auto"/>
          <w:sz w:val="24"/>
          <w:szCs w:val="24"/>
        </w:rPr>
      </w:pPr>
      <w:r>
        <w:rPr>
          <w:rFonts w:hint="eastAsia"/>
          <w:color w:val="auto"/>
          <w:sz w:val="24"/>
          <w:szCs w:val="24"/>
        </w:rPr>
        <w:t>③以地下水下游区为主，地下水上游区设置背景点；</w:t>
      </w:r>
    </w:p>
    <w:p>
      <w:pPr>
        <w:spacing w:line="360" w:lineRule="auto"/>
        <w:ind w:firstLine="480" w:firstLineChars="200"/>
        <w:jc w:val="left"/>
        <w:rPr>
          <w:color w:val="auto"/>
          <w:sz w:val="24"/>
          <w:szCs w:val="24"/>
        </w:rPr>
      </w:pPr>
      <w:r>
        <w:rPr>
          <w:rFonts w:hint="eastAsia"/>
          <w:color w:val="auto"/>
          <w:sz w:val="24"/>
          <w:szCs w:val="24"/>
        </w:rPr>
        <w:t>④在线监测与例行监测相结合原则。</w:t>
      </w:r>
    </w:p>
    <w:p>
      <w:pPr>
        <w:spacing w:line="360" w:lineRule="auto"/>
        <w:ind w:firstLine="480" w:firstLineChars="200"/>
        <w:jc w:val="left"/>
        <w:rPr>
          <w:color w:val="auto"/>
          <w:sz w:val="24"/>
          <w:szCs w:val="24"/>
        </w:rPr>
      </w:pPr>
      <w:r>
        <w:rPr>
          <w:rFonts w:hint="eastAsia"/>
          <w:color w:val="auto"/>
          <w:sz w:val="24"/>
          <w:szCs w:val="24"/>
        </w:rPr>
        <w:t>（2）监测井数</w:t>
      </w:r>
    </w:p>
    <w:p>
      <w:pPr>
        <w:spacing w:line="360" w:lineRule="auto"/>
        <w:ind w:firstLine="480" w:firstLineChars="200"/>
        <w:jc w:val="left"/>
        <w:rPr>
          <w:color w:val="auto"/>
          <w:sz w:val="24"/>
          <w:szCs w:val="24"/>
        </w:rPr>
      </w:pPr>
      <w:r>
        <w:rPr>
          <w:rFonts w:hint="eastAsia"/>
          <w:color w:val="auto"/>
          <w:sz w:val="24"/>
          <w:szCs w:val="24"/>
        </w:rPr>
        <w:t>项目调查与评价区范围内浅层地下水由西向东流动，根据《地下水环境监测技术规范》（HJ/T 164-2020）的要求及地下水，共布设3口浅水监测井，分别布设在厂区内东部、项目东侧、项目西侧。</w:t>
      </w:r>
    </w:p>
    <w:p>
      <w:pPr>
        <w:spacing w:line="360" w:lineRule="auto"/>
        <w:ind w:firstLine="480" w:firstLineChars="200"/>
        <w:jc w:val="left"/>
        <w:rPr>
          <w:color w:val="auto"/>
          <w:sz w:val="24"/>
          <w:szCs w:val="24"/>
        </w:rPr>
      </w:pPr>
      <w:r>
        <w:rPr>
          <w:rFonts w:hint="eastAsia"/>
          <w:color w:val="auto"/>
          <w:sz w:val="24"/>
          <w:szCs w:val="24"/>
        </w:rPr>
        <w:t>（3）监测内容</w:t>
      </w:r>
    </w:p>
    <w:p>
      <w:pPr>
        <w:spacing w:line="360" w:lineRule="auto"/>
        <w:ind w:firstLine="480" w:firstLineChars="200"/>
        <w:jc w:val="left"/>
        <w:rPr>
          <w:color w:val="auto"/>
          <w:sz w:val="24"/>
          <w:szCs w:val="24"/>
        </w:rPr>
      </w:pPr>
      <w:r>
        <w:rPr>
          <w:rFonts w:hint="eastAsia"/>
          <w:color w:val="auto"/>
          <w:sz w:val="24"/>
          <w:szCs w:val="24"/>
        </w:rPr>
        <w:t>监测层位：根据当地实际水文地质条件，将监测井层位定为浅层。</w:t>
      </w:r>
    </w:p>
    <w:p>
      <w:pPr>
        <w:spacing w:line="360" w:lineRule="auto"/>
        <w:ind w:firstLine="480" w:firstLineChars="200"/>
        <w:jc w:val="left"/>
        <w:rPr>
          <w:color w:val="auto"/>
          <w:sz w:val="24"/>
          <w:szCs w:val="24"/>
        </w:rPr>
      </w:pPr>
      <w:r>
        <w:rPr>
          <w:rFonts w:hint="eastAsia"/>
          <w:color w:val="auto"/>
          <w:sz w:val="24"/>
          <w:szCs w:val="24"/>
        </w:rPr>
        <w:t>监测频率：每年监测1次。</w:t>
      </w:r>
    </w:p>
    <w:p>
      <w:pPr>
        <w:spacing w:line="360" w:lineRule="auto"/>
        <w:ind w:firstLine="480" w:firstLineChars="200"/>
        <w:jc w:val="left"/>
        <w:rPr>
          <w:color w:val="auto"/>
          <w:sz w:val="24"/>
          <w:szCs w:val="24"/>
        </w:rPr>
      </w:pPr>
      <w:r>
        <w:rPr>
          <w:rFonts w:hint="eastAsia"/>
          <w:color w:val="auto"/>
          <w:sz w:val="24"/>
          <w:szCs w:val="24"/>
        </w:rPr>
        <w:t>监测项目：pH值、氨氮、硝酸盐、亚硝酸盐、挥发酚、氰化物、砷、汞、六价铬、总硬度、铅、氟化物、镉、铁、锰、溶解性总固体、耗氧量、硫酸盐、氯化物、总大肠菌群、细菌总数。</w:t>
      </w:r>
    </w:p>
    <w:p>
      <w:pPr>
        <w:spacing w:line="360" w:lineRule="auto"/>
        <w:ind w:firstLine="480" w:firstLineChars="200"/>
        <w:jc w:val="left"/>
        <w:rPr>
          <w:color w:val="auto"/>
          <w:sz w:val="24"/>
          <w:szCs w:val="24"/>
        </w:rPr>
      </w:pPr>
      <w:r>
        <w:rPr>
          <w:rFonts w:hint="eastAsia"/>
          <w:color w:val="auto"/>
          <w:sz w:val="24"/>
          <w:szCs w:val="24"/>
        </w:rPr>
        <w:t>（4）监测数据管理</w:t>
      </w:r>
    </w:p>
    <w:p>
      <w:pPr>
        <w:spacing w:line="360" w:lineRule="auto"/>
        <w:ind w:firstLine="480" w:firstLineChars="200"/>
        <w:jc w:val="left"/>
        <w:rPr>
          <w:color w:val="auto"/>
          <w:sz w:val="24"/>
          <w:szCs w:val="24"/>
        </w:rPr>
      </w:pPr>
      <w:r>
        <w:rPr>
          <w:rFonts w:hint="eastAsia"/>
          <w:color w:val="auto"/>
          <w:sz w:val="24"/>
          <w:szCs w:val="24"/>
        </w:rPr>
        <w:t>上述监测结果应按项目有关规定及时建立档案，并抄送环境保护行政主管部门，对于常规检测数据应该进行公开，特别是对项目所在区域的居民公开，满足法律中关于知情权的要求。发现污染和水质恶化时，要及时进行处理，开展系统调查，并上报有关部门。</w:t>
      </w:r>
    </w:p>
    <w:p>
      <w:pPr>
        <w:spacing w:line="360" w:lineRule="auto"/>
        <w:ind w:firstLine="480" w:firstLineChars="200"/>
        <w:jc w:val="left"/>
        <w:rPr>
          <w:color w:val="auto"/>
          <w:sz w:val="24"/>
          <w:szCs w:val="24"/>
        </w:rPr>
      </w:pPr>
      <w:r>
        <w:rPr>
          <w:rFonts w:hint="eastAsia"/>
          <w:color w:val="auto"/>
          <w:sz w:val="24"/>
          <w:szCs w:val="24"/>
        </w:rPr>
        <w:t>本项目在工艺、管道、设备等方面尽可能的采取泄漏控制措施，从源头最大限度降低污染物质泄漏的可能性和泄漏量，按规范要求对全厂区域进行污染分区，根据不同的区域参照不同的环境保护标准要求，设计不同的防渗方案。因此，本项目地下水环境保护措施经济合理、可行。</w:t>
      </w:r>
    </w:p>
    <w:p>
      <w:pPr>
        <w:pStyle w:val="4"/>
        <w:ind w:firstLine="400"/>
        <w:rPr>
          <w:color w:val="auto"/>
        </w:rPr>
      </w:pPr>
      <w:r>
        <w:rPr>
          <w:rFonts w:hint="eastAsia"/>
          <w:color w:val="auto"/>
        </w:rPr>
        <w:t>6.2.6土壤环境保护措施</w:t>
      </w:r>
    </w:p>
    <w:p>
      <w:pPr>
        <w:spacing w:line="360" w:lineRule="auto"/>
        <w:ind w:firstLine="480" w:firstLineChars="200"/>
        <w:rPr>
          <w:color w:val="auto"/>
          <w:sz w:val="24"/>
          <w:szCs w:val="24"/>
        </w:rPr>
      </w:pPr>
      <w:r>
        <w:rPr>
          <w:rFonts w:hint="eastAsia"/>
          <w:color w:val="auto"/>
          <w:sz w:val="24"/>
          <w:szCs w:val="24"/>
        </w:rPr>
        <w:t>本项目对废水、固废严格控制，同时对厂区可能产生污染的区域按要求进行相应等级的防渗，事故情况下立即采取相应的应急处理措施，切断污染源。在确保防渗措施严格执行的情况下，项目运营期对土壤环境的污染影响较小，因此，本项目土壤环境保护措施经济合理、可行。</w:t>
      </w:r>
    </w:p>
    <w:p>
      <w:pPr>
        <w:pStyle w:val="4"/>
        <w:rPr>
          <w:color w:val="auto"/>
        </w:rPr>
      </w:pPr>
      <w:r>
        <w:rPr>
          <w:rFonts w:hint="eastAsia"/>
          <w:color w:val="auto"/>
        </w:rPr>
        <w:t>6.2.7事故状况下污染物排放情况及预防措施</w:t>
      </w:r>
    </w:p>
    <w:p>
      <w:pPr>
        <w:spacing w:line="360" w:lineRule="auto"/>
        <w:ind w:firstLine="482" w:firstLineChars="200"/>
        <w:jc w:val="left"/>
        <w:rPr>
          <w:color w:val="auto"/>
          <w:sz w:val="24"/>
          <w:szCs w:val="24"/>
        </w:rPr>
      </w:pPr>
      <w:r>
        <w:rPr>
          <w:rFonts w:hint="eastAsia"/>
          <w:b/>
          <w:color w:val="auto"/>
          <w:sz w:val="24"/>
          <w:szCs w:val="24"/>
        </w:rPr>
        <w:t>1、水质净化厂事故状况</w:t>
      </w:r>
    </w:p>
    <w:p>
      <w:pPr>
        <w:spacing w:line="360" w:lineRule="auto"/>
        <w:ind w:firstLine="480" w:firstLineChars="200"/>
        <w:jc w:val="left"/>
        <w:rPr>
          <w:color w:val="auto"/>
          <w:sz w:val="24"/>
          <w:szCs w:val="24"/>
        </w:rPr>
      </w:pPr>
      <w:r>
        <w:rPr>
          <w:rFonts w:hint="eastAsia"/>
          <w:color w:val="auto"/>
          <w:sz w:val="24"/>
          <w:szCs w:val="24"/>
        </w:rPr>
        <w:t>水质净化厂事故状况包括以下几种情况：</w:t>
      </w:r>
    </w:p>
    <w:p>
      <w:pPr>
        <w:spacing w:line="360" w:lineRule="auto"/>
        <w:ind w:firstLine="480" w:firstLineChars="200"/>
        <w:jc w:val="left"/>
        <w:rPr>
          <w:color w:val="auto"/>
          <w:sz w:val="24"/>
          <w:szCs w:val="24"/>
        </w:rPr>
      </w:pPr>
      <w:r>
        <w:rPr>
          <w:rFonts w:hint="eastAsia"/>
          <w:color w:val="auto"/>
          <w:sz w:val="24"/>
          <w:szCs w:val="24"/>
        </w:rPr>
        <w:t>①设备损坏，造成污水处理运行中断；</w:t>
      </w:r>
    </w:p>
    <w:p>
      <w:pPr>
        <w:spacing w:line="360" w:lineRule="auto"/>
        <w:ind w:firstLine="480" w:firstLineChars="200"/>
        <w:jc w:val="left"/>
        <w:rPr>
          <w:color w:val="auto"/>
          <w:sz w:val="24"/>
          <w:szCs w:val="24"/>
        </w:rPr>
      </w:pPr>
      <w:r>
        <w:rPr>
          <w:rFonts w:hint="eastAsia"/>
          <w:color w:val="auto"/>
          <w:sz w:val="24"/>
          <w:szCs w:val="24"/>
        </w:rPr>
        <w:t>②停电，造成污水处理运行中断；</w:t>
      </w:r>
    </w:p>
    <w:p>
      <w:pPr>
        <w:spacing w:line="360" w:lineRule="auto"/>
        <w:ind w:firstLine="480" w:firstLineChars="200"/>
        <w:jc w:val="left"/>
        <w:rPr>
          <w:color w:val="auto"/>
          <w:sz w:val="24"/>
          <w:szCs w:val="24"/>
        </w:rPr>
      </w:pPr>
      <w:r>
        <w:rPr>
          <w:rFonts w:hint="eastAsia"/>
          <w:color w:val="auto"/>
          <w:sz w:val="24"/>
          <w:szCs w:val="24"/>
        </w:rPr>
        <w:t>③构筑物损坏，造成污水处理运行中断；</w:t>
      </w:r>
    </w:p>
    <w:p>
      <w:pPr>
        <w:spacing w:line="360" w:lineRule="auto"/>
        <w:ind w:firstLine="480" w:firstLineChars="200"/>
        <w:jc w:val="left"/>
        <w:rPr>
          <w:color w:val="auto"/>
          <w:sz w:val="24"/>
          <w:szCs w:val="24"/>
        </w:rPr>
      </w:pPr>
      <w:r>
        <w:rPr>
          <w:rFonts w:hint="eastAsia"/>
          <w:color w:val="auto"/>
          <w:sz w:val="24"/>
          <w:szCs w:val="24"/>
        </w:rPr>
        <w:t>④收水企业违章废水排放，造成进水水质超标；</w:t>
      </w:r>
    </w:p>
    <w:p>
      <w:pPr>
        <w:spacing w:line="360" w:lineRule="auto"/>
        <w:ind w:firstLine="480" w:firstLineChars="200"/>
        <w:jc w:val="left"/>
        <w:rPr>
          <w:color w:val="auto"/>
          <w:sz w:val="24"/>
          <w:szCs w:val="24"/>
        </w:rPr>
      </w:pPr>
      <w:r>
        <w:rPr>
          <w:rFonts w:hint="eastAsia"/>
          <w:color w:val="auto"/>
          <w:sz w:val="24"/>
          <w:szCs w:val="24"/>
        </w:rPr>
        <w:t>⑤污水处理设施冬季低温状况下运行，造成出水水质不达标；</w:t>
      </w:r>
    </w:p>
    <w:p>
      <w:pPr>
        <w:spacing w:line="360" w:lineRule="auto"/>
        <w:ind w:firstLine="480" w:firstLineChars="200"/>
        <w:jc w:val="left"/>
        <w:rPr>
          <w:color w:val="auto"/>
          <w:sz w:val="24"/>
          <w:szCs w:val="24"/>
        </w:rPr>
      </w:pPr>
      <w:r>
        <w:rPr>
          <w:rFonts w:hint="eastAsia"/>
          <w:color w:val="auto"/>
          <w:sz w:val="24"/>
          <w:szCs w:val="24"/>
        </w:rPr>
        <w:t>⑥违反操作规程，未达到处理效果。</w:t>
      </w:r>
    </w:p>
    <w:p>
      <w:pPr>
        <w:spacing w:line="360" w:lineRule="auto"/>
        <w:ind w:firstLine="482" w:firstLineChars="200"/>
        <w:jc w:val="left"/>
        <w:rPr>
          <w:b/>
          <w:color w:val="auto"/>
          <w:sz w:val="24"/>
          <w:szCs w:val="24"/>
        </w:rPr>
      </w:pPr>
      <w:r>
        <w:rPr>
          <w:rFonts w:hint="eastAsia"/>
          <w:b/>
          <w:color w:val="auto"/>
          <w:sz w:val="24"/>
          <w:szCs w:val="24"/>
        </w:rPr>
        <w:t>2、预防措施</w:t>
      </w:r>
    </w:p>
    <w:p>
      <w:pPr>
        <w:spacing w:line="360" w:lineRule="auto"/>
        <w:ind w:firstLine="480" w:firstLineChars="200"/>
        <w:jc w:val="left"/>
        <w:rPr>
          <w:color w:val="auto"/>
          <w:sz w:val="24"/>
          <w:szCs w:val="24"/>
        </w:rPr>
      </w:pPr>
      <w:r>
        <w:rPr>
          <w:rFonts w:hint="eastAsia"/>
          <w:color w:val="auto"/>
          <w:sz w:val="24"/>
          <w:szCs w:val="24"/>
        </w:rPr>
        <w:t>构筑物或设备损坏一般可在1～3 天内修复，生物菌类出现死亡时，根据发生情况的严重程度需要1～6 个月的恢复期。针对这几种情况，首先在设计中应尽量避免事故状况的发生。</w:t>
      </w:r>
    </w:p>
    <w:p>
      <w:pPr>
        <w:spacing w:line="360" w:lineRule="auto"/>
        <w:ind w:firstLine="480" w:firstLineChars="200"/>
        <w:jc w:val="left"/>
        <w:rPr>
          <w:color w:val="auto"/>
          <w:sz w:val="24"/>
          <w:szCs w:val="24"/>
        </w:rPr>
      </w:pPr>
      <w:r>
        <w:rPr>
          <w:rFonts w:hint="eastAsia"/>
          <w:color w:val="auto"/>
          <w:sz w:val="24"/>
          <w:szCs w:val="24"/>
        </w:rPr>
        <w:t>①各主要设备均有备用品，避免出现临时故障或进行检修时造成的非正常排放；</w:t>
      </w:r>
    </w:p>
    <w:p>
      <w:pPr>
        <w:spacing w:line="360" w:lineRule="auto"/>
        <w:ind w:firstLine="480" w:firstLineChars="200"/>
        <w:jc w:val="left"/>
        <w:rPr>
          <w:color w:val="auto"/>
          <w:sz w:val="24"/>
          <w:szCs w:val="24"/>
        </w:rPr>
      </w:pPr>
      <w:r>
        <w:rPr>
          <w:rFonts w:hint="eastAsia"/>
          <w:color w:val="auto"/>
          <w:sz w:val="24"/>
          <w:szCs w:val="24"/>
        </w:rPr>
        <w:t>②对厂区电源采用双回路设计，避免断电情况的出现；</w:t>
      </w:r>
    </w:p>
    <w:p>
      <w:pPr>
        <w:spacing w:line="360" w:lineRule="auto"/>
        <w:ind w:firstLine="480" w:firstLineChars="200"/>
        <w:jc w:val="left"/>
        <w:rPr>
          <w:color w:val="auto"/>
          <w:sz w:val="24"/>
          <w:szCs w:val="24"/>
        </w:rPr>
      </w:pPr>
      <w:r>
        <w:rPr>
          <w:rFonts w:hint="eastAsia"/>
          <w:color w:val="auto"/>
          <w:sz w:val="24"/>
          <w:szCs w:val="24"/>
        </w:rPr>
        <w:t>③加强安全巡查，定期进行构筑物加固检修，预防构筑物的损坏，维护和保持好生物菌类的生活环境；</w:t>
      </w:r>
    </w:p>
    <w:p>
      <w:pPr>
        <w:spacing w:line="360" w:lineRule="auto"/>
        <w:ind w:firstLine="480" w:firstLineChars="200"/>
        <w:jc w:val="left"/>
        <w:rPr>
          <w:color w:val="auto"/>
          <w:sz w:val="24"/>
          <w:szCs w:val="24"/>
        </w:rPr>
      </w:pPr>
      <w:r>
        <w:rPr>
          <w:rFonts w:hint="eastAsia"/>
          <w:color w:val="auto"/>
          <w:sz w:val="24"/>
          <w:szCs w:val="24"/>
        </w:rPr>
        <w:t>④加强进水水质管理和控制。为此，每个被接纳废水的工厂都应建立规范排污口，出现事故排放应及时通报水质净化厂，水质净化厂也应建立一定的来水水质水量监控系统；</w:t>
      </w:r>
    </w:p>
    <w:p>
      <w:pPr>
        <w:spacing w:line="360" w:lineRule="auto"/>
        <w:ind w:firstLine="480" w:firstLineChars="200"/>
        <w:jc w:val="left"/>
        <w:rPr>
          <w:color w:val="auto"/>
          <w:sz w:val="24"/>
          <w:szCs w:val="24"/>
        </w:rPr>
      </w:pPr>
      <w:r>
        <w:rPr>
          <w:rFonts w:hint="eastAsia"/>
          <w:color w:val="auto"/>
          <w:sz w:val="24"/>
          <w:szCs w:val="24"/>
        </w:rPr>
        <w:t>⑤冬季低温状况下，可投加一定量的絮凝剂，提高污水处理效率；</w:t>
      </w:r>
    </w:p>
    <w:p>
      <w:pPr>
        <w:spacing w:line="360" w:lineRule="auto"/>
        <w:ind w:firstLine="480" w:firstLineChars="200"/>
        <w:jc w:val="left"/>
        <w:rPr>
          <w:color w:val="auto"/>
          <w:sz w:val="24"/>
          <w:szCs w:val="24"/>
        </w:rPr>
      </w:pPr>
      <w:r>
        <w:rPr>
          <w:rFonts w:hint="eastAsia"/>
          <w:color w:val="auto"/>
          <w:sz w:val="24"/>
          <w:szCs w:val="24"/>
        </w:rPr>
        <w:t>⑥加强日常操作的管理工作，严格操作程序和监督管理。</w:t>
      </w:r>
    </w:p>
    <w:p>
      <w:pPr>
        <w:spacing w:line="360" w:lineRule="auto"/>
        <w:ind w:firstLine="480" w:firstLineChars="200"/>
        <w:jc w:val="left"/>
        <w:rPr>
          <w:color w:val="auto"/>
          <w:sz w:val="24"/>
          <w:szCs w:val="24"/>
        </w:rPr>
      </w:pPr>
      <w:r>
        <w:rPr>
          <w:rFonts w:hint="eastAsia"/>
          <w:color w:val="auto"/>
          <w:sz w:val="24"/>
          <w:szCs w:val="24"/>
        </w:rPr>
        <w:t>采取以上措施后，事故排放发生的可能性很小。</w:t>
      </w:r>
    </w:p>
    <w:p>
      <w:pPr>
        <w:pStyle w:val="3"/>
        <w:rPr>
          <w:color w:val="auto"/>
        </w:rPr>
      </w:pPr>
      <w:bookmarkStart w:id="164" w:name="_Toc26276881"/>
      <w:bookmarkStart w:id="165" w:name="_Toc994"/>
      <w:r>
        <w:rPr>
          <w:rFonts w:hint="eastAsia"/>
          <w:color w:val="auto"/>
        </w:rPr>
        <w:t>6.3环保投资估算</w:t>
      </w:r>
      <w:bookmarkEnd w:id="164"/>
      <w:bookmarkEnd w:id="165"/>
    </w:p>
    <w:p>
      <w:pPr>
        <w:spacing w:line="360" w:lineRule="auto"/>
        <w:ind w:firstLine="480" w:firstLineChars="200"/>
        <w:rPr>
          <w:color w:val="auto"/>
          <w:sz w:val="24"/>
          <w:szCs w:val="24"/>
        </w:rPr>
      </w:pPr>
      <w:r>
        <w:rPr>
          <w:rFonts w:hint="eastAsia"/>
          <w:color w:val="auto"/>
          <w:sz w:val="24"/>
          <w:szCs w:val="24"/>
        </w:rPr>
        <w:t>本项目环保措施及投资见下表。</w:t>
      </w:r>
    </w:p>
    <w:p>
      <w:pPr>
        <w:spacing w:line="360" w:lineRule="auto"/>
        <w:ind w:firstLine="480" w:firstLineChars="200"/>
        <w:rPr>
          <w:color w:val="auto"/>
          <w:sz w:val="24"/>
          <w:szCs w:val="24"/>
        </w:rPr>
      </w:pPr>
    </w:p>
    <w:p>
      <w:pPr>
        <w:spacing w:line="360" w:lineRule="auto"/>
        <w:jc w:val="center"/>
        <w:rPr>
          <w:b/>
          <w:color w:val="auto"/>
          <w:sz w:val="24"/>
          <w:szCs w:val="24"/>
        </w:rPr>
      </w:pPr>
      <w:r>
        <w:rPr>
          <w:rFonts w:hint="eastAsia"/>
          <w:b/>
          <w:color w:val="auto"/>
          <w:sz w:val="24"/>
          <w:szCs w:val="24"/>
        </w:rPr>
        <w:t>表6-3-1   环境保护措施投资估算表   单位：万元</w:t>
      </w:r>
    </w:p>
    <w:tbl>
      <w:tblPr>
        <w:tblStyle w:val="29"/>
        <w:tblW w:w="8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1"/>
        <w:gridCol w:w="4216"/>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jc w:val="center"/>
              <w:rPr>
                <w:b/>
                <w:color w:val="auto"/>
                <w:sz w:val="21"/>
                <w:szCs w:val="21"/>
              </w:rPr>
            </w:pPr>
            <w:r>
              <w:rPr>
                <w:rFonts w:hint="eastAsia"/>
                <w:b/>
                <w:color w:val="auto"/>
                <w:sz w:val="21"/>
                <w:szCs w:val="21"/>
              </w:rPr>
              <w:t>项目</w:t>
            </w:r>
          </w:p>
        </w:tc>
        <w:tc>
          <w:tcPr>
            <w:tcW w:w="4216" w:type="dxa"/>
            <w:vAlign w:val="center"/>
          </w:tcPr>
          <w:p>
            <w:pPr>
              <w:jc w:val="center"/>
              <w:rPr>
                <w:b/>
                <w:color w:val="auto"/>
                <w:sz w:val="21"/>
                <w:szCs w:val="21"/>
              </w:rPr>
            </w:pPr>
            <w:r>
              <w:rPr>
                <w:rFonts w:hint="eastAsia"/>
                <w:b/>
                <w:color w:val="auto"/>
                <w:sz w:val="21"/>
                <w:szCs w:val="21"/>
              </w:rPr>
              <w:t>内容</w:t>
            </w:r>
          </w:p>
        </w:tc>
        <w:tc>
          <w:tcPr>
            <w:tcW w:w="1403" w:type="dxa"/>
            <w:vAlign w:val="center"/>
          </w:tcPr>
          <w:p>
            <w:pPr>
              <w:jc w:val="center"/>
              <w:rPr>
                <w:b/>
                <w:color w:val="auto"/>
                <w:sz w:val="21"/>
                <w:szCs w:val="21"/>
              </w:rPr>
            </w:pPr>
            <w:r>
              <w:rPr>
                <w:rFonts w:hint="eastAsia"/>
                <w:b/>
                <w:color w:val="auto"/>
                <w:sz w:val="21"/>
                <w:szCs w:val="21"/>
              </w:rPr>
              <w:t>投资估算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jc w:val="center"/>
              <w:rPr>
                <w:color w:val="auto"/>
                <w:sz w:val="21"/>
                <w:szCs w:val="21"/>
              </w:rPr>
            </w:pPr>
            <w:r>
              <w:rPr>
                <w:rFonts w:hint="eastAsia"/>
                <w:color w:val="auto"/>
                <w:sz w:val="21"/>
                <w:szCs w:val="21"/>
              </w:rPr>
              <w:t>废气治理</w:t>
            </w:r>
          </w:p>
        </w:tc>
        <w:tc>
          <w:tcPr>
            <w:tcW w:w="1701" w:type="dxa"/>
            <w:vMerge w:val="restart"/>
            <w:vAlign w:val="center"/>
          </w:tcPr>
          <w:p>
            <w:pPr>
              <w:jc w:val="center"/>
              <w:rPr>
                <w:color w:val="auto"/>
                <w:sz w:val="21"/>
                <w:szCs w:val="21"/>
              </w:rPr>
            </w:pPr>
            <w:r>
              <w:rPr>
                <w:rFonts w:hint="eastAsia"/>
                <w:color w:val="auto"/>
                <w:sz w:val="21"/>
                <w:szCs w:val="21"/>
              </w:rPr>
              <w:t>恶臭</w:t>
            </w:r>
          </w:p>
        </w:tc>
        <w:tc>
          <w:tcPr>
            <w:tcW w:w="4216" w:type="dxa"/>
            <w:vAlign w:val="center"/>
          </w:tcPr>
          <w:p>
            <w:pPr>
              <w:jc w:val="center"/>
              <w:rPr>
                <w:color w:val="auto"/>
                <w:sz w:val="21"/>
                <w:szCs w:val="21"/>
              </w:rPr>
            </w:pPr>
            <w:r>
              <w:rPr>
                <w:rFonts w:hint="eastAsia"/>
                <w:color w:val="auto"/>
                <w:sz w:val="21"/>
                <w:szCs w:val="21"/>
              </w:rPr>
              <w:t>设置2套化学洗涤+生物滤池除臭装置，水质净化厂产生的恶臭经收集后由除臭装置进行处理，尾气高空排放</w:t>
            </w:r>
          </w:p>
        </w:tc>
        <w:tc>
          <w:tcPr>
            <w:tcW w:w="1403" w:type="dxa"/>
            <w:vAlign w:val="center"/>
          </w:tcPr>
          <w:p>
            <w:pPr>
              <w:jc w:val="center"/>
              <w:rPr>
                <w:color w:val="auto"/>
                <w:sz w:val="21"/>
                <w:szCs w:val="21"/>
              </w:rPr>
            </w:pPr>
            <w:r>
              <w:rPr>
                <w:rFonts w:hint="eastAsia"/>
                <w:color w:val="auto"/>
                <w:sz w:val="21"/>
                <w:szCs w:val="21"/>
              </w:rPr>
              <w:t>77.2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jc w:val="center"/>
              <w:rPr>
                <w:color w:val="auto"/>
                <w:sz w:val="21"/>
                <w:szCs w:val="21"/>
              </w:rPr>
            </w:pPr>
          </w:p>
        </w:tc>
        <w:tc>
          <w:tcPr>
            <w:tcW w:w="1701" w:type="dxa"/>
            <w:vMerge w:val="continue"/>
            <w:vAlign w:val="center"/>
          </w:tcPr>
          <w:p>
            <w:pPr>
              <w:jc w:val="center"/>
              <w:rPr>
                <w:color w:val="auto"/>
                <w:sz w:val="21"/>
                <w:szCs w:val="21"/>
              </w:rPr>
            </w:pPr>
          </w:p>
        </w:tc>
        <w:tc>
          <w:tcPr>
            <w:tcW w:w="4216" w:type="dxa"/>
            <w:vAlign w:val="center"/>
          </w:tcPr>
          <w:p>
            <w:pPr>
              <w:jc w:val="center"/>
              <w:rPr>
                <w:color w:val="auto"/>
                <w:sz w:val="21"/>
                <w:szCs w:val="21"/>
              </w:rPr>
            </w:pPr>
            <w:r>
              <w:rPr>
                <w:rFonts w:hint="eastAsia"/>
                <w:color w:val="auto"/>
                <w:sz w:val="21"/>
                <w:szCs w:val="21"/>
              </w:rPr>
              <w:t>各主要恶臭产生区（格栅、污泥贮池和污泥脱水间）等进行密封</w:t>
            </w:r>
          </w:p>
        </w:tc>
        <w:tc>
          <w:tcPr>
            <w:tcW w:w="1403" w:type="dxa"/>
            <w:vAlign w:val="center"/>
          </w:tcPr>
          <w:p>
            <w:pPr>
              <w:jc w:val="center"/>
              <w:rPr>
                <w:color w:val="auto"/>
                <w:sz w:val="21"/>
                <w:szCs w:val="21"/>
              </w:rPr>
            </w:pPr>
            <w:r>
              <w:rPr>
                <w:rFonts w:hint="eastAsia"/>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int="eastAsia"/>
                <w:color w:val="auto"/>
                <w:sz w:val="21"/>
                <w:szCs w:val="21"/>
              </w:rPr>
              <w:t>食堂油烟</w:t>
            </w:r>
          </w:p>
        </w:tc>
        <w:tc>
          <w:tcPr>
            <w:tcW w:w="4216" w:type="dxa"/>
            <w:vAlign w:val="center"/>
          </w:tcPr>
          <w:p>
            <w:pPr>
              <w:jc w:val="center"/>
              <w:rPr>
                <w:color w:val="auto"/>
                <w:sz w:val="21"/>
                <w:szCs w:val="21"/>
              </w:rPr>
            </w:pPr>
            <w:r>
              <w:rPr>
                <w:rFonts w:hint="eastAsia"/>
                <w:color w:val="auto"/>
                <w:sz w:val="21"/>
                <w:szCs w:val="21"/>
              </w:rPr>
              <w:t>设置油烟净化装置，食堂油烟经处理后由屋顶排放</w:t>
            </w:r>
          </w:p>
        </w:tc>
        <w:tc>
          <w:tcPr>
            <w:tcW w:w="1403" w:type="dxa"/>
            <w:vAlign w:val="center"/>
          </w:tcPr>
          <w:p>
            <w:pPr>
              <w:jc w:val="center"/>
              <w:rPr>
                <w:color w:val="auto"/>
                <w:sz w:val="21"/>
                <w:szCs w:val="21"/>
              </w:rPr>
            </w:pPr>
            <w:r>
              <w:rPr>
                <w:rFonts w:hint="eastAsia"/>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jc w:val="center"/>
              <w:rPr>
                <w:color w:val="auto"/>
                <w:sz w:val="21"/>
                <w:szCs w:val="21"/>
              </w:rPr>
            </w:pPr>
            <w:r>
              <w:rPr>
                <w:rFonts w:hint="eastAsia"/>
                <w:color w:val="auto"/>
                <w:sz w:val="21"/>
                <w:szCs w:val="21"/>
              </w:rPr>
              <w:t>固废治理</w:t>
            </w:r>
          </w:p>
        </w:tc>
        <w:tc>
          <w:tcPr>
            <w:tcW w:w="1701" w:type="dxa"/>
            <w:vAlign w:val="center"/>
          </w:tcPr>
          <w:p>
            <w:pPr>
              <w:jc w:val="center"/>
              <w:rPr>
                <w:color w:val="auto"/>
                <w:sz w:val="21"/>
                <w:szCs w:val="21"/>
              </w:rPr>
            </w:pPr>
            <w:r>
              <w:rPr>
                <w:rFonts w:hint="eastAsia"/>
                <w:color w:val="auto"/>
                <w:sz w:val="21"/>
                <w:szCs w:val="21"/>
              </w:rPr>
              <w:t>生活垃圾</w:t>
            </w:r>
          </w:p>
        </w:tc>
        <w:tc>
          <w:tcPr>
            <w:tcW w:w="4216" w:type="dxa"/>
            <w:vAlign w:val="center"/>
          </w:tcPr>
          <w:p>
            <w:pPr>
              <w:jc w:val="center"/>
              <w:rPr>
                <w:color w:val="auto"/>
                <w:sz w:val="21"/>
                <w:szCs w:val="21"/>
              </w:rPr>
            </w:pPr>
            <w:r>
              <w:rPr>
                <w:rFonts w:hint="eastAsia"/>
                <w:color w:val="auto"/>
                <w:sz w:val="21"/>
                <w:szCs w:val="21"/>
              </w:rPr>
              <w:t>厂内设垃圾桶，定期清运至就近垃圾暂存点</w:t>
            </w:r>
          </w:p>
        </w:tc>
        <w:tc>
          <w:tcPr>
            <w:tcW w:w="1403" w:type="dxa"/>
            <w:vAlign w:val="center"/>
          </w:tcPr>
          <w:p>
            <w:pPr>
              <w:jc w:val="center"/>
              <w:rPr>
                <w:color w:val="auto"/>
                <w:sz w:val="21"/>
                <w:szCs w:val="21"/>
              </w:rPr>
            </w:pPr>
            <w:r>
              <w:rPr>
                <w:rFonts w:hint="eastAsia"/>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int="eastAsia"/>
                <w:color w:val="auto"/>
                <w:sz w:val="21"/>
                <w:szCs w:val="21"/>
              </w:rPr>
              <w:t>栅渣、污泥</w:t>
            </w:r>
          </w:p>
        </w:tc>
        <w:tc>
          <w:tcPr>
            <w:tcW w:w="4216" w:type="dxa"/>
            <w:vAlign w:val="center"/>
          </w:tcPr>
          <w:p>
            <w:pPr>
              <w:jc w:val="center"/>
              <w:rPr>
                <w:color w:val="auto"/>
                <w:sz w:val="21"/>
                <w:szCs w:val="21"/>
              </w:rPr>
            </w:pPr>
            <w:r>
              <w:rPr>
                <w:rFonts w:hint="eastAsia"/>
                <w:color w:val="auto"/>
                <w:sz w:val="21"/>
                <w:szCs w:val="21"/>
              </w:rPr>
              <w:t>设置污泥脱水间和污泥贮存池，对产生的污泥进行脱水处理</w:t>
            </w:r>
          </w:p>
        </w:tc>
        <w:tc>
          <w:tcPr>
            <w:tcW w:w="1403" w:type="dxa"/>
            <w:vAlign w:val="center"/>
          </w:tcPr>
          <w:p>
            <w:pPr>
              <w:jc w:val="center"/>
              <w:rPr>
                <w:color w:val="auto"/>
                <w:sz w:val="21"/>
                <w:szCs w:val="21"/>
              </w:rPr>
            </w:pPr>
            <w:r>
              <w:rPr>
                <w:rFonts w:hint="eastAsia"/>
                <w:color w:val="auto"/>
                <w:sz w:val="21"/>
                <w:szCs w:val="21"/>
              </w:rPr>
              <w:t>415.8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jc w:val="center"/>
              <w:rPr>
                <w:color w:val="auto"/>
                <w:sz w:val="21"/>
                <w:szCs w:val="21"/>
              </w:rPr>
            </w:pPr>
          </w:p>
        </w:tc>
        <w:tc>
          <w:tcPr>
            <w:tcW w:w="1701" w:type="dxa"/>
            <w:vAlign w:val="center"/>
          </w:tcPr>
          <w:p>
            <w:pPr>
              <w:jc w:val="center"/>
              <w:rPr>
                <w:color w:val="auto"/>
                <w:sz w:val="21"/>
                <w:szCs w:val="21"/>
              </w:rPr>
            </w:pPr>
            <w:r>
              <w:rPr>
                <w:rFonts w:hint="eastAsia"/>
                <w:color w:val="auto"/>
                <w:sz w:val="21"/>
                <w:szCs w:val="21"/>
              </w:rPr>
              <w:t>废化学试剂</w:t>
            </w:r>
          </w:p>
        </w:tc>
        <w:tc>
          <w:tcPr>
            <w:tcW w:w="4216" w:type="dxa"/>
            <w:vAlign w:val="center"/>
          </w:tcPr>
          <w:p>
            <w:pPr>
              <w:jc w:val="center"/>
              <w:rPr>
                <w:color w:val="auto"/>
                <w:sz w:val="21"/>
                <w:szCs w:val="21"/>
              </w:rPr>
            </w:pPr>
            <w:r>
              <w:rPr>
                <w:rFonts w:hint="eastAsia"/>
                <w:color w:val="auto"/>
                <w:sz w:val="21"/>
                <w:szCs w:val="21"/>
              </w:rPr>
              <w:t>设置危废暂存间，用于暂存危险废物，并张贴危险废物暂存场所标志，签订危废协议</w:t>
            </w:r>
          </w:p>
        </w:tc>
        <w:tc>
          <w:tcPr>
            <w:tcW w:w="1403" w:type="dxa"/>
            <w:vAlign w:val="center"/>
          </w:tcPr>
          <w:p>
            <w:pPr>
              <w:jc w:val="center"/>
              <w:rPr>
                <w:color w:val="auto"/>
                <w:sz w:val="21"/>
                <w:szCs w:val="21"/>
              </w:rPr>
            </w:pPr>
            <w:r>
              <w:rPr>
                <w:rFonts w:hint="eastAsia"/>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Align w:val="center"/>
          </w:tcPr>
          <w:p>
            <w:pPr>
              <w:jc w:val="center"/>
              <w:rPr>
                <w:color w:val="auto"/>
                <w:sz w:val="21"/>
                <w:szCs w:val="21"/>
              </w:rPr>
            </w:pPr>
            <w:r>
              <w:rPr>
                <w:rFonts w:hint="eastAsia"/>
                <w:color w:val="auto"/>
                <w:sz w:val="21"/>
                <w:szCs w:val="21"/>
              </w:rPr>
              <w:t>噪声治理</w:t>
            </w:r>
          </w:p>
        </w:tc>
        <w:tc>
          <w:tcPr>
            <w:tcW w:w="1701" w:type="dxa"/>
            <w:vAlign w:val="center"/>
          </w:tcPr>
          <w:p>
            <w:pPr>
              <w:jc w:val="center"/>
              <w:rPr>
                <w:color w:val="auto"/>
                <w:sz w:val="21"/>
                <w:szCs w:val="21"/>
              </w:rPr>
            </w:pPr>
            <w:r>
              <w:rPr>
                <w:rFonts w:hint="eastAsia"/>
                <w:color w:val="auto"/>
                <w:sz w:val="21"/>
                <w:szCs w:val="21"/>
              </w:rPr>
              <w:t>设备噪声</w:t>
            </w:r>
          </w:p>
        </w:tc>
        <w:tc>
          <w:tcPr>
            <w:tcW w:w="4216" w:type="dxa"/>
            <w:vAlign w:val="center"/>
          </w:tcPr>
          <w:p>
            <w:pPr>
              <w:jc w:val="center"/>
              <w:rPr>
                <w:color w:val="auto"/>
                <w:sz w:val="21"/>
                <w:szCs w:val="21"/>
              </w:rPr>
            </w:pPr>
            <w:r>
              <w:rPr>
                <w:rFonts w:hint="eastAsia"/>
                <w:color w:val="auto"/>
                <w:sz w:val="21"/>
                <w:szCs w:val="21"/>
              </w:rPr>
              <w:t>选用低噪声设备，基础减震，隔声罩降噪、设备加固、风机进出口设置消声器等</w:t>
            </w:r>
          </w:p>
        </w:tc>
        <w:tc>
          <w:tcPr>
            <w:tcW w:w="1403" w:type="dxa"/>
            <w:vAlign w:val="center"/>
          </w:tcPr>
          <w:p>
            <w:pPr>
              <w:jc w:val="center"/>
              <w:rPr>
                <w:color w:val="auto"/>
                <w:sz w:val="21"/>
                <w:szCs w:val="21"/>
              </w:rPr>
            </w:pPr>
            <w:r>
              <w:rPr>
                <w:rFonts w:hint="eastAsia"/>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color w:val="auto"/>
                <w:sz w:val="21"/>
                <w:szCs w:val="21"/>
              </w:rPr>
            </w:pPr>
            <w:r>
              <w:rPr>
                <w:rFonts w:hint="eastAsia"/>
                <w:color w:val="auto"/>
                <w:sz w:val="21"/>
                <w:szCs w:val="21"/>
              </w:rPr>
              <w:t>废水治理</w:t>
            </w:r>
          </w:p>
        </w:tc>
        <w:tc>
          <w:tcPr>
            <w:tcW w:w="1701" w:type="dxa"/>
            <w:vAlign w:val="center"/>
          </w:tcPr>
          <w:p>
            <w:pPr>
              <w:jc w:val="center"/>
              <w:rPr>
                <w:color w:val="auto"/>
                <w:sz w:val="21"/>
                <w:szCs w:val="21"/>
              </w:rPr>
            </w:pPr>
            <w:r>
              <w:rPr>
                <w:rFonts w:hint="eastAsia"/>
                <w:color w:val="auto"/>
                <w:sz w:val="21"/>
                <w:szCs w:val="21"/>
              </w:rPr>
              <w:t>生活污水、生产废水、收纳污水</w:t>
            </w:r>
          </w:p>
        </w:tc>
        <w:tc>
          <w:tcPr>
            <w:tcW w:w="4216" w:type="dxa"/>
            <w:vAlign w:val="center"/>
          </w:tcPr>
          <w:p>
            <w:pPr>
              <w:jc w:val="center"/>
              <w:rPr>
                <w:color w:val="auto"/>
                <w:sz w:val="21"/>
                <w:szCs w:val="21"/>
              </w:rPr>
            </w:pPr>
            <w:r>
              <w:rPr>
                <w:rFonts w:hint="eastAsia"/>
                <w:color w:val="auto"/>
                <w:sz w:val="21"/>
                <w:szCs w:val="21"/>
              </w:rPr>
              <w:t>收集后进入污水处理系统达标处理</w:t>
            </w:r>
          </w:p>
        </w:tc>
        <w:tc>
          <w:tcPr>
            <w:tcW w:w="1403" w:type="dxa"/>
            <w:vAlign w:val="center"/>
          </w:tcPr>
          <w:p>
            <w:pPr>
              <w:jc w:val="center"/>
              <w:rPr>
                <w:color w:val="auto"/>
                <w:sz w:val="21"/>
                <w:szCs w:val="21"/>
              </w:rPr>
            </w:pPr>
            <w:r>
              <w:rPr>
                <w:rFonts w:hint="eastAsia"/>
                <w:color w:val="auto"/>
                <w:sz w:val="21"/>
                <w:szCs w:val="21"/>
              </w:rPr>
              <w:t>4529.73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pPr>
              <w:jc w:val="center"/>
              <w:rPr>
                <w:color w:val="auto"/>
                <w:sz w:val="21"/>
                <w:szCs w:val="21"/>
              </w:rPr>
            </w:pPr>
            <w:r>
              <w:rPr>
                <w:rFonts w:hint="eastAsia"/>
                <w:color w:val="auto"/>
                <w:sz w:val="21"/>
                <w:szCs w:val="21"/>
              </w:rPr>
              <w:t>地下水、土壤治理</w:t>
            </w:r>
          </w:p>
        </w:tc>
        <w:tc>
          <w:tcPr>
            <w:tcW w:w="1701" w:type="dxa"/>
            <w:vAlign w:val="center"/>
          </w:tcPr>
          <w:p>
            <w:pPr>
              <w:jc w:val="center"/>
              <w:rPr>
                <w:color w:val="auto"/>
                <w:sz w:val="21"/>
                <w:szCs w:val="21"/>
              </w:rPr>
            </w:pPr>
            <w:r>
              <w:rPr>
                <w:rFonts w:hint="eastAsia"/>
                <w:color w:val="auto"/>
                <w:sz w:val="21"/>
                <w:szCs w:val="21"/>
              </w:rPr>
              <w:t>厂区防渗</w:t>
            </w:r>
          </w:p>
        </w:tc>
        <w:tc>
          <w:tcPr>
            <w:tcW w:w="4216" w:type="dxa"/>
            <w:vAlign w:val="center"/>
          </w:tcPr>
          <w:p>
            <w:pPr>
              <w:jc w:val="center"/>
              <w:rPr>
                <w:color w:val="auto"/>
                <w:sz w:val="21"/>
                <w:szCs w:val="21"/>
              </w:rPr>
            </w:pPr>
            <w:r>
              <w:rPr>
                <w:rFonts w:hint="eastAsia"/>
                <w:color w:val="auto"/>
                <w:sz w:val="21"/>
                <w:szCs w:val="21"/>
              </w:rPr>
              <w:t>对厂区不同构筑物进行不同级别的防渗，格栅、生化池、加药间、污泥脱水间等为重点防渗区要求采用抗渗混凝土+HDPE 膜材料，渗透系数≤10</w:t>
            </w:r>
            <w:r>
              <w:rPr>
                <w:rFonts w:hint="eastAsia"/>
                <w:color w:val="auto"/>
                <w:sz w:val="21"/>
                <w:szCs w:val="21"/>
                <w:vertAlign w:val="superscript"/>
              </w:rPr>
              <w:t>-12</w:t>
            </w:r>
            <w:r>
              <w:rPr>
                <w:rFonts w:hint="eastAsia"/>
                <w:color w:val="auto"/>
                <w:sz w:val="21"/>
                <w:szCs w:val="21"/>
              </w:rPr>
              <w:t>cm/s；公辅设备区、办公生活区和装置区等为一般防渗区，设置混凝土层，渗透系数≤10</w:t>
            </w:r>
            <w:r>
              <w:rPr>
                <w:rFonts w:hint="eastAsia"/>
                <w:color w:val="auto"/>
                <w:sz w:val="21"/>
                <w:szCs w:val="21"/>
                <w:vertAlign w:val="superscript"/>
              </w:rPr>
              <w:t>-7</w:t>
            </w:r>
            <w:r>
              <w:rPr>
                <w:rFonts w:hint="eastAsia"/>
                <w:color w:val="auto"/>
                <w:sz w:val="21"/>
                <w:szCs w:val="21"/>
              </w:rPr>
              <w:t>cm/s；其他区域为简单防渗区，一般地面硬化</w:t>
            </w:r>
          </w:p>
        </w:tc>
        <w:tc>
          <w:tcPr>
            <w:tcW w:w="1403" w:type="dxa"/>
            <w:vAlign w:val="center"/>
          </w:tcPr>
          <w:p>
            <w:pPr>
              <w:jc w:val="center"/>
              <w:rPr>
                <w:color w:val="auto"/>
                <w:sz w:val="21"/>
                <w:szCs w:val="21"/>
              </w:rPr>
            </w:pPr>
            <w:r>
              <w:rPr>
                <w:rFonts w:hint="eastAsia"/>
                <w:color w:val="auto"/>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Merge w:val="restart"/>
            <w:vAlign w:val="center"/>
          </w:tcPr>
          <w:p>
            <w:pPr>
              <w:jc w:val="center"/>
              <w:rPr>
                <w:color w:val="auto"/>
                <w:sz w:val="21"/>
                <w:szCs w:val="21"/>
              </w:rPr>
            </w:pPr>
            <w:r>
              <w:rPr>
                <w:rFonts w:hint="eastAsia"/>
                <w:color w:val="auto"/>
                <w:sz w:val="21"/>
                <w:szCs w:val="21"/>
              </w:rPr>
              <w:t>风险防范措施</w:t>
            </w:r>
          </w:p>
        </w:tc>
        <w:tc>
          <w:tcPr>
            <w:tcW w:w="4216" w:type="dxa"/>
            <w:vAlign w:val="center"/>
          </w:tcPr>
          <w:p>
            <w:pPr>
              <w:jc w:val="center"/>
              <w:rPr>
                <w:color w:val="auto"/>
                <w:sz w:val="21"/>
                <w:szCs w:val="21"/>
              </w:rPr>
            </w:pPr>
            <w:r>
              <w:rPr>
                <w:rFonts w:hint="eastAsia"/>
                <w:color w:val="auto"/>
                <w:sz w:val="21"/>
                <w:szCs w:val="21"/>
              </w:rPr>
              <w:t>厂区设置双回路电源或备用电源，以保证正常生产和事故应急</w:t>
            </w:r>
          </w:p>
        </w:tc>
        <w:tc>
          <w:tcPr>
            <w:tcW w:w="1403" w:type="dxa"/>
            <w:vAlign w:val="center"/>
          </w:tcPr>
          <w:p>
            <w:pPr>
              <w:jc w:val="center"/>
              <w:rPr>
                <w:color w:val="auto"/>
                <w:sz w:val="21"/>
                <w:szCs w:val="21"/>
              </w:rPr>
            </w:pPr>
            <w:r>
              <w:rPr>
                <w:rFonts w:hint="eastAsia"/>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18" w:type="dxa"/>
            <w:gridSpan w:val="2"/>
            <w:vMerge w:val="continue"/>
            <w:vAlign w:val="center"/>
          </w:tcPr>
          <w:p>
            <w:pPr>
              <w:jc w:val="center"/>
              <w:rPr>
                <w:color w:val="auto"/>
                <w:sz w:val="21"/>
                <w:szCs w:val="21"/>
              </w:rPr>
            </w:pPr>
          </w:p>
        </w:tc>
        <w:tc>
          <w:tcPr>
            <w:tcW w:w="4216" w:type="dxa"/>
            <w:vAlign w:val="center"/>
          </w:tcPr>
          <w:p>
            <w:pPr>
              <w:jc w:val="center"/>
              <w:rPr>
                <w:color w:val="auto"/>
                <w:sz w:val="21"/>
                <w:szCs w:val="21"/>
              </w:rPr>
            </w:pPr>
            <w:r>
              <w:rPr>
                <w:rFonts w:hint="eastAsia"/>
                <w:color w:val="auto"/>
                <w:sz w:val="21"/>
                <w:szCs w:val="21"/>
              </w:rPr>
              <w:t>安装消防管道设施，各办公区、加药间及其他区域均配置有相应数量的灭火器</w:t>
            </w:r>
          </w:p>
        </w:tc>
        <w:tc>
          <w:tcPr>
            <w:tcW w:w="1403" w:type="dxa"/>
            <w:vAlign w:val="center"/>
          </w:tcPr>
          <w:p>
            <w:pPr>
              <w:jc w:val="center"/>
              <w:rPr>
                <w:color w:val="auto"/>
                <w:sz w:val="21"/>
                <w:szCs w:val="21"/>
              </w:rPr>
            </w:pPr>
            <w:r>
              <w:rPr>
                <w:rFonts w:hint="eastAsia"/>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Merge w:val="continue"/>
            <w:vAlign w:val="center"/>
          </w:tcPr>
          <w:p>
            <w:pPr>
              <w:jc w:val="center"/>
              <w:rPr>
                <w:color w:val="auto"/>
                <w:sz w:val="21"/>
                <w:szCs w:val="21"/>
              </w:rPr>
            </w:pPr>
          </w:p>
        </w:tc>
        <w:tc>
          <w:tcPr>
            <w:tcW w:w="4216" w:type="dxa"/>
            <w:vAlign w:val="center"/>
          </w:tcPr>
          <w:p>
            <w:pPr>
              <w:jc w:val="center"/>
              <w:rPr>
                <w:color w:val="auto"/>
                <w:sz w:val="21"/>
                <w:szCs w:val="21"/>
              </w:rPr>
            </w:pPr>
            <w:r>
              <w:rPr>
                <w:rFonts w:hint="eastAsia"/>
                <w:color w:val="auto"/>
                <w:sz w:val="21"/>
                <w:szCs w:val="21"/>
              </w:rPr>
              <w:t>水质净化厂进水口及排水口在线监测系统2套</w:t>
            </w:r>
          </w:p>
        </w:tc>
        <w:tc>
          <w:tcPr>
            <w:tcW w:w="1403" w:type="dxa"/>
            <w:vAlign w:val="center"/>
          </w:tcPr>
          <w:p>
            <w:pPr>
              <w:jc w:val="center"/>
              <w:rPr>
                <w:color w:val="auto"/>
                <w:sz w:val="21"/>
                <w:szCs w:val="21"/>
              </w:rPr>
            </w:pPr>
            <w:r>
              <w:rPr>
                <w:rFonts w:hint="eastAsia"/>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Merge w:val="continue"/>
            <w:vAlign w:val="center"/>
          </w:tcPr>
          <w:p>
            <w:pPr>
              <w:jc w:val="center"/>
              <w:rPr>
                <w:color w:val="auto"/>
                <w:sz w:val="21"/>
                <w:szCs w:val="21"/>
              </w:rPr>
            </w:pPr>
          </w:p>
        </w:tc>
        <w:tc>
          <w:tcPr>
            <w:tcW w:w="4216" w:type="dxa"/>
            <w:vAlign w:val="center"/>
          </w:tcPr>
          <w:p>
            <w:pPr>
              <w:jc w:val="center"/>
              <w:rPr>
                <w:color w:val="auto"/>
                <w:sz w:val="21"/>
                <w:szCs w:val="21"/>
              </w:rPr>
            </w:pPr>
            <w:r>
              <w:rPr>
                <w:rFonts w:hint="eastAsia"/>
                <w:color w:val="auto"/>
                <w:sz w:val="21"/>
                <w:szCs w:val="21"/>
              </w:rPr>
              <w:t>制定突发环境风险事故应急预案，配备相应的应急物资和应急监测设备</w:t>
            </w:r>
          </w:p>
        </w:tc>
        <w:tc>
          <w:tcPr>
            <w:tcW w:w="1403" w:type="dxa"/>
            <w:vAlign w:val="center"/>
          </w:tcPr>
          <w:p>
            <w:pPr>
              <w:jc w:val="center"/>
              <w:rPr>
                <w:color w:val="auto"/>
                <w:sz w:val="21"/>
                <w:szCs w:val="21"/>
              </w:rPr>
            </w:pPr>
            <w:r>
              <w:rPr>
                <w:rFonts w:hint="eastAsia"/>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jc w:val="center"/>
              <w:rPr>
                <w:color w:val="auto"/>
                <w:sz w:val="21"/>
                <w:szCs w:val="21"/>
              </w:rPr>
            </w:pPr>
            <w:r>
              <w:rPr>
                <w:rFonts w:hint="eastAsia"/>
                <w:color w:val="auto"/>
                <w:sz w:val="21"/>
                <w:szCs w:val="21"/>
              </w:rPr>
              <w:t>绿化工程</w:t>
            </w:r>
          </w:p>
        </w:tc>
        <w:tc>
          <w:tcPr>
            <w:tcW w:w="4216" w:type="dxa"/>
            <w:vAlign w:val="center"/>
          </w:tcPr>
          <w:p>
            <w:pPr>
              <w:jc w:val="center"/>
              <w:rPr>
                <w:color w:val="auto"/>
                <w:sz w:val="21"/>
                <w:szCs w:val="21"/>
              </w:rPr>
            </w:pPr>
            <w:r>
              <w:rPr>
                <w:rFonts w:hint="eastAsia"/>
                <w:color w:val="auto"/>
                <w:sz w:val="21"/>
                <w:szCs w:val="21"/>
              </w:rPr>
              <w:t>绿化面积约9000m</w:t>
            </w:r>
            <w:r>
              <w:rPr>
                <w:rFonts w:hint="eastAsia"/>
                <w:color w:val="auto"/>
                <w:sz w:val="21"/>
                <w:szCs w:val="21"/>
                <w:vertAlign w:val="superscript"/>
              </w:rPr>
              <w:t>2</w:t>
            </w:r>
            <w:r>
              <w:rPr>
                <w:rFonts w:hint="eastAsia"/>
                <w:color w:val="auto"/>
                <w:sz w:val="21"/>
                <w:szCs w:val="21"/>
              </w:rPr>
              <w:t>，可有效净化少量无组织排放的恶臭，同时具有隔声、美化环境等效果</w:t>
            </w:r>
          </w:p>
        </w:tc>
        <w:tc>
          <w:tcPr>
            <w:tcW w:w="1403" w:type="dxa"/>
            <w:vAlign w:val="center"/>
          </w:tcPr>
          <w:p>
            <w:pPr>
              <w:jc w:val="center"/>
              <w:rPr>
                <w:color w:val="auto"/>
                <w:sz w:val="21"/>
                <w:szCs w:val="21"/>
              </w:rPr>
            </w:pPr>
            <w:r>
              <w:rPr>
                <w:rFonts w:hint="eastAsia"/>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734" w:type="dxa"/>
            <w:gridSpan w:val="3"/>
            <w:vAlign w:val="center"/>
          </w:tcPr>
          <w:p>
            <w:pPr>
              <w:jc w:val="center"/>
              <w:rPr>
                <w:color w:val="auto"/>
                <w:sz w:val="21"/>
                <w:szCs w:val="21"/>
              </w:rPr>
            </w:pPr>
            <w:r>
              <w:rPr>
                <w:rFonts w:hint="eastAsia"/>
                <w:color w:val="auto"/>
                <w:sz w:val="21"/>
                <w:szCs w:val="21"/>
              </w:rPr>
              <w:t>合计</w:t>
            </w:r>
          </w:p>
        </w:tc>
        <w:tc>
          <w:tcPr>
            <w:tcW w:w="1403" w:type="dxa"/>
            <w:vAlign w:val="center"/>
          </w:tcPr>
          <w:p>
            <w:pPr>
              <w:jc w:val="center"/>
              <w:rPr>
                <w:color w:val="auto"/>
                <w:sz w:val="21"/>
                <w:szCs w:val="21"/>
              </w:rPr>
            </w:pPr>
            <w:r>
              <w:rPr>
                <w:rFonts w:hint="eastAsia"/>
                <w:color w:val="auto"/>
                <w:sz w:val="21"/>
                <w:szCs w:val="21"/>
              </w:rPr>
              <w:t>5202.73</w:t>
            </w:r>
          </w:p>
        </w:tc>
      </w:tr>
    </w:tbl>
    <w:p>
      <w:pPr>
        <w:adjustRightInd w:val="0"/>
        <w:snapToGrid w:val="0"/>
        <w:spacing w:line="360" w:lineRule="auto"/>
        <w:ind w:firstLine="480" w:firstLineChars="200"/>
        <w:jc w:val="left"/>
        <w:rPr>
          <w:color w:val="auto"/>
        </w:rPr>
        <w:sectPr>
          <w:pgSz w:w="11906" w:h="16838"/>
          <w:pgMar w:top="1440" w:right="1800" w:bottom="1440" w:left="1800" w:header="851" w:footer="992" w:gutter="0"/>
          <w:cols w:space="425" w:num="1"/>
          <w:docGrid w:type="lines" w:linePitch="312" w:charSpace="0"/>
        </w:sectPr>
      </w:pPr>
      <w:r>
        <w:rPr>
          <w:rFonts w:hint="eastAsia"/>
          <w:color w:val="auto"/>
          <w:sz w:val="24"/>
          <w:szCs w:val="24"/>
        </w:rPr>
        <w:t>本项目为水质净化厂新建项目，属市政环保项目，项目工程效益主要为环保效益，总投资即为环保投资，上表为具体的环境保护措施投资估算。</w:t>
      </w:r>
    </w:p>
    <w:p>
      <w:pPr>
        <w:pStyle w:val="2"/>
        <w:rPr>
          <w:color w:val="auto"/>
        </w:rPr>
      </w:pPr>
      <w:bookmarkStart w:id="166" w:name="_Toc26276882"/>
      <w:bookmarkStart w:id="167" w:name="_Toc13744"/>
      <w:r>
        <w:rPr>
          <w:rFonts w:hint="eastAsia"/>
          <w:color w:val="auto"/>
        </w:rPr>
        <w:t>7污染物排放总量控制</w:t>
      </w:r>
      <w:bookmarkEnd w:id="166"/>
      <w:bookmarkEnd w:id="167"/>
    </w:p>
    <w:p>
      <w:pPr>
        <w:spacing w:line="360" w:lineRule="auto"/>
        <w:ind w:firstLine="480" w:firstLineChars="200"/>
        <w:rPr>
          <w:color w:val="auto"/>
          <w:sz w:val="24"/>
          <w:szCs w:val="24"/>
        </w:rPr>
      </w:pPr>
      <w:r>
        <w:rPr>
          <w:rFonts w:hint="eastAsia"/>
          <w:color w:val="auto"/>
          <w:sz w:val="24"/>
          <w:szCs w:val="24"/>
        </w:rPr>
        <w:t>贯彻落实国家和广东省污染物排放总量控制规划是实现环境保护目标的重大举措之一。由浓度控制向总量控制的转变标志着我国环境保护工作迈入了一个新的发展阶段。实施总量控制将促进资源、能源的合理利用和优化配置，加速产业结构调整，实现经济增长方式的根本转变。实施总量控制可以较好地处理经济发展与环境保护之间的协调关系，推动可持续发展战略的实行。</w:t>
      </w:r>
    </w:p>
    <w:p>
      <w:pPr>
        <w:spacing w:line="360" w:lineRule="auto"/>
        <w:ind w:firstLine="480" w:firstLineChars="200"/>
        <w:rPr>
          <w:color w:val="auto"/>
          <w:sz w:val="24"/>
          <w:szCs w:val="24"/>
        </w:rPr>
      </w:pPr>
      <w:r>
        <w:rPr>
          <w:rFonts w:hint="eastAsia"/>
          <w:color w:val="auto"/>
          <w:sz w:val="24"/>
          <w:szCs w:val="24"/>
        </w:rPr>
        <w:t>污染物排放总量控制的目的是根据环境质量标准，通过调控污染源分布状况和污染排放方式，把污染物负荷总量控制在自然环境的承载力范围之内。本项目为水质净化厂建设项目，属于环境正效益工程，有利于减少水污染物的排放，改善区域地表水质现状。</w:t>
      </w:r>
    </w:p>
    <w:p>
      <w:pPr>
        <w:autoSpaceDE w:val="0"/>
        <w:autoSpaceDN w:val="0"/>
        <w:adjustRightInd w:val="0"/>
        <w:snapToGrid w:val="0"/>
        <w:spacing w:line="360" w:lineRule="auto"/>
        <w:ind w:firstLine="480" w:firstLineChars="200"/>
        <w:rPr>
          <w:rFonts w:hAnsi="宋体"/>
          <w:color w:val="auto"/>
          <w:kern w:val="0"/>
          <w:sz w:val="24"/>
          <w:szCs w:val="24"/>
        </w:rPr>
      </w:pPr>
      <w:r>
        <w:rPr>
          <w:rFonts w:hint="eastAsia" w:hAnsi="宋体"/>
          <w:color w:val="auto"/>
          <w:kern w:val="0"/>
          <w:sz w:val="24"/>
          <w:szCs w:val="24"/>
        </w:rPr>
        <w:t>根据《国务院关于印发“十三五”生态环境保护规划的通知》（国发[2016]65 号）、广东省环境保护厅《关于印发广东省环境保护“十三五”规划的通知》（粤环（2016）51 号）及《国务院关于印发大气污染防治行动计划的通知》（国发[2013]37 号），确定总量控制指标为COD</w:t>
      </w:r>
      <w:r>
        <w:rPr>
          <w:rFonts w:hint="eastAsia" w:hAnsi="宋体"/>
          <w:color w:val="auto"/>
          <w:kern w:val="0"/>
          <w:sz w:val="24"/>
          <w:szCs w:val="24"/>
          <w:vertAlign w:val="subscript"/>
        </w:rPr>
        <w:t>Cr</w:t>
      </w:r>
      <w:r>
        <w:rPr>
          <w:rFonts w:hint="eastAsia" w:hAnsi="宋体"/>
          <w:color w:val="auto"/>
          <w:kern w:val="0"/>
          <w:sz w:val="24"/>
          <w:szCs w:val="24"/>
        </w:rPr>
        <w:t>、NH</w:t>
      </w:r>
      <w:r>
        <w:rPr>
          <w:rFonts w:hint="eastAsia" w:hAnsi="宋体"/>
          <w:color w:val="auto"/>
          <w:kern w:val="0"/>
          <w:sz w:val="24"/>
          <w:szCs w:val="24"/>
          <w:vertAlign w:val="subscript"/>
        </w:rPr>
        <w:t>3</w:t>
      </w:r>
      <w:r>
        <w:rPr>
          <w:rFonts w:hint="eastAsia" w:hAnsi="宋体"/>
          <w:color w:val="auto"/>
          <w:kern w:val="0"/>
          <w:sz w:val="24"/>
          <w:szCs w:val="24"/>
        </w:rPr>
        <w:t>-N、SO</w:t>
      </w:r>
      <w:r>
        <w:rPr>
          <w:rFonts w:hint="eastAsia" w:hAnsi="宋体"/>
          <w:color w:val="auto"/>
          <w:kern w:val="0"/>
          <w:sz w:val="24"/>
          <w:szCs w:val="24"/>
          <w:vertAlign w:val="subscript"/>
        </w:rPr>
        <w:t>2</w:t>
      </w:r>
      <w:r>
        <w:rPr>
          <w:rFonts w:hint="eastAsia" w:hAnsi="宋体"/>
          <w:color w:val="auto"/>
          <w:kern w:val="0"/>
          <w:sz w:val="24"/>
          <w:szCs w:val="24"/>
        </w:rPr>
        <w:t>、NO</w:t>
      </w:r>
      <w:r>
        <w:rPr>
          <w:rFonts w:hint="eastAsia" w:hAnsi="宋体"/>
          <w:color w:val="auto"/>
          <w:kern w:val="0"/>
          <w:sz w:val="24"/>
          <w:szCs w:val="24"/>
          <w:vertAlign w:val="subscript"/>
        </w:rPr>
        <w:t>X</w:t>
      </w:r>
      <w:r>
        <w:rPr>
          <w:rFonts w:hint="eastAsia" w:hAnsi="宋体"/>
          <w:color w:val="auto"/>
          <w:kern w:val="0"/>
          <w:sz w:val="24"/>
          <w:szCs w:val="24"/>
        </w:rPr>
        <w:t>、烟粉尘、总氮、挥发性有机化合物。</w:t>
      </w:r>
    </w:p>
    <w:p>
      <w:pPr>
        <w:autoSpaceDE w:val="0"/>
        <w:autoSpaceDN w:val="0"/>
        <w:adjustRightInd w:val="0"/>
        <w:snapToGrid w:val="0"/>
        <w:spacing w:line="360" w:lineRule="auto"/>
        <w:ind w:firstLine="480" w:firstLineChars="200"/>
        <w:rPr>
          <w:rFonts w:hAnsi="宋体"/>
          <w:color w:val="auto"/>
          <w:kern w:val="0"/>
          <w:sz w:val="24"/>
          <w:szCs w:val="24"/>
        </w:rPr>
      </w:pPr>
      <w:r>
        <w:rPr>
          <w:color w:val="auto"/>
          <w:sz w:val="24"/>
          <w:szCs w:val="24"/>
        </w:rPr>
        <w:t>按达标排放的原则，提出本项目污染物排放总量控制指标建议如下表</w:t>
      </w:r>
      <w:r>
        <w:rPr>
          <w:rFonts w:hint="eastAsia"/>
          <w:color w:val="auto"/>
          <w:sz w:val="24"/>
          <w:szCs w:val="24"/>
        </w:rPr>
        <w:t>所示。</w:t>
      </w:r>
    </w:p>
    <w:p>
      <w:pPr>
        <w:spacing w:line="360" w:lineRule="auto"/>
        <w:jc w:val="center"/>
        <w:rPr>
          <w:b/>
          <w:color w:val="auto"/>
          <w:sz w:val="24"/>
          <w:szCs w:val="24"/>
        </w:rPr>
      </w:pPr>
      <w:r>
        <w:rPr>
          <w:rFonts w:hint="eastAsia"/>
          <w:b/>
          <w:color w:val="auto"/>
          <w:sz w:val="24"/>
          <w:szCs w:val="24"/>
        </w:rPr>
        <w:t>表7-1-1   项目污染物总量控制指标</w:t>
      </w:r>
    </w:p>
    <w:tbl>
      <w:tblPr>
        <w:tblStyle w:val="2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268"/>
        <w:gridCol w:w="1701"/>
        <w:gridCol w:w="156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b/>
                <w:color w:val="auto"/>
                <w:sz w:val="21"/>
                <w:szCs w:val="21"/>
              </w:rPr>
            </w:pPr>
            <w:r>
              <w:rPr>
                <w:rFonts w:hAnsi="宋体"/>
                <w:b/>
                <w:color w:val="auto"/>
                <w:sz w:val="21"/>
                <w:szCs w:val="21"/>
              </w:rPr>
              <w:t>项目</w:t>
            </w:r>
          </w:p>
        </w:tc>
        <w:tc>
          <w:tcPr>
            <w:tcW w:w="2268" w:type="dxa"/>
            <w:vAlign w:val="center"/>
          </w:tcPr>
          <w:p>
            <w:pPr>
              <w:jc w:val="center"/>
              <w:rPr>
                <w:b/>
                <w:color w:val="auto"/>
                <w:sz w:val="21"/>
                <w:szCs w:val="21"/>
              </w:rPr>
            </w:pPr>
            <w:r>
              <w:rPr>
                <w:rFonts w:hAnsi="宋体"/>
                <w:b/>
                <w:color w:val="auto"/>
                <w:sz w:val="21"/>
                <w:szCs w:val="21"/>
              </w:rPr>
              <w:t>排放</w:t>
            </w:r>
            <w:r>
              <w:rPr>
                <w:b/>
                <w:color w:val="auto"/>
                <w:sz w:val="21"/>
                <w:szCs w:val="21"/>
              </w:rPr>
              <w:t>/</w:t>
            </w:r>
            <w:r>
              <w:rPr>
                <w:rFonts w:hAnsi="宋体"/>
                <w:b/>
                <w:color w:val="auto"/>
                <w:sz w:val="21"/>
                <w:szCs w:val="21"/>
              </w:rPr>
              <w:t>协议标准</w:t>
            </w:r>
          </w:p>
        </w:tc>
        <w:tc>
          <w:tcPr>
            <w:tcW w:w="1701" w:type="dxa"/>
            <w:vAlign w:val="center"/>
          </w:tcPr>
          <w:p>
            <w:pPr>
              <w:jc w:val="center"/>
              <w:rPr>
                <w:b/>
                <w:color w:val="auto"/>
                <w:sz w:val="21"/>
                <w:szCs w:val="21"/>
              </w:rPr>
            </w:pPr>
            <w:r>
              <w:rPr>
                <w:rFonts w:hAnsi="宋体"/>
                <w:b/>
                <w:color w:val="auto"/>
                <w:sz w:val="21"/>
                <w:szCs w:val="21"/>
              </w:rPr>
              <w:t>排放量</w:t>
            </w:r>
          </w:p>
        </w:tc>
        <w:tc>
          <w:tcPr>
            <w:tcW w:w="1560" w:type="dxa"/>
            <w:vAlign w:val="center"/>
          </w:tcPr>
          <w:p>
            <w:pPr>
              <w:jc w:val="center"/>
              <w:rPr>
                <w:b/>
                <w:color w:val="auto"/>
                <w:sz w:val="21"/>
                <w:szCs w:val="21"/>
              </w:rPr>
            </w:pPr>
            <w:r>
              <w:rPr>
                <w:rFonts w:hAnsi="宋体"/>
                <w:b/>
                <w:color w:val="auto"/>
                <w:sz w:val="21"/>
                <w:szCs w:val="21"/>
              </w:rPr>
              <w:t>运行时间</w:t>
            </w:r>
          </w:p>
        </w:tc>
        <w:tc>
          <w:tcPr>
            <w:tcW w:w="2268" w:type="dxa"/>
            <w:vAlign w:val="center"/>
          </w:tcPr>
          <w:p>
            <w:pPr>
              <w:jc w:val="center"/>
              <w:rPr>
                <w:b/>
                <w:color w:val="auto"/>
                <w:sz w:val="21"/>
                <w:szCs w:val="21"/>
              </w:rPr>
            </w:pPr>
            <w:r>
              <w:rPr>
                <w:rFonts w:hAnsi="宋体"/>
                <w:b/>
                <w:color w:val="auto"/>
                <w:sz w:val="21"/>
                <w:szCs w:val="21"/>
              </w:rPr>
              <w:t>污染物年排放量（</w:t>
            </w:r>
            <w:r>
              <w:rPr>
                <w:b/>
                <w:color w:val="auto"/>
                <w:sz w:val="21"/>
                <w:szCs w:val="21"/>
              </w:rPr>
              <w:t>t/a</w:t>
            </w:r>
            <w:r>
              <w:rPr>
                <w:rFonts w:hAnsi="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color w:val="auto"/>
                <w:sz w:val="21"/>
                <w:szCs w:val="21"/>
              </w:rPr>
            </w:pPr>
            <w:r>
              <w:rPr>
                <w:color w:val="auto"/>
                <w:kern w:val="0"/>
                <w:sz w:val="21"/>
                <w:szCs w:val="21"/>
              </w:rPr>
              <w:t>COD</w:t>
            </w:r>
            <w:r>
              <w:rPr>
                <w:color w:val="auto"/>
                <w:kern w:val="0"/>
                <w:sz w:val="21"/>
                <w:szCs w:val="21"/>
                <w:vertAlign w:val="subscript"/>
              </w:rPr>
              <w:t>Cr</w:t>
            </w:r>
          </w:p>
        </w:tc>
        <w:tc>
          <w:tcPr>
            <w:tcW w:w="2268" w:type="dxa"/>
            <w:vAlign w:val="center"/>
          </w:tcPr>
          <w:p>
            <w:pPr>
              <w:jc w:val="center"/>
              <w:rPr>
                <w:color w:val="auto"/>
                <w:sz w:val="21"/>
                <w:szCs w:val="21"/>
              </w:rPr>
            </w:pPr>
            <w:r>
              <w:rPr>
                <w:color w:val="auto"/>
                <w:sz w:val="21"/>
                <w:szCs w:val="21"/>
              </w:rPr>
              <w:t>30mg/L</w:t>
            </w:r>
          </w:p>
        </w:tc>
        <w:tc>
          <w:tcPr>
            <w:tcW w:w="1701" w:type="dxa"/>
            <w:vAlign w:val="center"/>
          </w:tcPr>
          <w:p>
            <w:pPr>
              <w:jc w:val="center"/>
              <w:rPr>
                <w:color w:val="auto"/>
                <w:sz w:val="21"/>
                <w:szCs w:val="21"/>
              </w:rPr>
            </w:pPr>
            <w:r>
              <w:rPr>
                <w:rFonts w:hint="eastAsia"/>
                <w:color w:val="auto"/>
                <w:sz w:val="21"/>
                <w:szCs w:val="21"/>
              </w:rPr>
              <w:t>56</w:t>
            </w:r>
            <w:r>
              <w:rPr>
                <w:color w:val="auto"/>
                <w:sz w:val="21"/>
                <w:szCs w:val="21"/>
              </w:rPr>
              <w:t>00m</w:t>
            </w:r>
            <w:r>
              <w:rPr>
                <w:color w:val="auto"/>
                <w:sz w:val="21"/>
                <w:szCs w:val="21"/>
                <w:vertAlign w:val="superscript"/>
              </w:rPr>
              <w:t>3</w:t>
            </w:r>
            <w:r>
              <w:rPr>
                <w:color w:val="auto"/>
                <w:sz w:val="21"/>
                <w:szCs w:val="21"/>
              </w:rPr>
              <w:t>/d</w:t>
            </w:r>
          </w:p>
        </w:tc>
        <w:tc>
          <w:tcPr>
            <w:tcW w:w="1560" w:type="dxa"/>
            <w:vAlign w:val="center"/>
          </w:tcPr>
          <w:p>
            <w:pPr>
              <w:jc w:val="center"/>
              <w:rPr>
                <w:color w:val="auto"/>
                <w:sz w:val="21"/>
                <w:szCs w:val="21"/>
              </w:rPr>
            </w:pPr>
            <w:r>
              <w:rPr>
                <w:color w:val="auto"/>
                <w:sz w:val="21"/>
                <w:szCs w:val="21"/>
              </w:rPr>
              <w:t>365d/a</w:t>
            </w:r>
          </w:p>
        </w:tc>
        <w:tc>
          <w:tcPr>
            <w:tcW w:w="2268" w:type="dxa"/>
            <w:vAlign w:val="center"/>
          </w:tcPr>
          <w:p>
            <w:pPr>
              <w:jc w:val="center"/>
              <w:rPr>
                <w:color w:val="auto"/>
                <w:sz w:val="21"/>
                <w:szCs w:val="21"/>
              </w:rPr>
            </w:pPr>
            <w:r>
              <w:rPr>
                <w:rFonts w:hint="eastAsia"/>
                <w:color w:val="auto"/>
                <w:sz w:val="21"/>
                <w:szCs w:val="21"/>
              </w:rPr>
              <w:t>61.32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color w:val="auto"/>
                <w:sz w:val="21"/>
                <w:szCs w:val="21"/>
              </w:rPr>
            </w:pPr>
            <w:r>
              <w:rPr>
                <w:color w:val="auto"/>
                <w:kern w:val="0"/>
                <w:sz w:val="21"/>
                <w:szCs w:val="21"/>
              </w:rPr>
              <w:t>NH</w:t>
            </w:r>
            <w:r>
              <w:rPr>
                <w:color w:val="auto"/>
                <w:kern w:val="0"/>
                <w:sz w:val="21"/>
                <w:szCs w:val="21"/>
                <w:vertAlign w:val="subscript"/>
              </w:rPr>
              <w:t>3</w:t>
            </w:r>
            <w:r>
              <w:rPr>
                <w:color w:val="auto"/>
                <w:kern w:val="0"/>
                <w:sz w:val="21"/>
                <w:szCs w:val="21"/>
              </w:rPr>
              <w:t>-N</w:t>
            </w:r>
          </w:p>
        </w:tc>
        <w:tc>
          <w:tcPr>
            <w:tcW w:w="2268" w:type="dxa"/>
            <w:vAlign w:val="center"/>
          </w:tcPr>
          <w:p>
            <w:pPr>
              <w:jc w:val="center"/>
              <w:rPr>
                <w:color w:val="auto"/>
                <w:sz w:val="21"/>
                <w:szCs w:val="21"/>
              </w:rPr>
            </w:pPr>
            <w:r>
              <w:rPr>
                <w:color w:val="auto"/>
                <w:sz w:val="21"/>
                <w:szCs w:val="21"/>
              </w:rPr>
              <w:t>1.5mg/L</w:t>
            </w:r>
          </w:p>
        </w:tc>
        <w:tc>
          <w:tcPr>
            <w:tcW w:w="1701" w:type="dxa"/>
            <w:vAlign w:val="center"/>
          </w:tcPr>
          <w:p>
            <w:pPr>
              <w:jc w:val="center"/>
              <w:rPr>
                <w:color w:val="auto"/>
                <w:sz w:val="21"/>
                <w:szCs w:val="21"/>
              </w:rPr>
            </w:pPr>
            <w:r>
              <w:rPr>
                <w:rFonts w:hint="eastAsia"/>
                <w:color w:val="auto"/>
                <w:sz w:val="21"/>
                <w:szCs w:val="21"/>
              </w:rPr>
              <w:t>56</w:t>
            </w:r>
            <w:r>
              <w:rPr>
                <w:color w:val="auto"/>
                <w:sz w:val="21"/>
                <w:szCs w:val="21"/>
              </w:rPr>
              <w:t>00m</w:t>
            </w:r>
            <w:r>
              <w:rPr>
                <w:color w:val="auto"/>
                <w:sz w:val="21"/>
                <w:szCs w:val="21"/>
                <w:vertAlign w:val="superscript"/>
              </w:rPr>
              <w:t>3</w:t>
            </w:r>
            <w:r>
              <w:rPr>
                <w:color w:val="auto"/>
                <w:sz w:val="21"/>
                <w:szCs w:val="21"/>
              </w:rPr>
              <w:t>/d</w:t>
            </w:r>
          </w:p>
        </w:tc>
        <w:tc>
          <w:tcPr>
            <w:tcW w:w="1560" w:type="dxa"/>
            <w:vAlign w:val="center"/>
          </w:tcPr>
          <w:p>
            <w:pPr>
              <w:jc w:val="center"/>
              <w:rPr>
                <w:color w:val="auto"/>
                <w:sz w:val="21"/>
                <w:szCs w:val="21"/>
              </w:rPr>
            </w:pPr>
            <w:r>
              <w:rPr>
                <w:color w:val="auto"/>
                <w:sz w:val="21"/>
                <w:szCs w:val="21"/>
              </w:rPr>
              <w:t>365d/a</w:t>
            </w:r>
          </w:p>
        </w:tc>
        <w:tc>
          <w:tcPr>
            <w:tcW w:w="2268" w:type="dxa"/>
            <w:vAlign w:val="center"/>
          </w:tcPr>
          <w:p>
            <w:pPr>
              <w:jc w:val="center"/>
              <w:rPr>
                <w:color w:val="auto"/>
                <w:sz w:val="21"/>
                <w:szCs w:val="21"/>
              </w:rPr>
            </w:pPr>
            <w:r>
              <w:rPr>
                <w:rFonts w:hint="eastAsia"/>
                <w:color w:val="auto"/>
                <w:sz w:val="21"/>
                <w:szCs w:val="21"/>
              </w:rPr>
              <w:t>3.066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jc w:val="center"/>
              <w:rPr>
                <w:color w:val="auto"/>
                <w:sz w:val="21"/>
                <w:szCs w:val="21"/>
              </w:rPr>
            </w:pPr>
            <w:r>
              <w:rPr>
                <w:rFonts w:hAnsi="宋体"/>
                <w:color w:val="auto"/>
                <w:kern w:val="0"/>
                <w:sz w:val="21"/>
                <w:szCs w:val="21"/>
              </w:rPr>
              <w:t>总氮</w:t>
            </w:r>
          </w:p>
        </w:tc>
        <w:tc>
          <w:tcPr>
            <w:tcW w:w="2268" w:type="dxa"/>
            <w:vAlign w:val="center"/>
          </w:tcPr>
          <w:p>
            <w:pPr>
              <w:jc w:val="center"/>
              <w:rPr>
                <w:color w:val="auto"/>
                <w:sz w:val="21"/>
                <w:szCs w:val="21"/>
              </w:rPr>
            </w:pPr>
            <w:r>
              <w:rPr>
                <w:rFonts w:hint="eastAsia"/>
                <w:color w:val="auto"/>
                <w:sz w:val="21"/>
                <w:szCs w:val="21"/>
              </w:rPr>
              <w:t>10</w:t>
            </w:r>
            <w:r>
              <w:rPr>
                <w:color w:val="auto"/>
                <w:sz w:val="21"/>
                <w:szCs w:val="21"/>
              </w:rPr>
              <w:t>mg/L</w:t>
            </w:r>
          </w:p>
        </w:tc>
        <w:tc>
          <w:tcPr>
            <w:tcW w:w="1701" w:type="dxa"/>
            <w:vAlign w:val="center"/>
          </w:tcPr>
          <w:p>
            <w:pPr>
              <w:jc w:val="center"/>
              <w:rPr>
                <w:color w:val="auto"/>
                <w:sz w:val="21"/>
                <w:szCs w:val="21"/>
              </w:rPr>
            </w:pPr>
            <w:r>
              <w:rPr>
                <w:rFonts w:hint="eastAsia"/>
                <w:color w:val="auto"/>
                <w:sz w:val="21"/>
                <w:szCs w:val="21"/>
              </w:rPr>
              <w:t>56</w:t>
            </w:r>
            <w:r>
              <w:rPr>
                <w:color w:val="auto"/>
                <w:sz w:val="21"/>
                <w:szCs w:val="21"/>
              </w:rPr>
              <w:t>00m</w:t>
            </w:r>
            <w:r>
              <w:rPr>
                <w:color w:val="auto"/>
                <w:sz w:val="21"/>
                <w:szCs w:val="21"/>
                <w:vertAlign w:val="superscript"/>
              </w:rPr>
              <w:t>3</w:t>
            </w:r>
            <w:r>
              <w:rPr>
                <w:color w:val="auto"/>
                <w:sz w:val="21"/>
                <w:szCs w:val="21"/>
              </w:rPr>
              <w:t>/d</w:t>
            </w:r>
          </w:p>
        </w:tc>
        <w:tc>
          <w:tcPr>
            <w:tcW w:w="1560" w:type="dxa"/>
            <w:vAlign w:val="center"/>
          </w:tcPr>
          <w:p>
            <w:pPr>
              <w:jc w:val="center"/>
              <w:rPr>
                <w:color w:val="auto"/>
                <w:sz w:val="21"/>
                <w:szCs w:val="21"/>
              </w:rPr>
            </w:pPr>
            <w:r>
              <w:rPr>
                <w:color w:val="auto"/>
                <w:sz w:val="21"/>
                <w:szCs w:val="21"/>
              </w:rPr>
              <w:t>365d/a</w:t>
            </w:r>
          </w:p>
        </w:tc>
        <w:tc>
          <w:tcPr>
            <w:tcW w:w="2268" w:type="dxa"/>
            <w:vAlign w:val="center"/>
          </w:tcPr>
          <w:p>
            <w:pPr>
              <w:jc w:val="center"/>
              <w:rPr>
                <w:color w:val="auto"/>
                <w:sz w:val="21"/>
                <w:szCs w:val="21"/>
              </w:rPr>
            </w:pPr>
            <w:r>
              <w:rPr>
                <w:rFonts w:hint="eastAsia"/>
                <w:color w:val="auto"/>
                <w:sz w:val="21"/>
                <w:szCs w:val="21"/>
              </w:rPr>
              <w:t>20.44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color w:val="auto"/>
                <w:sz w:val="21"/>
                <w:szCs w:val="21"/>
              </w:rPr>
            </w:pPr>
            <w:r>
              <w:rPr>
                <w:color w:val="auto"/>
                <w:kern w:val="0"/>
                <w:sz w:val="21"/>
                <w:szCs w:val="21"/>
              </w:rPr>
              <w:t>SO</w:t>
            </w:r>
            <w:r>
              <w:rPr>
                <w:color w:val="auto"/>
                <w:kern w:val="0"/>
                <w:sz w:val="21"/>
                <w:szCs w:val="21"/>
                <w:vertAlign w:val="subscript"/>
              </w:rPr>
              <w:t>2</w:t>
            </w:r>
          </w:p>
        </w:tc>
        <w:tc>
          <w:tcPr>
            <w:tcW w:w="2268" w:type="dxa"/>
            <w:vAlign w:val="center"/>
          </w:tcPr>
          <w:p>
            <w:pPr>
              <w:jc w:val="center"/>
              <w:rPr>
                <w:color w:val="auto"/>
                <w:sz w:val="21"/>
                <w:szCs w:val="21"/>
              </w:rPr>
            </w:pPr>
            <w:r>
              <w:rPr>
                <w:color w:val="auto"/>
                <w:sz w:val="21"/>
                <w:szCs w:val="21"/>
              </w:rPr>
              <w:t>/</w:t>
            </w:r>
          </w:p>
        </w:tc>
        <w:tc>
          <w:tcPr>
            <w:tcW w:w="1701" w:type="dxa"/>
            <w:vAlign w:val="center"/>
          </w:tcPr>
          <w:p>
            <w:pPr>
              <w:jc w:val="center"/>
              <w:rPr>
                <w:color w:val="auto"/>
                <w:sz w:val="21"/>
                <w:szCs w:val="21"/>
              </w:rPr>
            </w:pPr>
            <w:r>
              <w:rPr>
                <w:color w:val="auto"/>
                <w:sz w:val="21"/>
                <w:szCs w:val="21"/>
              </w:rPr>
              <w:t>/</w:t>
            </w:r>
          </w:p>
        </w:tc>
        <w:tc>
          <w:tcPr>
            <w:tcW w:w="1560" w:type="dxa"/>
            <w:vAlign w:val="center"/>
          </w:tcPr>
          <w:p>
            <w:pPr>
              <w:jc w:val="center"/>
              <w:rPr>
                <w:color w:val="auto"/>
                <w:sz w:val="21"/>
                <w:szCs w:val="21"/>
              </w:rPr>
            </w:pPr>
            <w:r>
              <w:rPr>
                <w:color w:val="auto"/>
                <w:sz w:val="21"/>
                <w:szCs w:val="21"/>
              </w:rPr>
              <w:t>/</w:t>
            </w:r>
          </w:p>
        </w:tc>
        <w:tc>
          <w:tcPr>
            <w:tcW w:w="2268" w:type="dxa"/>
            <w:vAlign w:val="center"/>
          </w:tcPr>
          <w:p>
            <w:pPr>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color w:val="auto"/>
                <w:sz w:val="21"/>
                <w:szCs w:val="21"/>
              </w:rPr>
            </w:pPr>
            <w:r>
              <w:rPr>
                <w:color w:val="auto"/>
                <w:kern w:val="0"/>
                <w:sz w:val="21"/>
                <w:szCs w:val="21"/>
              </w:rPr>
              <w:t>NO</w:t>
            </w:r>
            <w:r>
              <w:rPr>
                <w:color w:val="auto"/>
                <w:kern w:val="0"/>
                <w:sz w:val="21"/>
                <w:szCs w:val="21"/>
                <w:vertAlign w:val="subscript"/>
              </w:rPr>
              <w:t>X</w:t>
            </w:r>
          </w:p>
        </w:tc>
        <w:tc>
          <w:tcPr>
            <w:tcW w:w="2268" w:type="dxa"/>
            <w:vAlign w:val="center"/>
          </w:tcPr>
          <w:p>
            <w:pPr>
              <w:jc w:val="center"/>
              <w:rPr>
                <w:color w:val="auto"/>
                <w:sz w:val="21"/>
                <w:szCs w:val="21"/>
              </w:rPr>
            </w:pPr>
            <w:r>
              <w:rPr>
                <w:color w:val="auto"/>
                <w:sz w:val="21"/>
                <w:szCs w:val="21"/>
              </w:rPr>
              <w:t>/</w:t>
            </w:r>
          </w:p>
        </w:tc>
        <w:tc>
          <w:tcPr>
            <w:tcW w:w="1701" w:type="dxa"/>
            <w:vAlign w:val="center"/>
          </w:tcPr>
          <w:p>
            <w:pPr>
              <w:jc w:val="center"/>
              <w:rPr>
                <w:color w:val="auto"/>
                <w:sz w:val="21"/>
                <w:szCs w:val="21"/>
              </w:rPr>
            </w:pPr>
            <w:r>
              <w:rPr>
                <w:color w:val="auto"/>
                <w:sz w:val="21"/>
                <w:szCs w:val="21"/>
              </w:rPr>
              <w:t>/</w:t>
            </w:r>
          </w:p>
        </w:tc>
        <w:tc>
          <w:tcPr>
            <w:tcW w:w="1560" w:type="dxa"/>
            <w:vAlign w:val="center"/>
          </w:tcPr>
          <w:p>
            <w:pPr>
              <w:jc w:val="center"/>
              <w:rPr>
                <w:color w:val="auto"/>
                <w:sz w:val="21"/>
                <w:szCs w:val="21"/>
              </w:rPr>
            </w:pPr>
            <w:r>
              <w:rPr>
                <w:color w:val="auto"/>
                <w:sz w:val="21"/>
                <w:szCs w:val="21"/>
              </w:rPr>
              <w:t>/</w:t>
            </w:r>
          </w:p>
        </w:tc>
        <w:tc>
          <w:tcPr>
            <w:tcW w:w="2268" w:type="dxa"/>
            <w:vAlign w:val="center"/>
          </w:tcPr>
          <w:p>
            <w:pPr>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color w:val="auto"/>
                <w:sz w:val="21"/>
                <w:szCs w:val="21"/>
              </w:rPr>
            </w:pPr>
            <w:r>
              <w:rPr>
                <w:rFonts w:hAnsi="宋体"/>
                <w:color w:val="auto"/>
                <w:kern w:val="0"/>
                <w:sz w:val="21"/>
                <w:szCs w:val="21"/>
              </w:rPr>
              <w:t>烟粉尘</w:t>
            </w:r>
          </w:p>
        </w:tc>
        <w:tc>
          <w:tcPr>
            <w:tcW w:w="2268" w:type="dxa"/>
            <w:vAlign w:val="center"/>
          </w:tcPr>
          <w:p>
            <w:pPr>
              <w:jc w:val="center"/>
              <w:rPr>
                <w:color w:val="auto"/>
                <w:sz w:val="21"/>
                <w:szCs w:val="21"/>
              </w:rPr>
            </w:pPr>
            <w:r>
              <w:rPr>
                <w:color w:val="auto"/>
                <w:sz w:val="21"/>
                <w:szCs w:val="21"/>
              </w:rPr>
              <w:t>/</w:t>
            </w:r>
          </w:p>
        </w:tc>
        <w:tc>
          <w:tcPr>
            <w:tcW w:w="1701" w:type="dxa"/>
            <w:vAlign w:val="center"/>
          </w:tcPr>
          <w:p>
            <w:pPr>
              <w:jc w:val="center"/>
              <w:rPr>
                <w:color w:val="auto"/>
                <w:sz w:val="21"/>
                <w:szCs w:val="21"/>
              </w:rPr>
            </w:pPr>
            <w:r>
              <w:rPr>
                <w:color w:val="auto"/>
                <w:sz w:val="21"/>
                <w:szCs w:val="21"/>
              </w:rPr>
              <w:t>/</w:t>
            </w:r>
          </w:p>
        </w:tc>
        <w:tc>
          <w:tcPr>
            <w:tcW w:w="1560" w:type="dxa"/>
            <w:vAlign w:val="center"/>
          </w:tcPr>
          <w:p>
            <w:pPr>
              <w:jc w:val="center"/>
              <w:rPr>
                <w:color w:val="auto"/>
                <w:sz w:val="21"/>
                <w:szCs w:val="21"/>
              </w:rPr>
            </w:pPr>
            <w:r>
              <w:rPr>
                <w:color w:val="auto"/>
                <w:sz w:val="21"/>
                <w:szCs w:val="21"/>
              </w:rPr>
              <w:t>/</w:t>
            </w:r>
          </w:p>
        </w:tc>
        <w:tc>
          <w:tcPr>
            <w:tcW w:w="2268" w:type="dxa"/>
            <w:vAlign w:val="center"/>
          </w:tcPr>
          <w:p>
            <w:pPr>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vAlign w:val="center"/>
          </w:tcPr>
          <w:p>
            <w:pPr>
              <w:jc w:val="center"/>
              <w:rPr>
                <w:color w:val="auto"/>
                <w:sz w:val="21"/>
                <w:szCs w:val="21"/>
              </w:rPr>
            </w:pPr>
            <w:r>
              <w:rPr>
                <w:rFonts w:hAnsi="宋体"/>
                <w:color w:val="auto"/>
                <w:kern w:val="0"/>
                <w:sz w:val="21"/>
                <w:szCs w:val="21"/>
              </w:rPr>
              <w:t>挥发性有机化合物</w:t>
            </w:r>
          </w:p>
        </w:tc>
        <w:tc>
          <w:tcPr>
            <w:tcW w:w="2268" w:type="dxa"/>
            <w:vAlign w:val="center"/>
          </w:tcPr>
          <w:p>
            <w:pPr>
              <w:jc w:val="center"/>
              <w:rPr>
                <w:color w:val="auto"/>
                <w:sz w:val="21"/>
                <w:szCs w:val="21"/>
              </w:rPr>
            </w:pPr>
            <w:r>
              <w:rPr>
                <w:color w:val="auto"/>
                <w:sz w:val="21"/>
                <w:szCs w:val="21"/>
              </w:rPr>
              <w:t>/</w:t>
            </w:r>
          </w:p>
        </w:tc>
        <w:tc>
          <w:tcPr>
            <w:tcW w:w="1701" w:type="dxa"/>
            <w:vAlign w:val="center"/>
          </w:tcPr>
          <w:p>
            <w:pPr>
              <w:jc w:val="center"/>
              <w:rPr>
                <w:color w:val="auto"/>
                <w:sz w:val="21"/>
                <w:szCs w:val="21"/>
              </w:rPr>
            </w:pPr>
            <w:r>
              <w:rPr>
                <w:color w:val="auto"/>
                <w:sz w:val="21"/>
                <w:szCs w:val="21"/>
              </w:rPr>
              <w:t>/</w:t>
            </w:r>
          </w:p>
        </w:tc>
        <w:tc>
          <w:tcPr>
            <w:tcW w:w="1560" w:type="dxa"/>
            <w:vAlign w:val="center"/>
          </w:tcPr>
          <w:p>
            <w:pPr>
              <w:jc w:val="center"/>
              <w:rPr>
                <w:color w:val="auto"/>
                <w:sz w:val="21"/>
                <w:szCs w:val="21"/>
              </w:rPr>
            </w:pPr>
            <w:r>
              <w:rPr>
                <w:color w:val="auto"/>
                <w:sz w:val="21"/>
                <w:szCs w:val="21"/>
              </w:rPr>
              <w:t>/</w:t>
            </w:r>
          </w:p>
        </w:tc>
        <w:tc>
          <w:tcPr>
            <w:tcW w:w="2268" w:type="dxa"/>
            <w:vAlign w:val="center"/>
          </w:tcPr>
          <w:p>
            <w:pPr>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Ansi="宋体"/>
                <w:color w:val="auto"/>
                <w:kern w:val="0"/>
                <w:sz w:val="21"/>
                <w:szCs w:val="21"/>
              </w:rPr>
            </w:pPr>
            <w:r>
              <w:rPr>
                <w:rFonts w:hint="eastAsia" w:hAnsi="宋体"/>
                <w:color w:val="auto"/>
                <w:kern w:val="0"/>
                <w:sz w:val="21"/>
                <w:szCs w:val="21"/>
              </w:rPr>
              <w:t>核算公式</w:t>
            </w:r>
          </w:p>
        </w:tc>
        <w:tc>
          <w:tcPr>
            <w:tcW w:w="7797" w:type="dxa"/>
            <w:gridSpan w:val="4"/>
            <w:vAlign w:val="center"/>
          </w:tcPr>
          <w:p>
            <w:pPr>
              <w:jc w:val="center"/>
              <w:rPr>
                <w:color w:val="auto"/>
                <w:sz w:val="21"/>
                <w:szCs w:val="21"/>
              </w:rPr>
            </w:pPr>
            <w:r>
              <w:rPr>
                <w:rFonts w:hint="eastAsia"/>
                <w:color w:val="auto"/>
                <w:sz w:val="21"/>
                <w:szCs w:val="21"/>
              </w:rPr>
              <w:t>污染物排放量（t/a）=排放标准限值(mg/L)×废水量(m</w:t>
            </w:r>
            <w:r>
              <w:rPr>
                <w:rFonts w:hint="eastAsia"/>
                <w:color w:val="auto"/>
                <w:sz w:val="21"/>
                <w:szCs w:val="21"/>
                <w:vertAlign w:val="superscript"/>
              </w:rPr>
              <w:t>3</w:t>
            </w:r>
            <w:r>
              <w:rPr>
                <w:rFonts w:hint="eastAsia"/>
                <w:color w:val="auto"/>
                <w:sz w:val="21"/>
                <w:szCs w:val="21"/>
              </w:rPr>
              <w:t>/d)×生产时间(d/a)/10</w:t>
            </w:r>
            <w:r>
              <w:rPr>
                <w:rFonts w:hint="eastAsia"/>
                <w:color w:val="auto"/>
                <w:sz w:val="21"/>
                <w:szCs w:val="21"/>
                <w:vertAlign w:val="superscript"/>
              </w:rPr>
              <w:t>6</w:t>
            </w:r>
          </w:p>
          <w:p>
            <w:pPr>
              <w:jc w:val="center"/>
              <w:rPr>
                <w:color w:val="auto"/>
                <w:sz w:val="21"/>
                <w:szCs w:val="21"/>
              </w:rPr>
            </w:pPr>
            <w:r>
              <w:rPr>
                <w:rFonts w:hint="eastAsia"/>
                <w:color w:val="auto"/>
                <w:sz w:val="21"/>
                <w:szCs w:val="21"/>
              </w:rPr>
              <w:t>污染物排放量（t/a）=排放标准限值(mg/m</w:t>
            </w:r>
            <w:r>
              <w:rPr>
                <w:rFonts w:hint="eastAsia"/>
                <w:color w:val="auto"/>
                <w:sz w:val="21"/>
                <w:szCs w:val="21"/>
                <w:vertAlign w:val="superscript"/>
              </w:rPr>
              <w:t>3</w:t>
            </w:r>
            <w:r>
              <w:rPr>
                <w:rFonts w:hint="eastAsia"/>
                <w:color w:val="auto"/>
                <w:sz w:val="21"/>
                <w:szCs w:val="21"/>
              </w:rPr>
              <w:t>)×排气量(m</w:t>
            </w:r>
            <w:r>
              <w:rPr>
                <w:rFonts w:hint="eastAsia"/>
                <w:color w:val="auto"/>
                <w:sz w:val="21"/>
                <w:szCs w:val="21"/>
                <w:vertAlign w:val="superscript"/>
              </w:rPr>
              <w:t>3</w:t>
            </w:r>
            <w:r>
              <w:rPr>
                <w:rFonts w:hint="eastAsia"/>
                <w:color w:val="auto"/>
                <w:sz w:val="21"/>
                <w:szCs w:val="21"/>
              </w:rPr>
              <w:t>/h)×生产时间(h/a)/10</w:t>
            </w:r>
            <w:r>
              <w:rPr>
                <w:rFonts w:hint="eastAsia"/>
                <w:color w:val="auto"/>
                <w:sz w:val="21"/>
                <w:szCs w:val="21"/>
                <w:vertAlign w:val="superscript"/>
              </w:rPr>
              <w:t>9</w:t>
            </w:r>
          </w:p>
        </w:tc>
      </w:tr>
    </w:tbl>
    <w:p>
      <w:pPr>
        <w:spacing w:line="360" w:lineRule="auto"/>
        <w:ind w:firstLine="480" w:firstLineChars="200"/>
        <w:rPr>
          <w:color w:val="auto"/>
          <w:sz w:val="24"/>
          <w:szCs w:val="24"/>
        </w:rPr>
      </w:pPr>
      <w:r>
        <w:rPr>
          <w:rFonts w:hint="eastAsia"/>
          <w:color w:val="auto"/>
          <w:sz w:val="24"/>
          <w:szCs w:val="24"/>
        </w:rPr>
        <w:t>项目总量核算结果：</w:t>
      </w:r>
    </w:p>
    <w:p>
      <w:pPr>
        <w:spacing w:line="360" w:lineRule="auto"/>
        <w:ind w:firstLine="480" w:firstLineChars="200"/>
        <w:rPr>
          <w:color w:val="auto"/>
        </w:rPr>
      </w:pPr>
      <w:r>
        <w:rPr>
          <w:rFonts w:hint="eastAsia"/>
          <w:color w:val="auto"/>
          <w:sz w:val="24"/>
          <w:szCs w:val="24"/>
        </w:rPr>
        <w:t>项目污染物总量指标核定为：COD—61.32t/a；NH</w:t>
      </w:r>
      <w:r>
        <w:rPr>
          <w:rFonts w:hint="eastAsia"/>
          <w:color w:val="auto"/>
          <w:sz w:val="24"/>
          <w:szCs w:val="24"/>
          <w:vertAlign w:val="subscript"/>
        </w:rPr>
        <w:t>3</w:t>
      </w:r>
      <w:r>
        <w:rPr>
          <w:rFonts w:hint="eastAsia"/>
          <w:color w:val="auto"/>
          <w:sz w:val="24"/>
          <w:szCs w:val="24"/>
        </w:rPr>
        <w:t>-N—3.066t/a；总氮—20.44t/a。</w:t>
      </w:r>
    </w:p>
    <w:p>
      <w:pPr>
        <w:pStyle w:val="2"/>
        <w:rPr>
          <w:color w:val="auto"/>
        </w:rPr>
        <w:sectPr>
          <w:pgSz w:w="11906" w:h="16838"/>
          <w:pgMar w:top="1440" w:right="1800" w:bottom="1440" w:left="1800" w:header="851" w:footer="992" w:gutter="0"/>
          <w:cols w:space="425" w:num="1"/>
          <w:docGrid w:type="lines" w:linePitch="312" w:charSpace="0"/>
        </w:sectPr>
      </w:pPr>
    </w:p>
    <w:p>
      <w:pPr>
        <w:pStyle w:val="2"/>
        <w:rPr>
          <w:color w:val="auto"/>
        </w:rPr>
      </w:pPr>
      <w:bookmarkStart w:id="168" w:name="_Toc26276883"/>
      <w:bookmarkStart w:id="169" w:name="_Toc26592"/>
      <w:r>
        <w:rPr>
          <w:rFonts w:hint="eastAsia"/>
          <w:color w:val="auto"/>
        </w:rPr>
        <w:t>8环境影响经济损益分析</w:t>
      </w:r>
      <w:bookmarkEnd w:id="168"/>
      <w:bookmarkEnd w:id="169"/>
    </w:p>
    <w:p>
      <w:pPr>
        <w:pStyle w:val="3"/>
        <w:rPr>
          <w:color w:val="auto"/>
        </w:rPr>
      </w:pPr>
      <w:bookmarkStart w:id="170" w:name="_Toc27891"/>
      <w:bookmarkStart w:id="171" w:name="_Toc26276884"/>
      <w:r>
        <w:rPr>
          <w:rFonts w:hint="eastAsia"/>
          <w:color w:val="auto"/>
        </w:rPr>
        <w:t>8.1 经济效益分析</w:t>
      </w:r>
      <w:bookmarkEnd w:id="170"/>
      <w:bookmarkEnd w:id="171"/>
    </w:p>
    <w:p>
      <w:pPr>
        <w:spacing w:line="360" w:lineRule="auto"/>
        <w:ind w:firstLine="482" w:firstLineChars="200"/>
        <w:rPr>
          <w:b/>
          <w:color w:val="auto"/>
          <w:sz w:val="24"/>
          <w:szCs w:val="24"/>
        </w:rPr>
      </w:pPr>
      <w:r>
        <w:rPr>
          <w:rFonts w:hint="eastAsia"/>
          <w:b/>
          <w:color w:val="auto"/>
          <w:sz w:val="24"/>
          <w:szCs w:val="24"/>
        </w:rPr>
        <w:t>1、直接经济效益</w:t>
      </w:r>
    </w:p>
    <w:p>
      <w:pPr>
        <w:spacing w:line="360" w:lineRule="auto"/>
        <w:ind w:firstLine="480" w:firstLineChars="200"/>
        <w:rPr>
          <w:color w:val="auto"/>
          <w:sz w:val="24"/>
          <w:szCs w:val="24"/>
        </w:rPr>
      </w:pPr>
      <w:r>
        <w:rPr>
          <w:rFonts w:hint="eastAsia"/>
          <w:color w:val="auto"/>
          <w:sz w:val="24"/>
          <w:szCs w:val="24"/>
        </w:rPr>
        <w:t>本工程并无显著的直接投资效益，参照有关城市的经验，结合本工程的实际情况，通过收取排污费，使本工程具有一定的经济效益。项目建成投产后，将本着“保本微利”的原则向用户收取适当的污水治理费，维持自身正常运转，但更主要的是产生间接经济效益。</w:t>
      </w:r>
    </w:p>
    <w:p>
      <w:pPr>
        <w:spacing w:line="360" w:lineRule="auto"/>
        <w:ind w:firstLine="482" w:firstLineChars="200"/>
        <w:rPr>
          <w:b/>
          <w:color w:val="auto"/>
          <w:sz w:val="24"/>
          <w:szCs w:val="24"/>
        </w:rPr>
      </w:pPr>
      <w:r>
        <w:rPr>
          <w:rFonts w:hint="eastAsia"/>
          <w:b/>
          <w:color w:val="auto"/>
          <w:sz w:val="24"/>
          <w:szCs w:val="24"/>
        </w:rPr>
        <w:t>2、间接经济效果</w:t>
      </w:r>
    </w:p>
    <w:p>
      <w:pPr>
        <w:spacing w:line="360" w:lineRule="auto"/>
        <w:ind w:firstLine="480" w:firstLineChars="200"/>
        <w:rPr>
          <w:color w:val="auto"/>
          <w:sz w:val="24"/>
          <w:szCs w:val="24"/>
        </w:rPr>
      </w:pPr>
      <w:r>
        <w:rPr>
          <w:rFonts w:hint="eastAsia"/>
          <w:color w:val="auto"/>
          <w:sz w:val="24"/>
          <w:szCs w:val="24"/>
        </w:rPr>
        <w:t>污水处理工程并无显著的直接经济效益，但其投资的间接经济效果较为重要，主要是通过减少污水污染，挽回造成的社会经济损失，主要体现在以下几方面：</w:t>
      </w:r>
    </w:p>
    <w:p>
      <w:pPr>
        <w:spacing w:line="360" w:lineRule="auto"/>
        <w:ind w:firstLine="480" w:firstLineChars="200"/>
        <w:rPr>
          <w:color w:val="auto"/>
          <w:sz w:val="24"/>
          <w:szCs w:val="24"/>
        </w:rPr>
      </w:pPr>
      <w:r>
        <w:rPr>
          <w:rFonts w:hint="eastAsia"/>
          <w:color w:val="auto"/>
          <w:sz w:val="24"/>
          <w:szCs w:val="24"/>
        </w:rPr>
        <w:t>（1）工业企业方面</w:t>
      </w:r>
    </w:p>
    <w:p>
      <w:pPr>
        <w:spacing w:line="360" w:lineRule="auto"/>
        <w:ind w:firstLine="480" w:firstLineChars="200"/>
        <w:rPr>
          <w:color w:val="auto"/>
          <w:sz w:val="24"/>
          <w:szCs w:val="24"/>
        </w:rPr>
      </w:pPr>
      <w:r>
        <w:rPr>
          <w:rFonts w:hint="eastAsia"/>
          <w:color w:val="auto"/>
          <w:sz w:val="24"/>
          <w:szCs w:val="24"/>
        </w:rPr>
        <w:t>可减少工业企业分散进行污水处理所增加的投资运行管理费，减轻企业负担。</w:t>
      </w:r>
    </w:p>
    <w:p>
      <w:pPr>
        <w:spacing w:line="360" w:lineRule="auto"/>
        <w:ind w:firstLine="480" w:firstLineChars="200"/>
        <w:rPr>
          <w:color w:val="auto"/>
          <w:sz w:val="24"/>
          <w:szCs w:val="24"/>
        </w:rPr>
      </w:pPr>
      <w:r>
        <w:rPr>
          <w:rFonts w:hint="eastAsia"/>
          <w:color w:val="auto"/>
          <w:sz w:val="24"/>
          <w:szCs w:val="24"/>
        </w:rPr>
        <w:t>（2）农、牧、渔业方面</w:t>
      </w:r>
    </w:p>
    <w:p>
      <w:pPr>
        <w:spacing w:line="360" w:lineRule="auto"/>
        <w:ind w:firstLine="480" w:firstLineChars="200"/>
        <w:rPr>
          <w:color w:val="auto"/>
          <w:sz w:val="24"/>
          <w:szCs w:val="24"/>
        </w:rPr>
      </w:pPr>
      <w:r>
        <w:rPr>
          <w:rFonts w:hint="eastAsia"/>
          <w:color w:val="auto"/>
          <w:sz w:val="24"/>
          <w:szCs w:val="24"/>
        </w:rPr>
        <w:t>减少因水污染导致的粮食作物、畜产品、水产品的产量下降，造成经济损失。</w:t>
      </w:r>
    </w:p>
    <w:p>
      <w:pPr>
        <w:spacing w:line="360" w:lineRule="auto"/>
        <w:ind w:firstLine="480" w:firstLineChars="200"/>
        <w:rPr>
          <w:color w:val="auto"/>
          <w:sz w:val="24"/>
          <w:szCs w:val="24"/>
        </w:rPr>
      </w:pPr>
      <w:r>
        <w:rPr>
          <w:rFonts w:hint="eastAsia"/>
          <w:color w:val="auto"/>
          <w:sz w:val="24"/>
          <w:szCs w:val="24"/>
        </w:rPr>
        <w:t>（3）人体健康方面</w:t>
      </w:r>
    </w:p>
    <w:p>
      <w:pPr>
        <w:spacing w:line="360" w:lineRule="auto"/>
        <w:ind w:firstLine="480" w:firstLineChars="200"/>
        <w:rPr>
          <w:color w:val="auto"/>
          <w:sz w:val="24"/>
          <w:szCs w:val="24"/>
        </w:rPr>
      </w:pPr>
      <w:r>
        <w:rPr>
          <w:rFonts w:hint="eastAsia"/>
          <w:color w:val="auto"/>
          <w:sz w:val="24"/>
          <w:szCs w:val="24"/>
        </w:rPr>
        <w:t>减少因水污染造成人的发病率上升，医疗保健费用增加，劳动生产率下降等。</w:t>
      </w:r>
    </w:p>
    <w:p>
      <w:pPr>
        <w:pStyle w:val="3"/>
        <w:rPr>
          <w:color w:val="auto"/>
        </w:rPr>
      </w:pPr>
      <w:bookmarkStart w:id="172" w:name="_Toc29571"/>
      <w:bookmarkStart w:id="173" w:name="_Toc26276885"/>
      <w:r>
        <w:rPr>
          <w:rFonts w:hint="eastAsia"/>
          <w:color w:val="auto"/>
        </w:rPr>
        <w:t>8.2 社会效益分析</w:t>
      </w:r>
      <w:bookmarkEnd w:id="172"/>
      <w:bookmarkEnd w:id="173"/>
    </w:p>
    <w:p>
      <w:pPr>
        <w:spacing w:line="360" w:lineRule="auto"/>
        <w:ind w:firstLine="482" w:firstLineChars="200"/>
        <w:rPr>
          <w:b/>
          <w:color w:val="auto"/>
          <w:sz w:val="24"/>
          <w:szCs w:val="24"/>
        </w:rPr>
      </w:pPr>
      <w:r>
        <w:rPr>
          <w:rFonts w:hint="eastAsia"/>
          <w:b/>
          <w:color w:val="auto"/>
          <w:sz w:val="24"/>
          <w:szCs w:val="24"/>
        </w:rPr>
        <w:t>1、负影响</w:t>
      </w:r>
    </w:p>
    <w:p>
      <w:pPr>
        <w:spacing w:line="360" w:lineRule="auto"/>
        <w:ind w:firstLine="480" w:firstLineChars="200"/>
        <w:rPr>
          <w:color w:val="auto"/>
          <w:sz w:val="24"/>
          <w:szCs w:val="24"/>
        </w:rPr>
      </w:pPr>
      <w:r>
        <w:rPr>
          <w:rFonts w:hint="eastAsia"/>
          <w:color w:val="auto"/>
          <w:sz w:val="24"/>
          <w:szCs w:val="24"/>
        </w:rPr>
        <w:t>本项目的负面社会影响效果主要体现在：项目施工期间会对环境产生一定的不利影响，包括水、大气、噪声、固体废弃物、生态等环境，以及由此给附近工作和生活的人群造成的影响。</w:t>
      </w:r>
    </w:p>
    <w:p>
      <w:pPr>
        <w:spacing w:line="360" w:lineRule="auto"/>
        <w:ind w:firstLine="482" w:firstLineChars="200"/>
        <w:rPr>
          <w:b/>
          <w:color w:val="auto"/>
          <w:sz w:val="24"/>
          <w:szCs w:val="24"/>
        </w:rPr>
      </w:pPr>
      <w:r>
        <w:rPr>
          <w:rFonts w:hint="eastAsia"/>
          <w:b/>
          <w:color w:val="auto"/>
          <w:sz w:val="24"/>
          <w:szCs w:val="24"/>
        </w:rPr>
        <w:t>2、正效益</w:t>
      </w:r>
    </w:p>
    <w:p>
      <w:pPr>
        <w:spacing w:line="360" w:lineRule="auto"/>
        <w:ind w:firstLine="480" w:firstLineChars="200"/>
        <w:rPr>
          <w:color w:val="auto"/>
          <w:sz w:val="24"/>
          <w:szCs w:val="24"/>
        </w:rPr>
      </w:pPr>
      <w:r>
        <w:rPr>
          <w:rFonts w:hint="eastAsia"/>
          <w:color w:val="auto"/>
          <w:sz w:val="24"/>
          <w:szCs w:val="24"/>
        </w:rPr>
        <w:t>本项目为环境保护工程，属于公益项目，项目实施完毕后能够实现水质净化厂服务范围水污染物减排，社会效益显著，具体体现在以下几方面：</w:t>
      </w:r>
    </w:p>
    <w:p>
      <w:pPr>
        <w:spacing w:line="360" w:lineRule="auto"/>
        <w:ind w:firstLine="480" w:firstLineChars="200"/>
        <w:rPr>
          <w:color w:val="auto"/>
          <w:sz w:val="24"/>
          <w:szCs w:val="24"/>
        </w:rPr>
      </w:pPr>
      <w:r>
        <w:rPr>
          <w:rFonts w:hint="eastAsia"/>
          <w:color w:val="auto"/>
          <w:sz w:val="24"/>
          <w:szCs w:val="24"/>
        </w:rPr>
        <w:t>（1）项目的实施能够促进当地建材市场、劳动力市场的发展，带动就业，并解决部分失业人员的就业问题，为构建和谐社会贡献利用；</w:t>
      </w:r>
    </w:p>
    <w:p>
      <w:pPr>
        <w:spacing w:line="360" w:lineRule="auto"/>
        <w:ind w:firstLine="480" w:firstLineChars="200"/>
        <w:rPr>
          <w:color w:val="auto"/>
          <w:sz w:val="24"/>
          <w:szCs w:val="24"/>
        </w:rPr>
      </w:pPr>
      <w:r>
        <w:rPr>
          <w:rFonts w:hint="eastAsia"/>
          <w:color w:val="auto"/>
          <w:sz w:val="24"/>
          <w:szCs w:val="24"/>
        </w:rPr>
        <w:t>（2）水质净化厂建成后，服务范围内的污水将得到有效处置，这将有利于城市环境卫生保护，对城市的可持续发展将起到重要作用。</w:t>
      </w:r>
    </w:p>
    <w:p>
      <w:pPr>
        <w:pStyle w:val="3"/>
        <w:rPr>
          <w:color w:val="auto"/>
        </w:rPr>
      </w:pPr>
      <w:bookmarkStart w:id="174" w:name="_Toc9322"/>
      <w:bookmarkStart w:id="175" w:name="_Toc26276886"/>
      <w:r>
        <w:rPr>
          <w:rFonts w:hint="eastAsia"/>
          <w:color w:val="auto"/>
        </w:rPr>
        <w:t>8.3环境效益分析</w:t>
      </w:r>
      <w:bookmarkEnd w:id="174"/>
      <w:bookmarkEnd w:id="175"/>
    </w:p>
    <w:p>
      <w:pPr>
        <w:spacing w:line="360" w:lineRule="auto"/>
        <w:ind w:firstLine="480" w:firstLineChars="200"/>
        <w:rPr>
          <w:color w:val="auto"/>
          <w:sz w:val="24"/>
          <w:szCs w:val="24"/>
        </w:rPr>
      </w:pPr>
      <w:r>
        <w:rPr>
          <w:rFonts w:hint="eastAsia"/>
          <w:color w:val="auto"/>
          <w:sz w:val="24"/>
          <w:szCs w:val="24"/>
        </w:rPr>
        <w:t>本工程最重要的是环境效益，污水处理工程是改善生态环境，保障人民身体健康，造福社会的环境保护工程，主要工程效益是环境效益。我国保护环境已成为一项基本国策，受到全社会的关注和重视。污水处理工程是保护环境的重要措施之一，对国民经济持续稳定发展，改善当地投资环境，吸引外资都是极其重要的。本项目建成运行后，可将园区企业的污水进行收集后进行处理，有效减少污染物向水体排放，改善服务区域水环境，对大嵩河水质的改善具有一定的积极作用，本项目具有明显的水环境正效益。</w:t>
      </w:r>
    </w:p>
    <w:p>
      <w:pPr>
        <w:pStyle w:val="3"/>
        <w:rPr>
          <w:color w:val="auto"/>
        </w:rPr>
      </w:pPr>
      <w:bookmarkStart w:id="176" w:name="_Toc26276887"/>
      <w:bookmarkStart w:id="177" w:name="_Toc29220"/>
      <w:r>
        <w:rPr>
          <w:rFonts w:hint="eastAsia"/>
          <w:color w:val="auto"/>
        </w:rPr>
        <w:t>8.4小结</w:t>
      </w:r>
      <w:bookmarkEnd w:id="176"/>
      <w:bookmarkEnd w:id="177"/>
    </w:p>
    <w:p>
      <w:pPr>
        <w:spacing w:line="360" w:lineRule="auto"/>
        <w:ind w:firstLine="480" w:firstLineChars="200"/>
        <w:rPr>
          <w:color w:val="auto"/>
          <w:sz w:val="24"/>
          <w:szCs w:val="24"/>
        </w:rPr>
      </w:pPr>
      <w:r>
        <w:rPr>
          <w:rFonts w:hint="eastAsia"/>
          <w:color w:val="auto"/>
          <w:sz w:val="24"/>
          <w:szCs w:val="24"/>
        </w:rPr>
        <w:t>本项目为水质净化厂建设项目，在施工期间造成局部性的水土流失等，形成对环境的短期不利影响。营运期产生的污染物可实现全面、稳定达标排放。项目建设可有效改善环境，对当地经济的发展，提高民众生活质量起到促进作用，其收益远大于损失，故该项目的环保投入是有经济价值的。</w:t>
      </w:r>
    </w:p>
    <w:p>
      <w:pPr>
        <w:pStyle w:val="2"/>
        <w:rPr>
          <w:color w:val="auto"/>
        </w:rPr>
        <w:sectPr>
          <w:pgSz w:w="11906" w:h="16838"/>
          <w:pgMar w:top="1440" w:right="1800" w:bottom="1440" w:left="1800" w:header="851" w:footer="992" w:gutter="0"/>
          <w:cols w:space="425" w:num="1"/>
          <w:docGrid w:type="lines" w:linePitch="312" w:charSpace="0"/>
        </w:sectPr>
      </w:pPr>
    </w:p>
    <w:p>
      <w:pPr>
        <w:pStyle w:val="2"/>
        <w:rPr>
          <w:color w:val="auto"/>
        </w:rPr>
      </w:pPr>
      <w:bookmarkStart w:id="178" w:name="_Toc26276888"/>
      <w:bookmarkStart w:id="179" w:name="_Toc7449"/>
      <w:r>
        <w:rPr>
          <w:rFonts w:hint="eastAsia"/>
          <w:color w:val="auto"/>
        </w:rPr>
        <w:t>9环境管理与监测计划</w:t>
      </w:r>
      <w:bookmarkEnd w:id="178"/>
      <w:bookmarkEnd w:id="179"/>
    </w:p>
    <w:p>
      <w:pPr>
        <w:spacing w:line="360" w:lineRule="auto"/>
        <w:ind w:firstLine="480" w:firstLineChars="200"/>
        <w:rPr>
          <w:color w:val="auto"/>
          <w:sz w:val="24"/>
          <w:szCs w:val="24"/>
        </w:rPr>
      </w:pPr>
      <w:r>
        <w:rPr>
          <w:rFonts w:hint="eastAsia"/>
          <w:color w:val="auto"/>
          <w:sz w:val="24"/>
          <w:szCs w:val="24"/>
        </w:rPr>
        <w:t>建设项目环境保护管理是指工程在施工期、运行期执行和遵守国家、省、市有关环境保护法律、法规、政策和标准，接受环保主管部门的环境监督，调整和制定环境保护规划和目标，把不利影响减免到最低限度，加强项目环境管理，及时调整工程运行方式和环境保护措施，最终达到保护环境的目的，取得更好的综合效益。</w:t>
      </w:r>
    </w:p>
    <w:p>
      <w:pPr>
        <w:pStyle w:val="3"/>
        <w:rPr>
          <w:color w:val="auto"/>
        </w:rPr>
      </w:pPr>
      <w:bookmarkStart w:id="180" w:name="_Toc26276889"/>
      <w:bookmarkStart w:id="181" w:name="_Toc32638"/>
      <w:r>
        <w:rPr>
          <w:rFonts w:hint="eastAsia"/>
          <w:color w:val="auto"/>
        </w:rPr>
        <w:t>9.1环境管理</w:t>
      </w:r>
      <w:bookmarkEnd w:id="180"/>
      <w:bookmarkEnd w:id="181"/>
    </w:p>
    <w:p>
      <w:pPr>
        <w:pStyle w:val="4"/>
        <w:rPr>
          <w:color w:val="auto"/>
        </w:rPr>
      </w:pPr>
      <w:bookmarkStart w:id="182" w:name="_Toc26276890"/>
      <w:r>
        <w:rPr>
          <w:rFonts w:hint="eastAsia"/>
          <w:color w:val="auto"/>
        </w:rPr>
        <w:t>9.1.1环境管理的目的</w:t>
      </w:r>
      <w:bookmarkEnd w:id="182"/>
    </w:p>
    <w:p>
      <w:pPr>
        <w:spacing w:line="360" w:lineRule="auto"/>
        <w:ind w:firstLine="480" w:firstLineChars="200"/>
        <w:rPr>
          <w:color w:val="auto"/>
          <w:sz w:val="24"/>
          <w:szCs w:val="24"/>
        </w:rPr>
      </w:pPr>
      <w:r>
        <w:rPr>
          <w:rFonts w:hint="eastAsia"/>
          <w:color w:val="auto"/>
          <w:sz w:val="24"/>
          <w:szCs w:val="24"/>
        </w:rPr>
        <w:t>加强拟建项目的环境管理，目的是为了贯彻执行国家环保法律法规，全面落实国务院关于环境保护若干问题的决定和国务院四部委关于加强乡镇企业环境保护若干问题的决定及有关规定，对项目“三废”排放情况实行监控，确保建设项目社会、经济、环境效益协调发展，协助地方环保职能部门工作，为企业的生产管理和环境管理提供保证。</w:t>
      </w:r>
    </w:p>
    <w:p>
      <w:pPr>
        <w:pStyle w:val="4"/>
        <w:rPr>
          <w:color w:val="auto"/>
        </w:rPr>
      </w:pPr>
      <w:bookmarkStart w:id="183" w:name="_Toc26276891"/>
      <w:r>
        <w:rPr>
          <w:rFonts w:hint="eastAsia"/>
          <w:color w:val="auto"/>
        </w:rPr>
        <w:t>9.1.2环境管理机构设置</w:t>
      </w:r>
      <w:bookmarkEnd w:id="183"/>
    </w:p>
    <w:p>
      <w:pPr>
        <w:spacing w:line="360" w:lineRule="auto"/>
        <w:ind w:firstLine="480" w:firstLineChars="200"/>
        <w:rPr>
          <w:color w:val="auto"/>
          <w:sz w:val="24"/>
          <w:szCs w:val="24"/>
        </w:rPr>
      </w:pPr>
      <w:r>
        <w:rPr>
          <w:rFonts w:hint="eastAsia"/>
          <w:color w:val="auto"/>
          <w:sz w:val="24"/>
          <w:szCs w:val="24"/>
        </w:rPr>
        <w:t>厂内设置专门的环保机构，机构中设置主抓环保工作的科长或副厂长一名，并设专职环保技术管理人员，负责各项环保设施的运行监督及其操作人员的管理。</w:t>
      </w:r>
    </w:p>
    <w:p>
      <w:pPr>
        <w:spacing w:line="360" w:lineRule="auto"/>
        <w:ind w:firstLine="480" w:firstLineChars="200"/>
        <w:rPr>
          <w:color w:val="auto"/>
          <w:sz w:val="24"/>
          <w:szCs w:val="24"/>
        </w:rPr>
      </w:pPr>
      <w:r>
        <w:rPr>
          <w:rFonts w:hint="eastAsia"/>
          <w:color w:val="auto"/>
          <w:sz w:val="24"/>
          <w:szCs w:val="24"/>
        </w:rPr>
        <w:t>各项治理设备要做到建制齐全，设专职化验员及维修人员。</w:t>
      </w:r>
    </w:p>
    <w:p>
      <w:pPr>
        <w:pStyle w:val="4"/>
        <w:rPr>
          <w:color w:val="auto"/>
        </w:rPr>
      </w:pPr>
      <w:bookmarkStart w:id="184" w:name="_Toc26276892"/>
      <w:r>
        <w:rPr>
          <w:rFonts w:hint="eastAsia"/>
          <w:color w:val="auto"/>
        </w:rPr>
        <w:t>9.1.3环境管理人员职责</w:t>
      </w:r>
      <w:bookmarkEnd w:id="184"/>
    </w:p>
    <w:p>
      <w:pPr>
        <w:spacing w:line="360" w:lineRule="auto"/>
        <w:ind w:firstLine="480" w:firstLineChars="200"/>
        <w:rPr>
          <w:color w:val="auto"/>
          <w:sz w:val="24"/>
          <w:szCs w:val="24"/>
        </w:rPr>
      </w:pPr>
      <w:r>
        <w:rPr>
          <w:rFonts w:hint="eastAsia"/>
          <w:color w:val="auto"/>
          <w:sz w:val="24"/>
          <w:szCs w:val="24"/>
        </w:rPr>
        <w:t>（1）贯彻执行环保法律法规和环境标准，编制并组织实施全厂的环境保护规划和计划，并对要企业的执行情况进行监督；</w:t>
      </w:r>
    </w:p>
    <w:p>
      <w:pPr>
        <w:spacing w:line="360" w:lineRule="auto"/>
        <w:ind w:firstLine="480" w:firstLineChars="200"/>
        <w:rPr>
          <w:color w:val="auto"/>
          <w:sz w:val="24"/>
          <w:szCs w:val="24"/>
        </w:rPr>
      </w:pPr>
      <w:r>
        <w:rPr>
          <w:rFonts w:hint="eastAsia"/>
          <w:color w:val="auto"/>
          <w:sz w:val="24"/>
          <w:szCs w:val="24"/>
        </w:rPr>
        <w:t>（2）制定生产过程中各项污染物的排放指标和各项环保设施运转指标，定期考核统计，向公司和环保管理部门汇报；</w:t>
      </w:r>
    </w:p>
    <w:p>
      <w:pPr>
        <w:spacing w:line="360" w:lineRule="auto"/>
        <w:ind w:firstLine="480" w:firstLineChars="200"/>
        <w:rPr>
          <w:color w:val="auto"/>
          <w:sz w:val="24"/>
          <w:szCs w:val="24"/>
        </w:rPr>
      </w:pPr>
      <w:r>
        <w:rPr>
          <w:rFonts w:hint="eastAsia"/>
          <w:color w:val="auto"/>
          <w:sz w:val="24"/>
          <w:szCs w:val="24"/>
        </w:rPr>
        <w:t>（3）将环保工作的措施和指标落实到各个车间班组，并制定相应的奖惩办法，定期监督检查各部门执行环保法规的情况；</w:t>
      </w:r>
    </w:p>
    <w:p>
      <w:pPr>
        <w:spacing w:line="360" w:lineRule="auto"/>
        <w:ind w:firstLine="480" w:firstLineChars="200"/>
        <w:rPr>
          <w:color w:val="auto"/>
          <w:sz w:val="24"/>
          <w:szCs w:val="24"/>
        </w:rPr>
      </w:pPr>
      <w:r>
        <w:rPr>
          <w:rFonts w:hint="eastAsia"/>
          <w:color w:val="auto"/>
          <w:sz w:val="24"/>
          <w:szCs w:val="24"/>
        </w:rPr>
        <w:t>（4）在生产检修期间，应组织人员对环保设施进行全面检修，确保环保设备正常有效的运行；</w:t>
      </w:r>
    </w:p>
    <w:p>
      <w:pPr>
        <w:spacing w:line="360" w:lineRule="auto"/>
        <w:ind w:firstLine="480" w:firstLineChars="200"/>
        <w:rPr>
          <w:color w:val="auto"/>
          <w:sz w:val="24"/>
          <w:szCs w:val="24"/>
        </w:rPr>
      </w:pPr>
      <w:r>
        <w:rPr>
          <w:rFonts w:hint="eastAsia"/>
          <w:color w:val="auto"/>
          <w:sz w:val="24"/>
          <w:szCs w:val="24"/>
        </w:rPr>
        <w:t>（5）负责推行应用清洁生产工艺及污染治理先进技术和经验，不断提高公司污染治理设施的技术水平及环保工作的管理水平；</w:t>
      </w:r>
    </w:p>
    <w:p>
      <w:pPr>
        <w:spacing w:line="360" w:lineRule="auto"/>
        <w:ind w:firstLine="480" w:firstLineChars="200"/>
        <w:rPr>
          <w:color w:val="auto"/>
          <w:sz w:val="24"/>
          <w:szCs w:val="24"/>
        </w:rPr>
      </w:pPr>
      <w:r>
        <w:rPr>
          <w:rFonts w:hint="eastAsia"/>
          <w:color w:val="auto"/>
          <w:sz w:val="24"/>
          <w:szCs w:val="24"/>
        </w:rPr>
        <w:t>（6）负责组织与领导环境监测与统计工作，掌握污染动态，提出改善措施；</w:t>
      </w:r>
    </w:p>
    <w:p>
      <w:pPr>
        <w:spacing w:line="360" w:lineRule="auto"/>
        <w:ind w:firstLine="480" w:firstLineChars="200"/>
        <w:rPr>
          <w:color w:val="auto"/>
          <w:sz w:val="24"/>
          <w:szCs w:val="24"/>
        </w:rPr>
      </w:pPr>
      <w:r>
        <w:rPr>
          <w:rFonts w:hint="eastAsia"/>
          <w:color w:val="auto"/>
          <w:sz w:val="24"/>
          <w:szCs w:val="24"/>
        </w:rPr>
        <w:t>（7）负责组织制订本企业环境保护发展规划和年度实施计划，监督检查计划执行情况；</w:t>
      </w:r>
    </w:p>
    <w:p>
      <w:pPr>
        <w:spacing w:line="360" w:lineRule="auto"/>
        <w:ind w:firstLine="480" w:firstLineChars="200"/>
        <w:rPr>
          <w:color w:val="auto"/>
          <w:sz w:val="24"/>
          <w:szCs w:val="24"/>
        </w:rPr>
      </w:pPr>
      <w:r>
        <w:rPr>
          <w:rFonts w:hint="eastAsia"/>
          <w:color w:val="auto"/>
          <w:sz w:val="24"/>
          <w:szCs w:val="24"/>
        </w:rPr>
        <w:t>（8）负责企业与地方各级环保部门的联系与协调工作。</w:t>
      </w:r>
    </w:p>
    <w:p>
      <w:pPr>
        <w:pStyle w:val="3"/>
        <w:rPr>
          <w:color w:val="auto"/>
        </w:rPr>
      </w:pPr>
      <w:bookmarkStart w:id="185" w:name="_Toc26276893"/>
      <w:bookmarkStart w:id="186" w:name="_Toc3955"/>
      <w:r>
        <w:rPr>
          <w:rFonts w:hint="eastAsia"/>
          <w:color w:val="auto"/>
        </w:rPr>
        <w:t>9.2环境监测规划与措施</w:t>
      </w:r>
      <w:bookmarkEnd w:id="185"/>
      <w:bookmarkEnd w:id="186"/>
    </w:p>
    <w:p>
      <w:pPr>
        <w:pStyle w:val="4"/>
        <w:rPr>
          <w:color w:val="auto"/>
        </w:rPr>
      </w:pPr>
      <w:bookmarkStart w:id="187" w:name="_Toc26276894"/>
      <w:r>
        <w:rPr>
          <w:rFonts w:hint="eastAsia"/>
          <w:color w:val="auto"/>
        </w:rPr>
        <w:t>9.2.1环境监测任务</w:t>
      </w:r>
      <w:bookmarkEnd w:id="187"/>
    </w:p>
    <w:p>
      <w:pPr>
        <w:spacing w:line="360" w:lineRule="auto"/>
        <w:ind w:firstLine="480" w:firstLineChars="200"/>
        <w:rPr>
          <w:color w:val="auto"/>
          <w:sz w:val="24"/>
          <w:szCs w:val="24"/>
        </w:rPr>
      </w:pPr>
      <w:r>
        <w:rPr>
          <w:rFonts w:hint="eastAsia"/>
          <w:color w:val="auto"/>
          <w:sz w:val="24"/>
          <w:szCs w:val="24"/>
        </w:rPr>
        <w:t>城市水质净化厂环境监测任务主要包括：定期对各处理单元进出水质进行监测，分析其水质变化的趋势，并及时上报管理部门；定期对工程各项污染物的排放情况进行统计，并负责污染事故的监测及事故报告的编写。通过对上述对象定期监测结果及统计分析数据，可以掌握工程进、出水水质及污染物排放浓度的变化趋势，及时发现污水处理设施运行中的异常情况，为环境管理工作提供技术依据，保障环境管理工作科学有效的进行。</w:t>
      </w:r>
    </w:p>
    <w:p>
      <w:pPr>
        <w:pStyle w:val="4"/>
        <w:rPr>
          <w:color w:val="auto"/>
        </w:rPr>
      </w:pPr>
      <w:bookmarkStart w:id="188" w:name="_Toc26276895"/>
      <w:r>
        <w:rPr>
          <w:rFonts w:hint="eastAsia"/>
          <w:color w:val="auto"/>
        </w:rPr>
        <w:t>9.2.2环境监测方案</w:t>
      </w:r>
      <w:bookmarkEnd w:id="188"/>
    </w:p>
    <w:p>
      <w:pPr>
        <w:spacing w:line="360" w:lineRule="auto"/>
        <w:ind w:firstLine="480" w:firstLineChars="200"/>
        <w:rPr>
          <w:color w:val="auto"/>
          <w:sz w:val="24"/>
          <w:szCs w:val="24"/>
        </w:rPr>
      </w:pPr>
      <w:r>
        <w:rPr>
          <w:rFonts w:hint="eastAsia"/>
          <w:color w:val="auto"/>
          <w:sz w:val="24"/>
          <w:szCs w:val="24"/>
        </w:rPr>
        <w:t>根据各专项环境影响评价技术导则、《排污单位自行监测技术指南 总则》（HJ 819-2017）和《排污许可证申请与核发技术规范 水处理（试行）》（HJ978-2018），本项目环境监测方案如下表所示。</w:t>
      </w:r>
    </w:p>
    <w:p>
      <w:pPr>
        <w:spacing w:line="360" w:lineRule="auto"/>
        <w:jc w:val="center"/>
        <w:rPr>
          <w:b/>
          <w:color w:val="auto"/>
          <w:sz w:val="24"/>
          <w:szCs w:val="24"/>
        </w:rPr>
      </w:pPr>
      <w:r>
        <w:rPr>
          <w:rFonts w:hint="eastAsia"/>
          <w:b/>
          <w:color w:val="auto"/>
          <w:sz w:val="24"/>
          <w:szCs w:val="24"/>
        </w:rPr>
        <w:t>表9-2-1  项目环境监测方案一览表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09"/>
        <w:gridCol w:w="2410"/>
        <w:gridCol w:w="3023"/>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b/>
                <w:color w:val="auto"/>
                <w:sz w:val="21"/>
                <w:szCs w:val="21"/>
              </w:rPr>
            </w:pPr>
            <w:r>
              <w:rPr>
                <w:rFonts w:hint="eastAsia"/>
                <w:b/>
                <w:color w:val="auto"/>
                <w:sz w:val="21"/>
                <w:szCs w:val="21"/>
              </w:rPr>
              <w:t>监测类别</w:t>
            </w:r>
          </w:p>
        </w:tc>
        <w:tc>
          <w:tcPr>
            <w:tcW w:w="709" w:type="dxa"/>
            <w:vAlign w:val="center"/>
          </w:tcPr>
          <w:p>
            <w:pPr>
              <w:jc w:val="center"/>
              <w:rPr>
                <w:b/>
                <w:color w:val="auto"/>
                <w:sz w:val="21"/>
                <w:szCs w:val="21"/>
              </w:rPr>
            </w:pPr>
            <w:r>
              <w:rPr>
                <w:rFonts w:hint="eastAsia"/>
                <w:b/>
                <w:color w:val="auto"/>
                <w:sz w:val="21"/>
                <w:szCs w:val="21"/>
              </w:rPr>
              <w:t>监测类型</w:t>
            </w:r>
          </w:p>
        </w:tc>
        <w:tc>
          <w:tcPr>
            <w:tcW w:w="2410" w:type="dxa"/>
            <w:vAlign w:val="center"/>
          </w:tcPr>
          <w:p>
            <w:pPr>
              <w:jc w:val="center"/>
              <w:rPr>
                <w:b/>
                <w:color w:val="auto"/>
                <w:sz w:val="21"/>
                <w:szCs w:val="21"/>
              </w:rPr>
            </w:pPr>
            <w:r>
              <w:rPr>
                <w:rFonts w:hint="eastAsia"/>
                <w:b/>
                <w:color w:val="auto"/>
                <w:sz w:val="21"/>
                <w:szCs w:val="21"/>
              </w:rPr>
              <w:t>监测点位</w:t>
            </w:r>
          </w:p>
        </w:tc>
        <w:tc>
          <w:tcPr>
            <w:tcW w:w="3023" w:type="dxa"/>
            <w:vAlign w:val="center"/>
          </w:tcPr>
          <w:p>
            <w:pPr>
              <w:jc w:val="center"/>
              <w:rPr>
                <w:b/>
                <w:color w:val="auto"/>
                <w:sz w:val="21"/>
                <w:szCs w:val="21"/>
              </w:rPr>
            </w:pPr>
            <w:r>
              <w:rPr>
                <w:rFonts w:hint="eastAsia"/>
                <w:b/>
                <w:color w:val="auto"/>
                <w:sz w:val="21"/>
                <w:szCs w:val="21"/>
              </w:rPr>
              <w:t>监测指标</w:t>
            </w:r>
          </w:p>
        </w:tc>
        <w:tc>
          <w:tcPr>
            <w:tcW w:w="1705" w:type="dxa"/>
            <w:vAlign w:val="center"/>
          </w:tcPr>
          <w:p>
            <w:pPr>
              <w:jc w:val="center"/>
              <w:rPr>
                <w:b/>
                <w:color w:val="auto"/>
                <w:sz w:val="21"/>
                <w:szCs w:val="21"/>
              </w:rPr>
            </w:pPr>
            <w:r>
              <w:rPr>
                <w:rFonts w:hint="eastAsia"/>
                <w:b/>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75" w:type="dxa"/>
            <w:vMerge w:val="restart"/>
            <w:vAlign w:val="center"/>
          </w:tcPr>
          <w:p>
            <w:pPr>
              <w:jc w:val="center"/>
              <w:rPr>
                <w:color w:val="auto"/>
                <w:sz w:val="21"/>
                <w:szCs w:val="21"/>
              </w:rPr>
            </w:pPr>
            <w:r>
              <w:rPr>
                <w:rFonts w:hint="eastAsia"/>
                <w:color w:val="auto"/>
                <w:sz w:val="21"/>
                <w:szCs w:val="21"/>
              </w:rPr>
              <w:t>地表水环境</w:t>
            </w:r>
          </w:p>
        </w:tc>
        <w:tc>
          <w:tcPr>
            <w:tcW w:w="709" w:type="dxa"/>
            <w:vMerge w:val="restart"/>
            <w:vAlign w:val="center"/>
          </w:tcPr>
          <w:p>
            <w:pPr>
              <w:jc w:val="center"/>
              <w:rPr>
                <w:color w:val="auto"/>
                <w:sz w:val="21"/>
                <w:szCs w:val="21"/>
              </w:rPr>
            </w:pPr>
            <w:r>
              <w:rPr>
                <w:rFonts w:hint="eastAsia"/>
                <w:color w:val="auto"/>
                <w:sz w:val="21"/>
                <w:szCs w:val="21"/>
              </w:rPr>
              <w:t>进水监测</w:t>
            </w:r>
          </w:p>
        </w:tc>
        <w:tc>
          <w:tcPr>
            <w:tcW w:w="2410" w:type="dxa"/>
            <w:vMerge w:val="restart"/>
            <w:vAlign w:val="center"/>
          </w:tcPr>
          <w:p>
            <w:pPr>
              <w:jc w:val="center"/>
              <w:rPr>
                <w:color w:val="auto"/>
                <w:sz w:val="21"/>
                <w:szCs w:val="21"/>
              </w:rPr>
            </w:pPr>
            <w:r>
              <w:rPr>
                <w:rFonts w:hint="eastAsia"/>
                <w:color w:val="auto"/>
                <w:sz w:val="21"/>
                <w:szCs w:val="21"/>
              </w:rPr>
              <w:t>进水总管</w:t>
            </w:r>
          </w:p>
        </w:tc>
        <w:tc>
          <w:tcPr>
            <w:tcW w:w="3023" w:type="dxa"/>
            <w:vAlign w:val="center"/>
          </w:tcPr>
          <w:p>
            <w:pPr>
              <w:jc w:val="center"/>
              <w:rPr>
                <w:color w:val="auto"/>
                <w:sz w:val="21"/>
                <w:szCs w:val="21"/>
              </w:rPr>
            </w:pPr>
            <w:r>
              <w:rPr>
                <w:rFonts w:hint="eastAsia"/>
                <w:color w:val="auto"/>
                <w:sz w:val="21"/>
                <w:szCs w:val="21"/>
              </w:rPr>
              <w:t>流量、化学需氧量、氨氮</w:t>
            </w:r>
          </w:p>
        </w:tc>
        <w:tc>
          <w:tcPr>
            <w:tcW w:w="1705" w:type="dxa"/>
            <w:vAlign w:val="center"/>
          </w:tcPr>
          <w:p>
            <w:pPr>
              <w:jc w:val="center"/>
              <w:rPr>
                <w:color w:val="auto"/>
                <w:sz w:val="21"/>
                <w:szCs w:val="21"/>
              </w:rPr>
            </w:pPr>
            <w:r>
              <w:rPr>
                <w:rFonts w:hint="eastAsia"/>
                <w:color w:val="auto"/>
                <w:sz w:val="21"/>
                <w:szCs w:val="21"/>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2410" w:type="dxa"/>
            <w:vMerge w:val="continue"/>
            <w:vAlign w:val="center"/>
          </w:tcPr>
          <w:p>
            <w:pPr>
              <w:jc w:val="center"/>
              <w:rPr>
                <w:color w:val="auto"/>
                <w:sz w:val="21"/>
                <w:szCs w:val="21"/>
              </w:rPr>
            </w:pPr>
          </w:p>
        </w:tc>
        <w:tc>
          <w:tcPr>
            <w:tcW w:w="3023" w:type="dxa"/>
            <w:vAlign w:val="center"/>
          </w:tcPr>
          <w:p>
            <w:pPr>
              <w:jc w:val="center"/>
              <w:rPr>
                <w:color w:val="auto"/>
                <w:sz w:val="21"/>
                <w:szCs w:val="21"/>
              </w:rPr>
            </w:pPr>
            <w:r>
              <w:rPr>
                <w:rFonts w:hint="eastAsia"/>
                <w:color w:val="auto"/>
                <w:sz w:val="21"/>
                <w:szCs w:val="21"/>
              </w:rPr>
              <w:t>总磷、总氮</w:t>
            </w:r>
          </w:p>
        </w:tc>
        <w:tc>
          <w:tcPr>
            <w:tcW w:w="1705" w:type="dxa"/>
            <w:vAlign w:val="center"/>
          </w:tcPr>
          <w:p>
            <w:pPr>
              <w:jc w:val="center"/>
              <w:rPr>
                <w:color w:val="auto"/>
                <w:sz w:val="21"/>
                <w:szCs w:val="21"/>
              </w:rPr>
            </w:pPr>
            <w:r>
              <w:rPr>
                <w:rFonts w:hint="eastAsia"/>
                <w:color w:val="auto"/>
                <w:sz w:val="21"/>
                <w:szCs w:val="21"/>
              </w:rPr>
              <w:t>每日1次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2410" w:type="dxa"/>
            <w:vAlign w:val="center"/>
          </w:tcPr>
          <w:p>
            <w:pPr>
              <w:jc w:val="center"/>
              <w:rPr>
                <w:color w:val="auto"/>
                <w:sz w:val="21"/>
                <w:szCs w:val="21"/>
              </w:rPr>
            </w:pPr>
            <w:r>
              <w:rPr>
                <w:rFonts w:hint="eastAsia"/>
                <w:color w:val="auto"/>
                <w:sz w:val="21"/>
                <w:szCs w:val="21"/>
              </w:rPr>
              <w:t>工业废水混合前</w:t>
            </w:r>
          </w:p>
        </w:tc>
        <w:tc>
          <w:tcPr>
            <w:tcW w:w="3023" w:type="dxa"/>
            <w:vAlign w:val="center"/>
          </w:tcPr>
          <w:p>
            <w:pPr>
              <w:jc w:val="center"/>
              <w:rPr>
                <w:color w:val="auto"/>
                <w:sz w:val="21"/>
                <w:szCs w:val="21"/>
              </w:rPr>
            </w:pPr>
            <w:r>
              <w:rPr>
                <w:rFonts w:hint="eastAsia"/>
                <w:color w:val="auto"/>
                <w:sz w:val="21"/>
                <w:szCs w:val="21"/>
              </w:rPr>
              <w:t>化学需氧量、五日生化需氧量、氨氮、总磷、总氮、悬浮物、石油类</w:t>
            </w:r>
          </w:p>
        </w:tc>
        <w:tc>
          <w:tcPr>
            <w:tcW w:w="1705" w:type="dxa"/>
            <w:vAlign w:val="center"/>
          </w:tcPr>
          <w:p>
            <w:pPr>
              <w:jc w:val="center"/>
              <w:rPr>
                <w:color w:val="auto"/>
                <w:sz w:val="21"/>
                <w:szCs w:val="21"/>
              </w:rPr>
            </w:pPr>
            <w:r>
              <w:rPr>
                <w:rFonts w:hint="eastAsia"/>
                <w:color w:val="auto"/>
                <w:sz w:val="21"/>
                <w:szCs w:val="21"/>
              </w:rPr>
              <w:t>每季度1次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restart"/>
            <w:vAlign w:val="center"/>
          </w:tcPr>
          <w:p>
            <w:pPr>
              <w:jc w:val="center"/>
              <w:rPr>
                <w:color w:val="auto"/>
                <w:sz w:val="21"/>
                <w:szCs w:val="21"/>
              </w:rPr>
            </w:pPr>
            <w:r>
              <w:rPr>
                <w:rFonts w:hint="eastAsia"/>
                <w:color w:val="auto"/>
                <w:sz w:val="21"/>
                <w:szCs w:val="21"/>
              </w:rPr>
              <w:t>出水监测</w:t>
            </w:r>
          </w:p>
        </w:tc>
        <w:tc>
          <w:tcPr>
            <w:tcW w:w="2410" w:type="dxa"/>
            <w:vMerge w:val="restart"/>
            <w:vAlign w:val="center"/>
          </w:tcPr>
          <w:p>
            <w:pPr>
              <w:jc w:val="center"/>
              <w:rPr>
                <w:color w:val="auto"/>
                <w:sz w:val="21"/>
                <w:szCs w:val="21"/>
              </w:rPr>
            </w:pPr>
            <w:r>
              <w:rPr>
                <w:rFonts w:hint="eastAsia"/>
                <w:color w:val="auto"/>
                <w:sz w:val="21"/>
                <w:szCs w:val="21"/>
              </w:rPr>
              <w:t>废水总排放口</w:t>
            </w:r>
          </w:p>
        </w:tc>
        <w:tc>
          <w:tcPr>
            <w:tcW w:w="3023" w:type="dxa"/>
            <w:vAlign w:val="center"/>
          </w:tcPr>
          <w:p>
            <w:pPr>
              <w:jc w:val="center"/>
              <w:rPr>
                <w:color w:val="auto"/>
                <w:sz w:val="21"/>
                <w:szCs w:val="21"/>
              </w:rPr>
            </w:pPr>
            <w:r>
              <w:rPr>
                <w:rFonts w:hint="eastAsia"/>
                <w:color w:val="auto"/>
                <w:sz w:val="21"/>
                <w:szCs w:val="21"/>
              </w:rPr>
              <w:t>流量、pH、水温、化学需氧量、氨氮、总磷、总氮</w:t>
            </w:r>
          </w:p>
        </w:tc>
        <w:tc>
          <w:tcPr>
            <w:tcW w:w="1705" w:type="dxa"/>
            <w:vAlign w:val="center"/>
          </w:tcPr>
          <w:p>
            <w:pPr>
              <w:jc w:val="center"/>
              <w:rPr>
                <w:color w:val="auto"/>
                <w:sz w:val="21"/>
                <w:szCs w:val="21"/>
              </w:rPr>
            </w:pPr>
            <w:r>
              <w:rPr>
                <w:rFonts w:hint="eastAsia"/>
                <w:color w:val="auto"/>
                <w:sz w:val="21"/>
                <w:szCs w:val="21"/>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2410" w:type="dxa"/>
            <w:vMerge w:val="continue"/>
            <w:vAlign w:val="center"/>
          </w:tcPr>
          <w:p>
            <w:pPr>
              <w:jc w:val="center"/>
              <w:rPr>
                <w:color w:val="auto"/>
                <w:sz w:val="21"/>
                <w:szCs w:val="21"/>
              </w:rPr>
            </w:pPr>
          </w:p>
        </w:tc>
        <w:tc>
          <w:tcPr>
            <w:tcW w:w="3023" w:type="dxa"/>
            <w:vAlign w:val="center"/>
          </w:tcPr>
          <w:p>
            <w:pPr>
              <w:jc w:val="center"/>
              <w:rPr>
                <w:color w:val="auto"/>
                <w:sz w:val="21"/>
                <w:szCs w:val="21"/>
              </w:rPr>
            </w:pPr>
            <w:r>
              <w:rPr>
                <w:rFonts w:hint="eastAsia"/>
                <w:color w:val="auto"/>
                <w:sz w:val="21"/>
                <w:szCs w:val="21"/>
              </w:rPr>
              <w:t>悬浮物、色度、总镉、总铬、总汞、总铅、总砷、六价铬</w:t>
            </w:r>
          </w:p>
        </w:tc>
        <w:tc>
          <w:tcPr>
            <w:tcW w:w="1705" w:type="dxa"/>
            <w:vAlign w:val="center"/>
          </w:tcPr>
          <w:p>
            <w:pPr>
              <w:jc w:val="center"/>
              <w:rPr>
                <w:color w:val="auto"/>
                <w:sz w:val="21"/>
                <w:szCs w:val="21"/>
              </w:rPr>
            </w:pPr>
            <w:r>
              <w:rPr>
                <w:rFonts w:hint="eastAsia"/>
                <w:color w:val="auto"/>
                <w:sz w:val="21"/>
                <w:szCs w:val="21"/>
              </w:rPr>
              <w:t>每月1次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2410" w:type="dxa"/>
            <w:vMerge w:val="continue"/>
            <w:vAlign w:val="center"/>
          </w:tcPr>
          <w:p>
            <w:pPr>
              <w:jc w:val="center"/>
              <w:rPr>
                <w:color w:val="auto"/>
                <w:sz w:val="21"/>
                <w:szCs w:val="21"/>
              </w:rPr>
            </w:pPr>
          </w:p>
        </w:tc>
        <w:tc>
          <w:tcPr>
            <w:tcW w:w="3023" w:type="dxa"/>
            <w:vAlign w:val="center"/>
          </w:tcPr>
          <w:p>
            <w:pPr>
              <w:jc w:val="center"/>
              <w:rPr>
                <w:color w:val="auto"/>
                <w:sz w:val="21"/>
                <w:szCs w:val="21"/>
              </w:rPr>
            </w:pPr>
            <w:r>
              <w:rPr>
                <w:rFonts w:hint="eastAsia"/>
                <w:color w:val="auto"/>
                <w:sz w:val="21"/>
                <w:szCs w:val="21"/>
              </w:rPr>
              <w:t>五日生化需氧量、石油类</w:t>
            </w:r>
          </w:p>
        </w:tc>
        <w:tc>
          <w:tcPr>
            <w:tcW w:w="1705" w:type="dxa"/>
            <w:vAlign w:val="center"/>
          </w:tcPr>
          <w:p>
            <w:pPr>
              <w:jc w:val="center"/>
              <w:rPr>
                <w:color w:val="auto"/>
                <w:sz w:val="21"/>
                <w:szCs w:val="21"/>
              </w:rPr>
            </w:pPr>
            <w:r>
              <w:rPr>
                <w:rFonts w:hint="eastAsia"/>
                <w:color w:val="auto"/>
                <w:sz w:val="21"/>
                <w:szCs w:val="21"/>
              </w:rPr>
              <w:t>每季度1次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2410" w:type="dxa"/>
            <w:vAlign w:val="center"/>
          </w:tcPr>
          <w:p>
            <w:pPr>
              <w:jc w:val="center"/>
              <w:rPr>
                <w:color w:val="auto"/>
                <w:sz w:val="21"/>
                <w:szCs w:val="21"/>
              </w:rPr>
            </w:pPr>
            <w:r>
              <w:rPr>
                <w:rFonts w:hint="eastAsia"/>
                <w:color w:val="auto"/>
                <w:sz w:val="21"/>
                <w:szCs w:val="21"/>
              </w:rPr>
              <w:t>雨水排放口</w:t>
            </w:r>
          </w:p>
        </w:tc>
        <w:tc>
          <w:tcPr>
            <w:tcW w:w="3023" w:type="dxa"/>
            <w:vAlign w:val="center"/>
          </w:tcPr>
          <w:p>
            <w:pPr>
              <w:jc w:val="center"/>
              <w:rPr>
                <w:color w:val="auto"/>
                <w:sz w:val="21"/>
                <w:szCs w:val="21"/>
              </w:rPr>
            </w:pPr>
            <w:r>
              <w:rPr>
                <w:rFonts w:hint="eastAsia"/>
                <w:color w:val="auto"/>
                <w:sz w:val="21"/>
                <w:szCs w:val="21"/>
              </w:rPr>
              <w:t>pH值、化学需氧量、氨氮、悬浮物</w:t>
            </w:r>
          </w:p>
        </w:tc>
        <w:tc>
          <w:tcPr>
            <w:tcW w:w="1705" w:type="dxa"/>
            <w:vAlign w:val="center"/>
          </w:tcPr>
          <w:p>
            <w:pPr>
              <w:jc w:val="center"/>
              <w:rPr>
                <w:color w:val="auto"/>
                <w:sz w:val="21"/>
                <w:szCs w:val="21"/>
              </w:rPr>
            </w:pPr>
            <w:r>
              <w:rPr>
                <w:rFonts w:hint="eastAsia"/>
                <w:color w:val="auto"/>
                <w:sz w:val="21"/>
                <w:szCs w:val="21"/>
              </w:rPr>
              <w:t>每日1次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Align w:val="center"/>
          </w:tcPr>
          <w:p>
            <w:pPr>
              <w:jc w:val="center"/>
              <w:rPr>
                <w:color w:val="auto"/>
                <w:sz w:val="21"/>
                <w:szCs w:val="21"/>
              </w:rPr>
            </w:pPr>
            <w:r>
              <w:rPr>
                <w:rFonts w:hint="eastAsia"/>
                <w:color w:val="auto"/>
                <w:sz w:val="21"/>
                <w:szCs w:val="21"/>
              </w:rPr>
              <w:t>质量监测</w:t>
            </w:r>
          </w:p>
        </w:tc>
        <w:tc>
          <w:tcPr>
            <w:tcW w:w="2410" w:type="dxa"/>
            <w:vAlign w:val="center"/>
          </w:tcPr>
          <w:p>
            <w:pPr>
              <w:jc w:val="center"/>
              <w:rPr>
                <w:color w:val="auto"/>
                <w:sz w:val="21"/>
                <w:szCs w:val="21"/>
              </w:rPr>
            </w:pPr>
            <w:r>
              <w:rPr>
                <w:rFonts w:hint="eastAsia"/>
                <w:color w:val="auto"/>
                <w:sz w:val="21"/>
                <w:szCs w:val="21"/>
              </w:rPr>
              <w:t>（大嵩河）排污口上游400m、（大嵩河）排污口下游500m、（大嵩河）排污口下游4800m</w:t>
            </w:r>
          </w:p>
        </w:tc>
        <w:tc>
          <w:tcPr>
            <w:tcW w:w="3023" w:type="dxa"/>
            <w:vAlign w:val="center"/>
          </w:tcPr>
          <w:p>
            <w:pPr>
              <w:jc w:val="center"/>
              <w:rPr>
                <w:color w:val="auto"/>
                <w:sz w:val="21"/>
                <w:szCs w:val="21"/>
              </w:rPr>
            </w:pPr>
            <w:r>
              <w:rPr>
                <w:rFonts w:hint="eastAsia"/>
                <w:color w:val="auto"/>
                <w:sz w:val="21"/>
                <w:szCs w:val="21"/>
              </w:rPr>
              <w:t>水温、pH值、溶解氧、化学需氧量、五日生化需氧量、氨氮、总磷、悬浮物、氰化物、挥发酚、LAS、石油类、六价铬、铅、粪大肠菌群</w:t>
            </w:r>
          </w:p>
        </w:tc>
        <w:tc>
          <w:tcPr>
            <w:tcW w:w="1705" w:type="dxa"/>
            <w:vAlign w:val="center"/>
          </w:tcPr>
          <w:p>
            <w:pPr>
              <w:jc w:val="center"/>
              <w:rPr>
                <w:color w:val="auto"/>
                <w:sz w:val="21"/>
                <w:szCs w:val="21"/>
              </w:rPr>
            </w:pPr>
            <w:r>
              <w:rPr>
                <w:rFonts w:hint="eastAsia"/>
                <w:color w:val="auto"/>
                <w:sz w:val="21"/>
                <w:szCs w:val="21"/>
              </w:rPr>
              <w:t>每年丰、平、枯水期至少各监测一次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jc w:val="center"/>
              <w:rPr>
                <w:color w:val="auto"/>
                <w:sz w:val="21"/>
                <w:szCs w:val="21"/>
              </w:rPr>
            </w:pPr>
            <w:r>
              <w:rPr>
                <w:rFonts w:hint="eastAsia"/>
                <w:color w:val="auto"/>
                <w:sz w:val="21"/>
                <w:szCs w:val="21"/>
              </w:rPr>
              <w:t>大气环境</w:t>
            </w:r>
          </w:p>
        </w:tc>
        <w:tc>
          <w:tcPr>
            <w:tcW w:w="709" w:type="dxa"/>
            <w:vAlign w:val="center"/>
          </w:tcPr>
          <w:p>
            <w:pPr>
              <w:jc w:val="center"/>
              <w:rPr>
                <w:color w:val="auto"/>
                <w:sz w:val="21"/>
                <w:szCs w:val="21"/>
              </w:rPr>
            </w:pPr>
            <w:r>
              <w:rPr>
                <w:rFonts w:hint="eastAsia"/>
                <w:color w:val="auto"/>
                <w:sz w:val="21"/>
                <w:szCs w:val="21"/>
              </w:rPr>
              <w:t>有组织监测</w:t>
            </w:r>
          </w:p>
        </w:tc>
        <w:tc>
          <w:tcPr>
            <w:tcW w:w="2410" w:type="dxa"/>
            <w:vAlign w:val="center"/>
          </w:tcPr>
          <w:p>
            <w:pPr>
              <w:jc w:val="center"/>
              <w:rPr>
                <w:color w:val="auto"/>
                <w:sz w:val="21"/>
                <w:szCs w:val="21"/>
              </w:rPr>
            </w:pPr>
            <w:r>
              <w:rPr>
                <w:rFonts w:hint="eastAsia"/>
                <w:color w:val="auto"/>
                <w:sz w:val="21"/>
                <w:szCs w:val="21"/>
              </w:rPr>
              <w:t>除臭装置排气筒</w:t>
            </w:r>
          </w:p>
        </w:tc>
        <w:tc>
          <w:tcPr>
            <w:tcW w:w="3023" w:type="dxa"/>
            <w:vAlign w:val="center"/>
          </w:tcPr>
          <w:p>
            <w:pPr>
              <w:jc w:val="center"/>
              <w:rPr>
                <w:color w:val="auto"/>
                <w:sz w:val="21"/>
                <w:szCs w:val="21"/>
              </w:rPr>
            </w:pPr>
            <w:r>
              <w:rPr>
                <w:rFonts w:hint="eastAsia"/>
                <w:color w:val="auto"/>
                <w:sz w:val="21"/>
                <w:szCs w:val="21"/>
              </w:rPr>
              <w:t>臭气浓度、硫化氢、氨</w:t>
            </w:r>
          </w:p>
        </w:tc>
        <w:tc>
          <w:tcPr>
            <w:tcW w:w="1705" w:type="dxa"/>
            <w:vAlign w:val="center"/>
          </w:tcPr>
          <w:p>
            <w:pPr>
              <w:jc w:val="center"/>
              <w:rPr>
                <w:color w:val="auto"/>
                <w:sz w:val="21"/>
                <w:szCs w:val="21"/>
              </w:rPr>
            </w:pPr>
            <w:r>
              <w:rPr>
                <w:rFonts w:hint="eastAsia"/>
                <w:color w:val="auto"/>
                <w:sz w:val="21"/>
                <w:szCs w:val="21"/>
              </w:rPr>
              <w:t>每半年1次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restart"/>
            <w:vAlign w:val="center"/>
          </w:tcPr>
          <w:p>
            <w:pPr>
              <w:jc w:val="center"/>
              <w:rPr>
                <w:color w:val="auto"/>
                <w:sz w:val="21"/>
                <w:szCs w:val="21"/>
              </w:rPr>
            </w:pPr>
            <w:r>
              <w:rPr>
                <w:rFonts w:hint="eastAsia"/>
                <w:color w:val="auto"/>
                <w:sz w:val="21"/>
                <w:szCs w:val="21"/>
              </w:rPr>
              <w:t>无组织监测</w:t>
            </w:r>
          </w:p>
        </w:tc>
        <w:tc>
          <w:tcPr>
            <w:tcW w:w="2410" w:type="dxa"/>
            <w:vAlign w:val="center"/>
          </w:tcPr>
          <w:p>
            <w:pPr>
              <w:jc w:val="center"/>
              <w:rPr>
                <w:color w:val="auto"/>
                <w:sz w:val="21"/>
                <w:szCs w:val="21"/>
              </w:rPr>
            </w:pPr>
            <w:r>
              <w:rPr>
                <w:rFonts w:hint="eastAsia"/>
                <w:color w:val="auto"/>
                <w:sz w:val="21"/>
                <w:szCs w:val="21"/>
              </w:rPr>
              <w:t>厂界</w:t>
            </w:r>
          </w:p>
        </w:tc>
        <w:tc>
          <w:tcPr>
            <w:tcW w:w="3023" w:type="dxa"/>
            <w:vAlign w:val="center"/>
          </w:tcPr>
          <w:p>
            <w:pPr>
              <w:jc w:val="center"/>
              <w:rPr>
                <w:color w:val="auto"/>
                <w:sz w:val="21"/>
                <w:szCs w:val="21"/>
              </w:rPr>
            </w:pPr>
            <w:r>
              <w:rPr>
                <w:rFonts w:hint="eastAsia"/>
                <w:color w:val="auto"/>
                <w:sz w:val="21"/>
                <w:szCs w:val="21"/>
              </w:rPr>
              <w:t>臭气浓度、硫化氢、氨</w:t>
            </w:r>
          </w:p>
        </w:tc>
        <w:tc>
          <w:tcPr>
            <w:tcW w:w="1705" w:type="dxa"/>
            <w:vAlign w:val="center"/>
          </w:tcPr>
          <w:p>
            <w:pPr>
              <w:jc w:val="center"/>
              <w:rPr>
                <w:color w:val="auto"/>
                <w:sz w:val="21"/>
                <w:szCs w:val="21"/>
              </w:rPr>
            </w:pPr>
            <w:r>
              <w:rPr>
                <w:rFonts w:hint="eastAsia"/>
                <w:color w:val="auto"/>
                <w:sz w:val="21"/>
                <w:szCs w:val="21"/>
              </w:rPr>
              <w:t>每半年1次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Merge w:val="continue"/>
            <w:vAlign w:val="center"/>
          </w:tcPr>
          <w:p>
            <w:pPr>
              <w:jc w:val="center"/>
              <w:rPr>
                <w:color w:val="auto"/>
                <w:sz w:val="21"/>
                <w:szCs w:val="21"/>
              </w:rPr>
            </w:pPr>
          </w:p>
        </w:tc>
        <w:tc>
          <w:tcPr>
            <w:tcW w:w="2410" w:type="dxa"/>
            <w:vAlign w:val="center"/>
          </w:tcPr>
          <w:p>
            <w:pPr>
              <w:jc w:val="center"/>
              <w:rPr>
                <w:color w:val="auto"/>
                <w:sz w:val="21"/>
                <w:szCs w:val="21"/>
              </w:rPr>
            </w:pPr>
            <w:r>
              <w:rPr>
                <w:rFonts w:hint="eastAsia"/>
                <w:color w:val="auto"/>
                <w:sz w:val="21"/>
                <w:szCs w:val="21"/>
              </w:rPr>
              <w:t>厂界甲烷体积浓度最高处（通常位于格栅、初沉池、污泥消化池、污泥浓缩池、污泥脱水机房等位置）</w:t>
            </w:r>
          </w:p>
        </w:tc>
        <w:tc>
          <w:tcPr>
            <w:tcW w:w="3023" w:type="dxa"/>
            <w:vAlign w:val="center"/>
          </w:tcPr>
          <w:p>
            <w:pPr>
              <w:jc w:val="center"/>
              <w:rPr>
                <w:color w:val="auto"/>
                <w:sz w:val="21"/>
                <w:szCs w:val="21"/>
              </w:rPr>
            </w:pPr>
            <w:r>
              <w:rPr>
                <w:rFonts w:hint="eastAsia"/>
                <w:color w:val="auto"/>
                <w:sz w:val="21"/>
                <w:szCs w:val="21"/>
              </w:rPr>
              <w:t>甲烷</w:t>
            </w:r>
          </w:p>
        </w:tc>
        <w:tc>
          <w:tcPr>
            <w:tcW w:w="1705" w:type="dxa"/>
            <w:vAlign w:val="center"/>
          </w:tcPr>
          <w:p>
            <w:pPr>
              <w:jc w:val="center"/>
              <w:rPr>
                <w:color w:val="auto"/>
                <w:sz w:val="21"/>
                <w:szCs w:val="21"/>
              </w:rPr>
            </w:pPr>
            <w:r>
              <w:rPr>
                <w:rFonts w:hint="eastAsia"/>
                <w:color w:val="auto"/>
                <w:sz w:val="21"/>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color w:val="auto"/>
                <w:sz w:val="21"/>
                <w:szCs w:val="21"/>
              </w:rPr>
            </w:pPr>
          </w:p>
        </w:tc>
        <w:tc>
          <w:tcPr>
            <w:tcW w:w="709" w:type="dxa"/>
            <w:vAlign w:val="center"/>
          </w:tcPr>
          <w:p>
            <w:pPr>
              <w:jc w:val="center"/>
              <w:rPr>
                <w:color w:val="auto"/>
                <w:sz w:val="21"/>
                <w:szCs w:val="21"/>
              </w:rPr>
            </w:pPr>
            <w:r>
              <w:rPr>
                <w:rFonts w:hint="eastAsia"/>
                <w:color w:val="auto"/>
                <w:sz w:val="21"/>
                <w:szCs w:val="21"/>
              </w:rPr>
              <w:t>质量监测</w:t>
            </w:r>
          </w:p>
        </w:tc>
        <w:tc>
          <w:tcPr>
            <w:tcW w:w="2410" w:type="dxa"/>
            <w:vAlign w:val="center"/>
          </w:tcPr>
          <w:p>
            <w:pPr>
              <w:jc w:val="center"/>
              <w:rPr>
                <w:color w:val="auto"/>
                <w:sz w:val="21"/>
                <w:szCs w:val="21"/>
              </w:rPr>
            </w:pPr>
            <w:r>
              <w:rPr>
                <w:rFonts w:hint="eastAsia"/>
                <w:color w:val="auto"/>
                <w:sz w:val="21"/>
                <w:szCs w:val="21"/>
              </w:rPr>
              <w:t>厂界外侧外侧1-2个监测点</w:t>
            </w:r>
          </w:p>
        </w:tc>
        <w:tc>
          <w:tcPr>
            <w:tcW w:w="3023" w:type="dxa"/>
            <w:vAlign w:val="center"/>
          </w:tcPr>
          <w:p>
            <w:pPr>
              <w:jc w:val="center"/>
              <w:rPr>
                <w:color w:val="auto"/>
                <w:sz w:val="21"/>
                <w:szCs w:val="21"/>
              </w:rPr>
            </w:pPr>
            <w:r>
              <w:rPr>
                <w:rFonts w:hint="eastAsia"/>
                <w:color w:val="auto"/>
                <w:sz w:val="21"/>
                <w:szCs w:val="21"/>
              </w:rPr>
              <w:t>硫化氢</w:t>
            </w:r>
          </w:p>
        </w:tc>
        <w:tc>
          <w:tcPr>
            <w:tcW w:w="1705" w:type="dxa"/>
            <w:vAlign w:val="center"/>
          </w:tcPr>
          <w:p>
            <w:pPr>
              <w:jc w:val="center"/>
              <w:rPr>
                <w:color w:val="auto"/>
                <w:sz w:val="21"/>
                <w:szCs w:val="21"/>
              </w:rPr>
            </w:pPr>
            <w:r>
              <w:rPr>
                <w:rFonts w:hint="eastAsia"/>
                <w:color w:val="auto"/>
                <w:sz w:val="21"/>
                <w:szCs w:val="21"/>
              </w:rPr>
              <w:t>每年1次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djustRightInd w:val="0"/>
              <w:snapToGrid w:val="0"/>
              <w:jc w:val="center"/>
              <w:rPr>
                <w:color w:val="auto"/>
                <w:sz w:val="21"/>
                <w:szCs w:val="21"/>
              </w:rPr>
            </w:pPr>
            <w:r>
              <w:rPr>
                <w:color w:val="auto"/>
                <w:sz w:val="21"/>
                <w:szCs w:val="21"/>
              </w:rPr>
              <w:t>地下水环境</w:t>
            </w:r>
          </w:p>
        </w:tc>
        <w:tc>
          <w:tcPr>
            <w:tcW w:w="709" w:type="dxa"/>
            <w:vAlign w:val="center"/>
          </w:tcPr>
          <w:p>
            <w:pPr>
              <w:adjustRightInd w:val="0"/>
              <w:snapToGrid w:val="0"/>
              <w:jc w:val="center"/>
              <w:rPr>
                <w:color w:val="auto"/>
                <w:sz w:val="21"/>
                <w:szCs w:val="21"/>
              </w:rPr>
            </w:pPr>
            <w:r>
              <w:rPr>
                <w:color w:val="auto"/>
                <w:sz w:val="21"/>
                <w:szCs w:val="21"/>
              </w:rPr>
              <w:t>跟踪监测</w:t>
            </w:r>
          </w:p>
        </w:tc>
        <w:tc>
          <w:tcPr>
            <w:tcW w:w="2410" w:type="dxa"/>
            <w:vAlign w:val="center"/>
          </w:tcPr>
          <w:p>
            <w:pPr>
              <w:adjustRightInd w:val="0"/>
              <w:snapToGrid w:val="0"/>
              <w:jc w:val="center"/>
              <w:rPr>
                <w:color w:val="auto"/>
                <w:sz w:val="21"/>
                <w:szCs w:val="21"/>
              </w:rPr>
            </w:pPr>
            <w:r>
              <w:rPr>
                <w:color w:val="auto"/>
                <w:sz w:val="21"/>
                <w:szCs w:val="21"/>
              </w:rPr>
              <w:t>厂区内东部、项目东侧、项目西侧</w:t>
            </w:r>
          </w:p>
        </w:tc>
        <w:tc>
          <w:tcPr>
            <w:tcW w:w="3023" w:type="dxa"/>
            <w:vAlign w:val="center"/>
          </w:tcPr>
          <w:p>
            <w:pPr>
              <w:adjustRightInd w:val="0"/>
              <w:snapToGrid w:val="0"/>
              <w:jc w:val="center"/>
              <w:rPr>
                <w:color w:val="auto"/>
                <w:sz w:val="21"/>
                <w:szCs w:val="21"/>
              </w:rPr>
            </w:pPr>
            <w:r>
              <w:rPr>
                <w:color w:val="auto"/>
                <w:sz w:val="21"/>
                <w:szCs w:val="21"/>
              </w:rPr>
              <w:t>pH值、氨氮、硝酸盐、亚硝酸盐、挥发酚、氰化物、砷、汞、六价铬、总硬度、铅、氟化物、镉、铁、锰、溶解性总固体、耗氧量、硫酸盐、氯化物、总大肠菌群、细菌总数</w:t>
            </w:r>
          </w:p>
        </w:tc>
        <w:tc>
          <w:tcPr>
            <w:tcW w:w="1705" w:type="dxa"/>
            <w:vAlign w:val="center"/>
          </w:tcPr>
          <w:p>
            <w:pPr>
              <w:adjustRightInd w:val="0"/>
              <w:snapToGrid w:val="0"/>
              <w:jc w:val="center"/>
              <w:rPr>
                <w:color w:val="auto"/>
                <w:sz w:val="21"/>
                <w:szCs w:val="21"/>
              </w:rPr>
            </w:pPr>
            <w:r>
              <w:rPr>
                <w:color w:val="auto"/>
                <w:sz w:val="21"/>
                <w:szCs w:val="21"/>
              </w:rPr>
              <w:t>每年1次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djustRightInd w:val="0"/>
              <w:snapToGrid w:val="0"/>
              <w:jc w:val="center"/>
              <w:rPr>
                <w:color w:val="auto"/>
                <w:sz w:val="21"/>
                <w:szCs w:val="21"/>
              </w:rPr>
            </w:pPr>
            <w:r>
              <w:rPr>
                <w:color w:val="auto"/>
                <w:sz w:val="21"/>
                <w:szCs w:val="21"/>
              </w:rPr>
              <w:t>声环境</w:t>
            </w:r>
          </w:p>
        </w:tc>
        <w:tc>
          <w:tcPr>
            <w:tcW w:w="709" w:type="dxa"/>
            <w:vAlign w:val="center"/>
          </w:tcPr>
          <w:p>
            <w:pPr>
              <w:adjustRightInd w:val="0"/>
              <w:snapToGrid w:val="0"/>
              <w:jc w:val="center"/>
              <w:rPr>
                <w:color w:val="auto"/>
                <w:sz w:val="21"/>
                <w:szCs w:val="21"/>
              </w:rPr>
            </w:pPr>
            <w:r>
              <w:rPr>
                <w:color w:val="auto"/>
                <w:sz w:val="21"/>
                <w:szCs w:val="21"/>
              </w:rPr>
              <w:t>污染源监测</w:t>
            </w:r>
          </w:p>
        </w:tc>
        <w:tc>
          <w:tcPr>
            <w:tcW w:w="2410" w:type="dxa"/>
            <w:vAlign w:val="center"/>
          </w:tcPr>
          <w:p>
            <w:pPr>
              <w:adjustRightInd w:val="0"/>
              <w:snapToGrid w:val="0"/>
              <w:jc w:val="center"/>
              <w:rPr>
                <w:color w:val="auto"/>
                <w:sz w:val="21"/>
                <w:szCs w:val="21"/>
              </w:rPr>
            </w:pPr>
            <w:r>
              <w:rPr>
                <w:color w:val="auto"/>
                <w:sz w:val="21"/>
                <w:szCs w:val="21"/>
              </w:rPr>
              <w:t>厂界</w:t>
            </w:r>
          </w:p>
        </w:tc>
        <w:tc>
          <w:tcPr>
            <w:tcW w:w="3023" w:type="dxa"/>
            <w:vAlign w:val="center"/>
          </w:tcPr>
          <w:p>
            <w:pPr>
              <w:adjustRightInd w:val="0"/>
              <w:snapToGrid w:val="0"/>
              <w:jc w:val="center"/>
              <w:rPr>
                <w:color w:val="auto"/>
                <w:sz w:val="21"/>
                <w:szCs w:val="21"/>
              </w:rPr>
            </w:pPr>
            <w:r>
              <w:rPr>
                <w:color w:val="auto"/>
                <w:sz w:val="21"/>
                <w:szCs w:val="21"/>
              </w:rPr>
              <w:t>等效A声级</w:t>
            </w:r>
          </w:p>
        </w:tc>
        <w:tc>
          <w:tcPr>
            <w:tcW w:w="1705" w:type="dxa"/>
            <w:vAlign w:val="center"/>
          </w:tcPr>
          <w:p>
            <w:pPr>
              <w:adjustRightInd w:val="0"/>
              <w:snapToGrid w:val="0"/>
              <w:jc w:val="center"/>
              <w:rPr>
                <w:color w:val="auto"/>
                <w:sz w:val="21"/>
                <w:szCs w:val="21"/>
              </w:rPr>
            </w:pPr>
            <w:r>
              <w:rPr>
                <w:color w:val="auto"/>
                <w:sz w:val="21"/>
                <w:szCs w:val="21"/>
              </w:rPr>
              <w:t>每季度1次</w:t>
            </w:r>
          </w:p>
        </w:tc>
      </w:tr>
    </w:tbl>
    <w:p>
      <w:pPr>
        <w:pStyle w:val="4"/>
        <w:rPr>
          <w:color w:val="auto"/>
        </w:rPr>
      </w:pPr>
      <w:r>
        <w:rPr>
          <w:rFonts w:hint="eastAsia"/>
          <w:color w:val="auto"/>
        </w:rPr>
        <w:t>9.2.3污染物排放清单</w:t>
      </w:r>
    </w:p>
    <w:p>
      <w:pPr>
        <w:spacing w:line="360" w:lineRule="auto"/>
        <w:ind w:firstLine="480" w:firstLineChars="200"/>
        <w:rPr>
          <w:color w:val="auto"/>
          <w:sz w:val="24"/>
          <w:szCs w:val="24"/>
        </w:rPr>
      </w:pPr>
      <w:r>
        <w:rPr>
          <w:rFonts w:hint="eastAsia"/>
          <w:color w:val="auto"/>
          <w:sz w:val="24"/>
          <w:szCs w:val="24"/>
        </w:rPr>
        <w:t>本项目污染物排放清单详见下表。</w:t>
      </w:r>
    </w:p>
    <w:p>
      <w:pPr>
        <w:spacing w:line="360" w:lineRule="auto"/>
        <w:jc w:val="center"/>
        <w:rPr>
          <w:b/>
          <w:color w:val="auto"/>
          <w:sz w:val="24"/>
          <w:szCs w:val="24"/>
        </w:rPr>
      </w:pPr>
      <w:r>
        <w:rPr>
          <w:rFonts w:hint="eastAsia"/>
          <w:b/>
          <w:color w:val="auto"/>
          <w:sz w:val="24"/>
          <w:szCs w:val="24"/>
        </w:rPr>
        <w:t>表9-2-2   污染物排放清单</w:t>
      </w:r>
    </w:p>
    <w:tbl>
      <w:tblPr>
        <w:tblStyle w:val="28"/>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036"/>
        <w:gridCol w:w="1204"/>
        <w:gridCol w:w="851"/>
        <w:gridCol w:w="1843"/>
        <w:gridCol w:w="1923"/>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b/>
                <w:color w:val="auto"/>
              </w:rPr>
            </w:pPr>
            <w:r>
              <w:rPr>
                <w:rFonts w:hint="eastAsia" w:ascii="Times New Roman" w:hAnsi="Times New Roman" w:eastAsia="宋体" w:cs="Times New Roman"/>
                <w:b/>
                <w:color w:val="auto"/>
              </w:rPr>
              <w:t>种类</w:t>
            </w: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b/>
                <w:color w:val="auto"/>
              </w:rPr>
            </w:pPr>
            <w:r>
              <w:rPr>
                <w:rFonts w:hint="eastAsia" w:ascii="Times New Roman" w:hAnsi="Times New Roman" w:eastAsia="宋体" w:cs="Times New Roman"/>
                <w:b/>
                <w:color w:val="auto"/>
              </w:rPr>
              <w:t>污染源分类</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b/>
                <w:color w:val="auto"/>
              </w:rPr>
            </w:pPr>
            <w:r>
              <w:rPr>
                <w:rFonts w:hint="eastAsia" w:ascii="Times New Roman" w:hAnsi="Times New Roman" w:eastAsia="宋体" w:cs="Times New Roman"/>
                <w:b/>
                <w:color w:val="auto"/>
              </w:rPr>
              <w:t>环保措施</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b/>
                <w:color w:val="auto"/>
              </w:rPr>
            </w:pPr>
            <w:r>
              <w:rPr>
                <w:rFonts w:hint="eastAsia" w:ascii="Times New Roman" w:hAnsi="Times New Roman" w:eastAsia="宋体" w:cs="Times New Roman"/>
                <w:b/>
                <w:color w:val="auto"/>
              </w:rPr>
              <w:t>环保设施数量</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b/>
                <w:color w:val="auto"/>
              </w:rPr>
            </w:pPr>
            <w:r>
              <w:rPr>
                <w:rFonts w:hint="eastAsia" w:ascii="Times New Roman" w:hAnsi="Times New Roman" w:eastAsia="宋体" w:cs="Times New Roman"/>
                <w:b/>
                <w:color w:val="auto"/>
              </w:rPr>
              <w:t>工程设计排放值</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b/>
                <w:color w:val="auto"/>
              </w:rPr>
            </w:pPr>
            <w:r>
              <w:rPr>
                <w:rFonts w:hint="eastAsia" w:ascii="Times New Roman" w:hAnsi="Times New Roman" w:eastAsia="宋体" w:cs="Times New Roman"/>
                <w:b/>
                <w:color w:val="auto"/>
              </w:rPr>
              <w:t>排放量</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b/>
                <w:color w:val="auto"/>
              </w:rPr>
            </w:pPr>
            <w:r>
              <w:rPr>
                <w:rFonts w:hint="eastAsia" w:ascii="Times New Roman" w:hAnsi="Times New Roman" w:eastAsia="宋体" w:cs="Times New Roman"/>
                <w:b/>
                <w:color w:val="auto"/>
              </w:rPr>
              <w:t>排放方式与去向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废气</w:t>
            </w: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恶臭</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2</w:t>
            </w:r>
            <w:r>
              <w:rPr>
                <w:rFonts w:hint="eastAsia" w:ascii="Times New Roman" w:hAnsi="Times New Roman" w:eastAsia="宋体" w:cs="Times New Roman"/>
                <w:color w:val="auto"/>
              </w:rPr>
              <w:t>套化学洗涤</w:t>
            </w:r>
            <w:r>
              <w:rPr>
                <w:rFonts w:ascii="Times New Roman" w:hAnsi="Times New Roman" w:eastAsia="宋体" w:cs="Times New Roman"/>
                <w:color w:val="auto"/>
              </w:rPr>
              <w:t>+</w:t>
            </w:r>
            <w:r>
              <w:rPr>
                <w:rFonts w:hint="eastAsia" w:ascii="Times New Roman" w:hAnsi="Times New Roman" w:eastAsia="宋体" w:cs="Times New Roman"/>
                <w:color w:val="auto"/>
              </w:rPr>
              <w:t>生物滤池工艺除臭装置</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2</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宋体" w:cs="Times New Roman"/>
                <w:color w:val="auto"/>
              </w:rPr>
            </w:pPr>
            <w:r>
              <w:rPr>
                <w:rFonts w:hint="eastAsia" w:ascii="Times New Roman" w:hAnsi="宋体" w:eastAsia="宋体" w:cs="Times New Roman"/>
                <w:color w:val="auto"/>
              </w:rPr>
              <w:t>污水预处理单元处理风量：</w:t>
            </w:r>
            <w:r>
              <w:rPr>
                <w:rFonts w:ascii="Times New Roman" w:hAnsi="宋体" w:eastAsia="宋体" w:cs="Times New Roman"/>
                <w:color w:val="auto"/>
              </w:rPr>
              <w:t>6000m</w:t>
            </w:r>
            <w:r>
              <w:rPr>
                <w:rFonts w:ascii="Times New Roman" w:hAnsi="宋体" w:eastAsia="宋体" w:cs="Times New Roman"/>
                <w:color w:val="auto"/>
                <w:vertAlign w:val="superscript"/>
              </w:rPr>
              <w:t>3</w:t>
            </w:r>
            <w:r>
              <w:rPr>
                <w:rFonts w:ascii="Times New Roman" w:hAnsi="宋体" w:eastAsia="宋体" w:cs="Times New Roman"/>
                <w:color w:val="auto"/>
              </w:rPr>
              <w:t>/h</w:t>
            </w:r>
            <w:r>
              <w:rPr>
                <w:rFonts w:hint="eastAsia" w:ascii="Times New Roman" w:hAnsi="宋体" w:eastAsia="宋体" w:cs="Times New Roman"/>
                <w:color w:val="auto"/>
              </w:rPr>
              <w:t>；污泥脱水机房处理风量：</w:t>
            </w:r>
            <w:r>
              <w:rPr>
                <w:rFonts w:ascii="Times New Roman" w:hAnsi="宋体" w:eastAsia="宋体" w:cs="Times New Roman"/>
                <w:color w:val="auto"/>
              </w:rPr>
              <w:t>22000m</w:t>
            </w:r>
            <w:r>
              <w:rPr>
                <w:rFonts w:ascii="Times New Roman" w:hAnsi="宋体" w:eastAsia="宋体" w:cs="Times New Roman"/>
                <w:color w:val="auto"/>
                <w:vertAlign w:val="superscript"/>
              </w:rPr>
              <w:t>3</w:t>
            </w:r>
            <w:r>
              <w:rPr>
                <w:rFonts w:ascii="Times New Roman" w:hAnsi="宋体" w:eastAsia="宋体" w:cs="Times New Roman"/>
                <w:color w:val="auto"/>
              </w:rPr>
              <w:t>/h</w:t>
            </w:r>
            <w:r>
              <w:rPr>
                <w:rFonts w:hint="eastAsia" w:ascii="Times New Roman" w:hAnsi="宋体" w:eastAsia="宋体" w:cs="Times New Roman"/>
                <w:color w:val="auto"/>
              </w:rPr>
              <w:t>。</w:t>
            </w:r>
          </w:p>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宋体" w:eastAsia="宋体" w:cs="Times New Roman"/>
                <w:color w:val="auto"/>
              </w:rPr>
              <w:t>H</w:t>
            </w:r>
            <w:r>
              <w:rPr>
                <w:rFonts w:ascii="Times New Roman" w:hAnsi="宋体" w:eastAsia="宋体" w:cs="Times New Roman"/>
                <w:color w:val="auto"/>
                <w:vertAlign w:val="subscript"/>
              </w:rPr>
              <w:t>2</w:t>
            </w:r>
            <w:r>
              <w:rPr>
                <w:rFonts w:ascii="Times New Roman" w:hAnsi="宋体" w:eastAsia="宋体" w:cs="Times New Roman"/>
                <w:color w:val="auto"/>
              </w:rPr>
              <w:t>S</w:t>
            </w:r>
            <w:r>
              <w:rPr>
                <w:rFonts w:hint="eastAsia" w:ascii="Times New Roman" w:hAnsi="宋体" w:eastAsia="宋体" w:cs="Times New Roman"/>
                <w:color w:val="auto"/>
              </w:rPr>
              <w:t>处理效率＞</w:t>
            </w:r>
            <w:r>
              <w:rPr>
                <w:rFonts w:ascii="Times New Roman" w:hAnsi="宋体" w:eastAsia="宋体" w:cs="Times New Roman"/>
                <w:color w:val="auto"/>
              </w:rPr>
              <w:t>99%</w:t>
            </w:r>
            <w:r>
              <w:rPr>
                <w:rFonts w:hint="eastAsia" w:ascii="Times New Roman" w:hAnsi="宋体" w:eastAsia="宋体" w:cs="Times New Roman"/>
                <w:color w:val="auto"/>
              </w:rPr>
              <w:t>；</w:t>
            </w:r>
            <w:r>
              <w:rPr>
                <w:rFonts w:ascii="Times New Roman" w:hAnsi="宋体" w:eastAsia="宋体" w:cs="Times New Roman"/>
                <w:color w:val="auto"/>
              </w:rPr>
              <w:t>NH</w:t>
            </w:r>
            <w:r>
              <w:rPr>
                <w:rFonts w:ascii="Times New Roman" w:hAnsi="宋体" w:eastAsia="宋体" w:cs="Times New Roman"/>
                <w:color w:val="auto"/>
                <w:vertAlign w:val="subscript"/>
              </w:rPr>
              <w:t>3</w:t>
            </w:r>
            <w:r>
              <w:rPr>
                <w:rFonts w:hint="eastAsia" w:ascii="Times New Roman" w:hAnsi="宋体" w:eastAsia="宋体" w:cs="Times New Roman"/>
                <w:color w:val="auto"/>
              </w:rPr>
              <w:t>处理效率＞</w:t>
            </w:r>
            <w:r>
              <w:rPr>
                <w:rFonts w:ascii="Times New Roman" w:hAnsi="宋体" w:eastAsia="宋体" w:cs="Times New Roman"/>
                <w:color w:val="auto"/>
              </w:rPr>
              <w:t>90%</w:t>
            </w:r>
            <w:r>
              <w:rPr>
                <w:rFonts w:hint="eastAsia" w:ascii="Times New Roman" w:hAnsi="宋体" w:eastAsia="宋体" w:cs="Times New Roman"/>
                <w:color w:val="auto"/>
              </w:rPr>
              <w:t>。</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宋体" w:cs="Times New Roman"/>
                <w:color w:val="auto"/>
              </w:rPr>
            </w:pPr>
            <w:r>
              <w:rPr>
                <w:rFonts w:hint="eastAsia" w:ascii="Times New Roman" w:hAnsi="宋体" w:eastAsia="宋体" w:cs="Times New Roman"/>
                <w:color w:val="auto"/>
              </w:rPr>
              <w:t>污水预处理区：</w:t>
            </w:r>
            <w:r>
              <w:rPr>
                <w:rFonts w:ascii="Times New Roman" w:hAnsi="Times New Roman" w:eastAsia="宋体" w:cs="Times New Roman"/>
                <w:color w:val="auto"/>
              </w:rPr>
              <w:t>H</w:t>
            </w:r>
            <w:r>
              <w:rPr>
                <w:rFonts w:ascii="Times New Roman" w:hAnsi="Times New Roman" w:eastAsia="宋体" w:cs="Times New Roman"/>
                <w:color w:val="auto"/>
                <w:vertAlign w:val="subscript"/>
              </w:rPr>
              <w:t>2</w:t>
            </w:r>
            <w:r>
              <w:rPr>
                <w:rFonts w:ascii="Times New Roman" w:hAnsi="Times New Roman" w:eastAsia="宋体" w:cs="Times New Roman"/>
                <w:color w:val="auto"/>
              </w:rPr>
              <w:t>S—0.0006kg/h</w:t>
            </w:r>
            <w:r>
              <w:rPr>
                <w:rFonts w:hint="eastAsia" w:ascii="Times New Roman" w:hAnsi="宋体" w:eastAsia="宋体" w:cs="Times New Roman"/>
                <w:color w:val="auto"/>
              </w:rPr>
              <w:t>；</w:t>
            </w:r>
            <w:r>
              <w:rPr>
                <w:rFonts w:ascii="Times New Roman" w:hAnsi="Times New Roman" w:eastAsia="宋体" w:cs="Times New Roman"/>
                <w:color w:val="auto"/>
              </w:rPr>
              <w:t>NH</w:t>
            </w:r>
            <w:r>
              <w:rPr>
                <w:rFonts w:ascii="Times New Roman" w:hAnsi="Times New Roman" w:eastAsia="宋体" w:cs="Times New Roman"/>
                <w:color w:val="auto"/>
                <w:vertAlign w:val="subscript"/>
              </w:rPr>
              <w:t>3</w:t>
            </w:r>
            <w:r>
              <w:rPr>
                <w:rFonts w:ascii="Times New Roman" w:hAnsi="Times New Roman" w:eastAsia="宋体" w:cs="Times New Roman"/>
                <w:color w:val="auto"/>
              </w:rPr>
              <w:t>—0.0030kg/h</w:t>
            </w:r>
            <w:r>
              <w:rPr>
                <w:rFonts w:hint="eastAsia" w:ascii="Times New Roman" w:hAnsi="宋体" w:eastAsia="宋体" w:cs="Times New Roman"/>
                <w:color w:val="auto"/>
              </w:rPr>
              <w:t>。</w:t>
            </w:r>
          </w:p>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宋体" w:eastAsia="宋体" w:cs="Times New Roman"/>
                <w:color w:val="auto"/>
              </w:rPr>
              <w:t>生化处理区：</w:t>
            </w:r>
            <w:r>
              <w:rPr>
                <w:rFonts w:ascii="Times New Roman" w:hAnsi="Times New Roman" w:eastAsia="宋体" w:cs="Times New Roman"/>
                <w:color w:val="auto"/>
              </w:rPr>
              <w:t>H</w:t>
            </w:r>
            <w:r>
              <w:rPr>
                <w:rFonts w:ascii="Times New Roman" w:hAnsi="Times New Roman" w:eastAsia="宋体" w:cs="Times New Roman"/>
                <w:color w:val="auto"/>
                <w:vertAlign w:val="subscript"/>
              </w:rPr>
              <w:t>2</w:t>
            </w:r>
            <w:r>
              <w:rPr>
                <w:rFonts w:ascii="Times New Roman" w:hAnsi="Times New Roman" w:eastAsia="宋体" w:cs="Times New Roman"/>
                <w:color w:val="auto"/>
              </w:rPr>
              <w:t>S—0.000581kg/h</w:t>
            </w:r>
            <w:r>
              <w:rPr>
                <w:rFonts w:hint="eastAsia" w:ascii="Times New Roman" w:hAnsi="宋体" w:eastAsia="宋体" w:cs="Times New Roman"/>
                <w:color w:val="auto"/>
              </w:rPr>
              <w:t>；</w:t>
            </w:r>
            <w:r>
              <w:rPr>
                <w:rFonts w:ascii="Times New Roman" w:hAnsi="Times New Roman" w:eastAsia="宋体" w:cs="Times New Roman"/>
                <w:color w:val="auto"/>
              </w:rPr>
              <w:t>NH</w:t>
            </w:r>
            <w:r>
              <w:rPr>
                <w:rFonts w:ascii="Times New Roman" w:hAnsi="Times New Roman" w:eastAsia="宋体" w:cs="Times New Roman"/>
                <w:color w:val="auto"/>
                <w:vertAlign w:val="subscript"/>
              </w:rPr>
              <w:t>3</w:t>
            </w:r>
            <w:r>
              <w:rPr>
                <w:rFonts w:ascii="Times New Roman" w:hAnsi="Times New Roman" w:eastAsia="宋体" w:cs="Times New Roman"/>
                <w:color w:val="auto"/>
              </w:rPr>
              <w:t>—0.000195kg/h</w:t>
            </w:r>
            <w:r>
              <w:rPr>
                <w:rFonts w:hint="eastAsia" w:ascii="Times New Roman" w:hAnsi="宋体" w:eastAsia="宋体" w:cs="Times New Roman"/>
                <w:color w:val="auto"/>
              </w:rPr>
              <w:t>。污泥处理区：</w:t>
            </w:r>
            <w:r>
              <w:rPr>
                <w:rFonts w:ascii="Times New Roman" w:hAnsi="Times New Roman" w:eastAsia="宋体" w:cs="Times New Roman"/>
                <w:color w:val="auto"/>
              </w:rPr>
              <w:t>H</w:t>
            </w:r>
            <w:r>
              <w:rPr>
                <w:rFonts w:ascii="Times New Roman" w:hAnsi="Times New Roman" w:eastAsia="宋体" w:cs="Times New Roman"/>
                <w:color w:val="auto"/>
                <w:vertAlign w:val="subscript"/>
              </w:rPr>
              <w:t>2</w:t>
            </w:r>
            <w:r>
              <w:rPr>
                <w:rFonts w:ascii="Times New Roman" w:hAnsi="Times New Roman" w:eastAsia="宋体" w:cs="Times New Roman"/>
                <w:color w:val="auto"/>
              </w:rPr>
              <w:t>S—0.0066kg/h</w:t>
            </w:r>
            <w:r>
              <w:rPr>
                <w:rFonts w:hint="eastAsia" w:ascii="Times New Roman" w:hAnsi="宋体" w:eastAsia="宋体" w:cs="Times New Roman"/>
                <w:color w:val="auto"/>
              </w:rPr>
              <w:t>；</w:t>
            </w:r>
            <w:r>
              <w:rPr>
                <w:rFonts w:ascii="Times New Roman" w:hAnsi="Times New Roman" w:eastAsia="宋体" w:cs="Times New Roman"/>
                <w:color w:val="auto"/>
              </w:rPr>
              <w:t>NH</w:t>
            </w:r>
            <w:r>
              <w:rPr>
                <w:rFonts w:ascii="Times New Roman" w:hAnsi="Times New Roman" w:eastAsia="宋体" w:cs="Times New Roman"/>
                <w:color w:val="auto"/>
                <w:vertAlign w:val="subscript"/>
              </w:rPr>
              <w:t>3</w:t>
            </w:r>
            <w:r>
              <w:rPr>
                <w:rFonts w:ascii="Times New Roman" w:hAnsi="Times New Roman" w:eastAsia="宋体" w:cs="Times New Roman"/>
                <w:color w:val="auto"/>
              </w:rPr>
              <w:t>—0.0220kg/h</w:t>
            </w:r>
            <w:r>
              <w:rPr>
                <w:rFonts w:hint="eastAsia" w:ascii="Times New Roman" w:hAnsi="宋体" w:eastAsia="宋体" w:cs="Times New Roman"/>
                <w:color w:val="auto"/>
              </w:rPr>
              <w:t>。</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15</w:t>
            </w:r>
            <w:r>
              <w:rPr>
                <w:rFonts w:hint="eastAsia" w:ascii="Times New Roman" w:hAnsi="Times New Roman" w:eastAsia="宋体" w:cs="Times New Roman"/>
                <w:color w:val="auto"/>
              </w:rPr>
              <w:t>米污水预处理排气筒、15米污泥处理排气筒、无组织扩散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color w:val="auto"/>
                <w:sz w:val="21"/>
                <w:szCs w:val="22"/>
              </w:rPr>
            </w:pP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油烟废气</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宋体" w:hAnsi="宋体" w:eastAsia="宋体" w:cs="Times New Roman"/>
                <w:color w:val="auto"/>
              </w:rPr>
              <w:t>油烟净化装置</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宋体" w:eastAsia="宋体" w:cs="Times New Roman"/>
                <w:color w:val="auto"/>
              </w:rPr>
              <w:t>油烟机风量约</w:t>
            </w:r>
            <w:r>
              <w:rPr>
                <w:rFonts w:ascii="Times New Roman" w:hAnsi="Times New Roman" w:eastAsia="宋体" w:cs="Times New Roman"/>
                <w:color w:val="auto"/>
              </w:rPr>
              <w:t>3000m</w:t>
            </w:r>
            <w:r>
              <w:rPr>
                <w:rFonts w:ascii="Times New Roman" w:hAnsi="Times New Roman" w:eastAsia="宋体" w:cs="Times New Roman"/>
                <w:color w:val="auto"/>
                <w:vertAlign w:val="superscript"/>
              </w:rPr>
              <w:t>3</w:t>
            </w:r>
            <w:r>
              <w:rPr>
                <w:rFonts w:ascii="Times New Roman" w:hAnsi="Times New Roman" w:eastAsia="宋体" w:cs="Times New Roman"/>
                <w:color w:val="auto"/>
              </w:rPr>
              <w:t>/h</w:t>
            </w:r>
            <w:r>
              <w:rPr>
                <w:rFonts w:hint="eastAsia" w:ascii="Times New Roman" w:hAnsi="宋体" w:eastAsia="宋体" w:cs="Times New Roman"/>
                <w:color w:val="auto"/>
              </w:rPr>
              <w:t>；净化效率不低于</w:t>
            </w:r>
            <w:r>
              <w:rPr>
                <w:rFonts w:ascii="Times New Roman" w:hAnsi="Times New Roman" w:eastAsia="宋体" w:cs="Times New Roman"/>
                <w:color w:val="auto"/>
              </w:rPr>
              <w:t>60%</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3.285kg/a</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油烟排气筒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废水</w:t>
            </w: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接纳污水、生产废水、生活污水</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宋体" w:hAnsi="宋体" w:eastAsia="宋体" w:cs="Times New Roman"/>
                <w:color w:val="auto"/>
              </w:rPr>
              <w:t>项目污水处理系统</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COD</w:t>
            </w:r>
            <w:r>
              <w:rPr>
                <w:rFonts w:ascii="Times New Roman" w:hAnsi="Times New Roman" w:eastAsia="宋体" w:cs="Times New Roman"/>
                <w:color w:val="auto"/>
                <w:vertAlign w:val="subscript"/>
              </w:rPr>
              <w:t>Cr</w:t>
            </w:r>
            <w:r>
              <w:rPr>
                <w:rFonts w:hint="eastAsia" w:ascii="Times New Roman" w:hAnsi="Times New Roman" w:eastAsia="宋体" w:cs="Times New Roman"/>
                <w:color w:val="auto"/>
              </w:rPr>
              <w:t>≤</w:t>
            </w:r>
            <w:r>
              <w:rPr>
                <w:rFonts w:ascii="Times New Roman" w:hAnsi="Times New Roman" w:eastAsia="宋体" w:cs="Times New Roman"/>
                <w:color w:val="auto"/>
              </w:rPr>
              <w:t>30mg/L</w:t>
            </w:r>
            <w:r>
              <w:rPr>
                <w:rFonts w:hint="eastAsia" w:ascii="Times New Roman" w:hAnsi="Times New Roman" w:eastAsia="宋体" w:cs="Times New Roman"/>
                <w:color w:val="auto"/>
              </w:rPr>
              <w:t>、</w:t>
            </w:r>
            <w:r>
              <w:rPr>
                <w:rFonts w:ascii="Times New Roman" w:hAnsi="Times New Roman" w:eastAsia="宋体" w:cs="Times New Roman"/>
                <w:color w:val="auto"/>
              </w:rPr>
              <w:t>BOD</w:t>
            </w:r>
            <w:r>
              <w:rPr>
                <w:rFonts w:ascii="Times New Roman" w:hAnsi="Times New Roman" w:eastAsia="宋体" w:cs="Times New Roman"/>
                <w:color w:val="auto"/>
                <w:vertAlign w:val="subscript"/>
              </w:rPr>
              <w:t>5</w:t>
            </w:r>
            <w:r>
              <w:rPr>
                <w:rFonts w:hint="eastAsia" w:ascii="Times New Roman" w:hAnsi="Times New Roman" w:eastAsia="宋体" w:cs="Times New Roman"/>
                <w:color w:val="auto"/>
              </w:rPr>
              <w:t>≤</w:t>
            </w:r>
            <w:r>
              <w:rPr>
                <w:rFonts w:ascii="Times New Roman" w:hAnsi="Times New Roman" w:eastAsia="宋体" w:cs="Times New Roman"/>
                <w:color w:val="auto"/>
              </w:rPr>
              <w:t>6mg/L</w:t>
            </w:r>
            <w:r>
              <w:rPr>
                <w:rFonts w:hint="eastAsia" w:ascii="Times New Roman" w:hAnsi="Times New Roman" w:eastAsia="宋体" w:cs="Times New Roman"/>
                <w:color w:val="auto"/>
              </w:rPr>
              <w:t>、</w:t>
            </w:r>
            <w:r>
              <w:rPr>
                <w:rFonts w:ascii="Times New Roman" w:hAnsi="Times New Roman" w:eastAsia="宋体" w:cs="Times New Roman"/>
                <w:color w:val="auto"/>
              </w:rPr>
              <w:t>TN</w:t>
            </w:r>
            <w:r>
              <w:rPr>
                <w:rFonts w:hint="eastAsia" w:ascii="Times New Roman" w:hAnsi="Times New Roman" w:eastAsia="宋体" w:cs="Times New Roman"/>
                <w:color w:val="auto"/>
              </w:rPr>
              <w:t>≤10</w:t>
            </w:r>
            <w:r>
              <w:rPr>
                <w:rFonts w:ascii="Times New Roman" w:hAnsi="Times New Roman" w:eastAsia="宋体" w:cs="Times New Roman"/>
                <w:color w:val="auto"/>
              </w:rPr>
              <w:t>mg/L</w:t>
            </w:r>
            <w:r>
              <w:rPr>
                <w:rFonts w:hint="eastAsia" w:ascii="Times New Roman" w:hAnsi="Times New Roman" w:eastAsia="宋体" w:cs="Times New Roman"/>
                <w:color w:val="auto"/>
              </w:rPr>
              <w:t>、</w:t>
            </w:r>
            <w:r>
              <w:rPr>
                <w:rFonts w:ascii="Times New Roman" w:hAnsi="Times New Roman" w:eastAsia="宋体" w:cs="Times New Roman"/>
                <w:color w:val="auto"/>
              </w:rPr>
              <w:t>NH</w:t>
            </w:r>
            <w:r>
              <w:rPr>
                <w:rFonts w:ascii="Times New Roman" w:hAnsi="Times New Roman" w:eastAsia="宋体" w:cs="Times New Roman"/>
                <w:color w:val="auto"/>
                <w:vertAlign w:val="subscript"/>
              </w:rPr>
              <w:t>3</w:t>
            </w:r>
            <w:r>
              <w:rPr>
                <w:rFonts w:ascii="Times New Roman" w:hAnsi="Times New Roman" w:eastAsia="宋体" w:cs="Times New Roman"/>
                <w:color w:val="auto"/>
              </w:rPr>
              <w:t>-N</w:t>
            </w:r>
            <w:r>
              <w:rPr>
                <w:rFonts w:hint="eastAsia" w:ascii="Times New Roman" w:hAnsi="Times New Roman" w:eastAsia="宋体" w:cs="Times New Roman"/>
                <w:color w:val="auto"/>
              </w:rPr>
              <w:t>≤</w:t>
            </w:r>
            <w:r>
              <w:rPr>
                <w:rFonts w:ascii="Times New Roman" w:hAnsi="Times New Roman" w:eastAsia="宋体" w:cs="Times New Roman"/>
                <w:color w:val="auto"/>
              </w:rPr>
              <w:t>1.5mg/L</w:t>
            </w:r>
            <w:r>
              <w:rPr>
                <w:rFonts w:hint="eastAsia" w:ascii="Times New Roman" w:hAnsi="Times New Roman" w:eastAsia="宋体" w:cs="Times New Roman"/>
                <w:color w:val="auto"/>
              </w:rPr>
              <w:t>、</w:t>
            </w:r>
            <w:r>
              <w:rPr>
                <w:rFonts w:ascii="Times New Roman" w:hAnsi="Times New Roman" w:eastAsia="宋体" w:cs="Times New Roman"/>
                <w:color w:val="auto"/>
              </w:rPr>
              <w:t>TP</w:t>
            </w:r>
            <w:r>
              <w:rPr>
                <w:rFonts w:hint="eastAsia" w:ascii="Times New Roman" w:hAnsi="Times New Roman" w:eastAsia="宋体" w:cs="Times New Roman"/>
                <w:color w:val="auto"/>
              </w:rPr>
              <w:t>≤</w:t>
            </w:r>
            <w:r>
              <w:rPr>
                <w:rFonts w:ascii="Times New Roman" w:hAnsi="Times New Roman" w:eastAsia="宋体" w:cs="Times New Roman"/>
                <w:color w:val="auto"/>
              </w:rPr>
              <w:t>0.3mg/L</w:t>
            </w:r>
            <w:r>
              <w:rPr>
                <w:rFonts w:hint="eastAsia" w:ascii="Times New Roman" w:hAnsi="Times New Roman" w:eastAsia="宋体" w:cs="Times New Roman"/>
                <w:color w:val="auto"/>
              </w:rPr>
              <w:t>、粪大肠菌群数≤</w:t>
            </w:r>
            <w:r>
              <w:rPr>
                <w:rFonts w:ascii="Times New Roman" w:hAnsi="Times New Roman" w:eastAsia="宋体" w:cs="Times New Roman"/>
                <w:color w:val="auto"/>
              </w:rPr>
              <w:t>1000</w:t>
            </w:r>
            <w:r>
              <w:rPr>
                <w:rFonts w:hint="eastAsia" w:ascii="Times New Roman" w:hAnsi="Times New Roman" w:eastAsia="宋体" w:cs="Times New Roman"/>
                <w:color w:val="auto"/>
              </w:rPr>
              <w:t>个</w:t>
            </w:r>
            <w:r>
              <w:rPr>
                <w:rFonts w:ascii="Times New Roman" w:hAnsi="Times New Roman" w:eastAsia="宋体" w:cs="Times New Roman"/>
                <w:color w:val="auto"/>
              </w:rPr>
              <w:t>/L</w:t>
            </w:r>
            <w:r>
              <w:rPr>
                <w:rFonts w:hint="eastAsia" w:ascii="Times New Roman" w:hAnsi="Times New Roman" w:eastAsia="宋体" w:cs="Times New Roman"/>
                <w:color w:val="auto"/>
              </w:rPr>
              <w:t>、</w:t>
            </w:r>
            <w:r>
              <w:rPr>
                <w:rFonts w:ascii="Times New Roman" w:hAnsi="Times New Roman" w:eastAsia="宋体" w:cs="Times New Roman"/>
                <w:color w:val="auto"/>
              </w:rPr>
              <w:t>SS</w:t>
            </w:r>
            <w:r>
              <w:rPr>
                <w:rFonts w:hint="eastAsia" w:ascii="Times New Roman" w:hAnsi="Times New Roman" w:eastAsia="宋体" w:cs="Times New Roman"/>
                <w:color w:val="auto"/>
              </w:rPr>
              <w:t>≤</w:t>
            </w:r>
            <w:r>
              <w:rPr>
                <w:rFonts w:ascii="Times New Roman" w:hAnsi="Times New Roman" w:eastAsia="宋体" w:cs="Times New Roman"/>
                <w:color w:val="auto"/>
              </w:rPr>
              <w:t>10mg/L</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COD</w:t>
            </w:r>
            <w:r>
              <w:rPr>
                <w:rFonts w:ascii="Times New Roman" w:hAnsi="Times New Roman" w:eastAsia="宋体" w:cs="Times New Roman"/>
                <w:color w:val="auto"/>
                <w:vertAlign w:val="subscript"/>
              </w:rPr>
              <w:t>Cr</w:t>
            </w:r>
            <w:r>
              <w:rPr>
                <w:rFonts w:hint="eastAsia" w:ascii="Times New Roman" w:hAnsi="宋体" w:eastAsia="宋体" w:cs="Times New Roman"/>
                <w:color w:val="auto"/>
              </w:rPr>
              <w:t>：</w:t>
            </w:r>
            <w:r>
              <w:rPr>
                <w:rFonts w:hint="eastAsia" w:ascii="Times New Roman" w:hAnsi="Times New Roman" w:eastAsia="宋体" w:cs="Times New Roman"/>
                <w:color w:val="auto"/>
              </w:rPr>
              <w:t>61.32</w:t>
            </w:r>
            <w:r>
              <w:rPr>
                <w:rFonts w:ascii="Times New Roman" w:hAnsi="Times New Roman" w:eastAsia="宋体" w:cs="Times New Roman"/>
                <w:color w:val="auto"/>
              </w:rPr>
              <w:t>t/a</w:t>
            </w:r>
            <w:r>
              <w:rPr>
                <w:rFonts w:hint="eastAsia" w:ascii="Times New Roman" w:hAnsi="宋体" w:eastAsia="宋体" w:cs="Times New Roman"/>
                <w:color w:val="auto"/>
              </w:rPr>
              <w:t>；</w:t>
            </w:r>
            <w:r>
              <w:rPr>
                <w:rFonts w:ascii="Times New Roman" w:hAnsi="Times New Roman" w:eastAsia="宋体" w:cs="Times New Roman"/>
                <w:color w:val="auto"/>
              </w:rPr>
              <w:t>BOD</w:t>
            </w:r>
            <w:r>
              <w:rPr>
                <w:rFonts w:ascii="Times New Roman" w:hAnsi="Times New Roman" w:eastAsia="宋体" w:cs="Times New Roman"/>
                <w:color w:val="auto"/>
                <w:vertAlign w:val="subscript"/>
              </w:rPr>
              <w:t>5</w:t>
            </w:r>
            <w:r>
              <w:rPr>
                <w:rFonts w:hint="eastAsia" w:ascii="Times New Roman" w:hAnsi="宋体" w:eastAsia="宋体" w:cs="Times New Roman"/>
                <w:color w:val="auto"/>
              </w:rPr>
              <w:t>：</w:t>
            </w:r>
            <w:r>
              <w:rPr>
                <w:rFonts w:hint="eastAsia" w:ascii="Times New Roman" w:hAnsi="Times New Roman" w:eastAsia="宋体" w:cs="Times New Roman"/>
                <w:color w:val="auto"/>
              </w:rPr>
              <w:t>12.264</w:t>
            </w:r>
            <w:r>
              <w:rPr>
                <w:rFonts w:ascii="Times New Roman" w:hAnsi="Times New Roman" w:eastAsia="宋体" w:cs="Times New Roman"/>
                <w:color w:val="auto"/>
              </w:rPr>
              <w:t>t/a</w:t>
            </w:r>
            <w:r>
              <w:rPr>
                <w:rFonts w:hint="eastAsia" w:ascii="Times New Roman" w:hAnsi="宋体" w:eastAsia="宋体" w:cs="Times New Roman"/>
                <w:color w:val="auto"/>
              </w:rPr>
              <w:t>；</w:t>
            </w:r>
            <w:r>
              <w:rPr>
                <w:rFonts w:ascii="Times New Roman" w:hAnsi="Times New Roman" w:eastAsia="宋体" w:cs="Times New Roman"/>
                <w:color w:val="auto"/>
              </w:rPr>
              <w:t>SS</w:t>
            </w:r>
            <w:r>
              <w:rPr>
                <w:rFonts w:hint="eastAsia" w:ascii="Times New Roman" w:hAnsi="宋体" w:eastAsia="宋体" w:cs="Times New Roman"/>
                <w:color w:val="auto"/>
              </w:rPr>
              <w:t>：</w:t>
            </w:r>
            <w:r>
              <w:rPr>
                <w:rFonts w:hint="eastAsia" w:ascii="Times New Roman" w:hAnsi="Times New Roman" w:eastAsia="宋体" w:cs="Times New Roman"/>
                <w:color w:val="auto"/>
              </w:rPr>
              <w:t>20.44</w:t>
            </w:r>
            <w:r>
              <w:rPr>
                <w:rFonts w:ascii="Times New Roman" w:hAnsi="Times New Roman" w:eastAsia="宋体" w:cs="Times New Roman"/>
                <w:color w:val="auto"/>
              </w:rPr>
              <w:t>t/a</w:t>
            </w:r>
            <w:r>
              <w:rPr>
                <w:rFonts w:hint="eastAsia" w:ascii="Times New Roman" w:hAnsi="宋体" w:eastAsia="宋体" w:cs="Times New Roman"/>
                <w:color w:val="auto"/>
              </w:rPr>
              <w:t>；</w:t>
            </w:r>
            <w:r>
              <w:rPr>
                <w:rFonts w:ascii="Times New Roman" w:hAnsi="Times New Roman" w:eastAsia="宋体" w:cs="Times New Roman"/>
                <w:color w:val="auto"/>
              </w:rPr>
              <w:t>TN</w:t>
            </w:r>
            <w:r>
              <w:rPr>
                <w:rFonts w:hint="eastAsia" w:ascii="Times New Roman" w:hAnsi="宋体" w:eastAsia="宋体" w:cs="Times New Roman"/>
                <w:color w:val="auto"/>
              </w:rPr>
              <w:t>：</w:t>
            </w:r>
            <w:r>
              <w:rPr>
                <w:rFonts w:hint="eastAsia" w:ascii="Times New Roman" w:hAnsi="Times New Roman" w:eastAsia="宋体" w:cs="Times New Roman"/>
                <w:color w:val="auto"/>
              </w:rPr>
              <w:t>20.44</w:t>
            </w:r>
            <w:r>
              <w:rPr>
                <w:rFonts w:ascii="Times New Roman" w:hAnsi="Times New Roman" w:eastAsia="宋体" w:cs="Times New Roman"/>
                <w:color w:val="auto"/>
              </w:rPr>
              <w:t>t/a</w:t>
            </w:r>
            <w:r>
              <w:rPr>
                <w:rFonts w:hint="eastAsia" w:ascii="Times New Roman" w:hAnsi="宋体" w:eastAsia="宋体" w:cs="Times New Roman"/>
                <w:color w:val="auto"/>
              </w:rPr>
              <w:t>；</w:t>
            </w:r>
            <w:r>
              <w:rPr>
                <w:rFonts w:ascii="Times New Roman" w:hAnsi="Times New Roman" w:eastAsia="宋体" w:cs="Times New Roman"/>
                <w:color w:val="auto"/>
              </w:rPr>
              <w:t>NH</w:t>
            </w:r>
            <w:r>
              <w:rPr>
                <w:rFonts w:ascii="Times New Roman" w:hAnsi="Times New Roman" w:eastAsia="宋体" w:cs="Times New Roman"/>
                <w:color w:val="auto"/>
                <w:vertAlign w:val="subscript"/>
              </w:rPr>
              <w:t>3</w:t>
            </w:r>
            <w:r>
              <w:rPr>
                <w:rFonts w:ascii="Times New Roman" w:hAnsi="Times New Roman" w:eastAsia="宋体" w:cs="Times New Roman"/>
                <w:color w:val="auto"/>
              </w:rPr>
              <w:t>-N</w:t>
            </w:r>
            <w:r>
              <w:rPr>
                <w:rFonts w:hint="eastAsia" w:ascii="Times New Roman" w:hAnsi="宋体" w:eastAsia="宋体" w:cs="Times New Roman"/>
                <w:color w:val="auto"/>
              </w:rPr>
              <w:t>：</w:t>
            </w:r>
            <w:r>
              <w:rPr>
                <w:rFonts w:hint="eastAsia" w:ascii="Times New Roman" w:hAnsi="Times New Roman" w:eastAsia="宋体" w:cs="Times New Roman"/>
                <w:color w:val="auto"/>
              </w:rPr>
              <w:t>3.066</w:t>
            </w:r>
            <w:r>
              <w:rPr>
                <w:rFonts w:ascii="Times New Roman" w:hAnsi="Times New Roman" w:eastAsia="宋体" w:cs="Times New Roman"/>
                <w:color w:val="auto"/>
              </w:rPr>
              <w:t>t/a</w:t>
            </w:r>
            <w:r>
              <w:rPr>
                <w:rFonts w:hint="eastAsia" w:ascii="Times New Roman" w:hAnsi="宋体" w:eastAsia="宋体" w:cs="Times New Roman"/>
                <w:color w:val="auto"/>
              </w:rPr>
              <w:t>；</w:t>
            </w:r>
            <w:r>
              <w:rPr>
                <w:rFonts w:ascii="Times New Roman" w:hAnsi="Times New Roman" w:eastAsia="宋体" w:cs="Times New Roman"/>
                <w:color w:val="auto"/>
              </w:rPr>
              <w:t>TP</w:t>
            </w:r>
            <w:r>
              <w:rPr>
                <w:rFonts w:hint="eastAsia" w:ascii="Times New Roman" w:hAnsi="宋体" w:eastAsia="宋体" w:cs="Times New Roman"/>
                <w:color w:val="auto"/>
              </w:rPr>
              <w:t>：</w:t>
            </w:r>
            <w:r>
              <w:rPr>
                <w:rFonts w:hint="eastAsia" w:ascii="Times New Roman" w:hAnsi="Times New Roman" w:eastAsia="宋体" w:cs="Times New Roman"/>
                <w:color w:val="auto"/>
              </w:rPr>
              <w:t>0.6132</w:t>
            </w:r>
            <w:r>
              <w:rPr>
                <w:rFonts w:ascii="Times New Roman" w:hAnsi="Times New Roman" w:eastAsia="宋体" w:cs="Times New Roman"/>
                <w:color w:val="auto"/>
              </w:rPr>
              <w:t>t/a</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部分回用于水质净化厂自用、园区内城市绿化、道路清扫和冲厕，其余均排入</w:t>
            </w:r>
            <w:r>
              <w:rPr>
                <w:rFonts w:hint="eastAsia" w:ascii="宋体" w:hAnsi="宋体" w:eastAsia="宋体" w:cs="Times New Roman"/>
                <w:color w:val="auto"/>
              </w:rPr>
              <w:t>大嵩河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噪声</w:t>
            </w: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设备噪声</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宋体" w:hAnsi="宋体" w:eastAsia="宋体" w:cs="Times New Roman"/>
                <w:color w:val="auto"/>
              </w:rPr>
              <w:t>减震、隔声、距离衰减综合处理</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宋体" w:eastAsia="宋体" w:cs="Times New Roman"/>
                <w:color w:val="auto"/>
              </w:rPr>
              <w:t>昼间</w:t>
            </w:r>
            <w:r>
              <w:rPr>
                <w:rFonts w:ascii="Times New Roman" w:hAnsi="Times New Roman" w:eastAsia="宋体" w:cs="Times New Roman"/>
                <w:color w:val="auto"/>
              </w:rPr>
              <w:t>≤60dB(A)</w:t>
            </w:r>
            <w:r>
              <w:rPr>
                <w:rFonts w:hint="eastAsia" w:ascii="Times New Roman" w:hAnsi="宋体" w:eastAsia="宋体" w:cs="Times New Roman"/>
                <w:color w:val="auto"/>
              </w:rPr>
              <w:t>；夜间</w:t>
            </w:r>
            <w:r>
              <w:rPr>
                <w:rFonts w:ascii="Times New Roman" w:hAnsi="Times New Roman" w:eastAsia="宋体" w:cs="Times New Roman"/>
                <w:color w:val="auto"/>
              </w:rPr>
              <w:t>≤50dB(A)</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宋体" w:eastAsia="宋体" w:cs="Times New Roman"/>
                <w:color w:val="auto"/>
              </w:rPr>
              <w:t>昼间</w:t>
            </w:r>
            <w:r>
              <w:rPr>
                <w:rFonts w:ascii="Times New Roman" w:hAnsi="Times New Roman" w:eastAsia="宋体" w:cs="Times New Roman"/>
                <w:color w:val="auto"/>
              </w:rPr>
              <w:t>≤60dB(A)</w:t>
            </w:r>
            <w:r>
              <w:rPr>
                <w:rFonts w:hint="eastAsia" w:ascii="Times New Roman" w:hAnsi="宋体" w:eastAsia="宋体" w:cs="Times New Roman"/>
                <w:color w:val="auto"/>
              </w:rPr>
              <w:t>；夜间</w:t>
            </w:r>
            <w:r>
              <w:rPr>
                <w:rFonts w:ascii="Times New Roman" w:hAnsi="Times New Roman" w:eastAsia="宋体" w:cs="Times New Roman"/>
                <w:color w:val="auto"/>
              </w:rPr>
              <w:t>≤50dB(A)</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声波传播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固废</w:t>
            </w: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生活垃圾</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宋体" w:hAnsi="宋体" w:eastAsia="宋体" w:cs="Times New Roman"/>
                <w:color w:val="auto"/>
              </w:rPr>
              <w:t>垃圾收集桶</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21"/>
                <w:szCs w:val="21"/>
              </w:rPr>
            </w:pPr>
            <w:r>
              <w:rPr>
                <w:color w:val="auto"/>
                <w:sz w:val="21"/>
                <w:szCs w:val="21"/>
              </w:rPr>
              <w:t>4.56t/a</w:t>
            </w:r>
            <w:r>
              <w:rPr>
                <w:rFonts w:hint="eastAsia" w:cs="宋体"/>
                <w:color w:val="auto"/>
                <w:sz w:val="21"/>
                <w:szCs w:val="21"/>
              </w:rPr>
              <w:t>（收集量）</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0</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76"/>
              <w:adjustRightInd/>
              <w:spacing w:after="0" w:line="240" w:lineRule="auto"/>
              <w:rPr>
                <w:rFonts w:hint="default" w:ascii="Times New Roman"/>
                <w:bCs/>
                <w:color w:val="auto"/>
                <w:sz w:val="21"/>
                <w:szCs w:val="21"/>
              </w:rPr>
            </w:pPr>
            <w:r>
              <w:rPr>
                <w:color w:val="auto"/>
                <w:sz w:val="21"/>
                <w:szCs w:val="21"/>
              </w:rPr>
              <w:t>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color w:val="auto"/>
                <w:sz w:val="21"/>
                <w:szCs w:val="22"/>
              </w:rPr>
            </w:pP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栅渣</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一般固废暂存点</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21"/>
                <w:szCs w:val="21"/>
              </w:rPr>
            </w:pPr>
            <w:r>
              <w:rPr>
                <w:rFonts w:hint="eastAsia"/>
                <w:color w:val="auto"/>
                <w:sz w:val="21"/>
                <w:szCs w:val="21"/>
              </w:rPr>
              <w:t>700.8</w:t>
            </w:r>
            <w:r>
              <w:rPr>
                <w:color w:val="auto"/>
                <w:sz w:val="21"/>
                <w:szCs w:val="21"/>
              </w:rPr>
              <w:t>t/a</w:t>
            </w:r>
            <w:r>
              <w:rPr>
                <w:rFonts w:hint="eastAsia" w:cs="宋体"/>
                <w:color w:val="auto"/>
                <w:sz w:val="21"/>
                <w:szCs w:val="21"/>
              </w:rPr>
              <w:t>（收集量）</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0</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21"/>
                <w:szCs w:val="22"/>
              </w:rPr>
            </w:pPr>
            <w:r>
              <w:rPr>
                <w:rFonts w:hint="eastAsia"/>
                <w:color w:val="auto"/>
                <w:sz w:val="21"/>
                <w:szCs w:val="21"/>
              </w:rPr>
              <w:t>经压榨打包后使用渣斗储存，交由环卫部门处理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color w:val="auto"/>
                <w:sz w:val="21"/>
                <w:szCs w:val="22"/>
              </w:rPr>
            </w:pP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污泥</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污泥间</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21"/>
                <w:szCs w:val="21"/>
              </w:rPr>
            </w:pPr>
            <w:r>
              <w:rPr>
                <w:rFonts w:hint="eastAsia"/>
                <w:color w:val="auto"/>
                <w:sz w:val="21"/>
                <w:szCs w:val="21"/>
              </w:rPr>
              <w:t>716.495</w:t>
            </w:r>
            <w:r>
              <w:rPr>
                <w:color w:val="auto"/>
                <w:sz w:val="21"/>
                <w:szCs w:val="21"/>
              </w:rPr>
              <w:t>t/a</w:t>
            </w:r>
            <w:r>
              <w:rPr>
                <w:rFonts w:hint="eastAsia" w:cs="宋体"/>
                <w:color w:val="auto"/>
                <w:sz w:val="21"/>
                <w:szCs w:val="21"/>
              </w:rPr>
              <w:t>（收集量）</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0</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21"/>
                <w:szCs w:val="22"/>
              </w:rPr>
            </w:pPr>
            <w:r>
              <w:rPr>
                <w:rFonts w:hint="eastAsia"/>
                <w:color w:val="auto"/>
                <w:sz w:val="21"/>
                <w:szCs w:val="21"/>
              </w:rPr>
              <w:t>经过鉴定后，若为危险废物需交有资质的单位进行处理；若为一般固废，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color w:val="auto"/>
                <w:sz w:val="21"/>
                <w:szCs w:val="22"/>
              </w:rPr>
            </w:pPr>
          </w:p>
        </w:tc>
        <w:tc>
          <w:tcPr>
            <w:tcW w:w="103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废化学试剂</w:t>
            </w:r>
          </w:p>
        </w:tc>
        <w:tc>
          <w:tcPr>
            <w:tcW w:w="12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hint="eastAsia" w:ascii="Times New Roman" w:hAnsi="Times New Roman" w:eastAsia="宋体" w:cs="Times New Roman"/>
                <w:color w:val="auto"/>
              </w:rPr>
              <w:t>危废间</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1</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21"/>
                <w:szCs w:val="21"/>
              </w:rPr>
            </w:pPr>
            <w:r>
              <w:rPr>
                <w:color w:val="auto"/>
                <w:sz w:val="21"/>
                <w:szCs w:val="21"/>
              </w:rPr>
              <w:t>0.5t/a</w:t>
            </w:r>
            <w:r>
              <w:rPr>
                <w:rFonts w:hint="eastAsia" w:cs="宋体"/>
                <w:color w:val="auto"/>
                <w:sz w:val="21"/>
                <w:szCs w:val="21"/>
              </w:rPr>
              <w:t>（收集量）</w:t>
            </w:r>
          </w:p>
        </w:tc>
        <w:tc>
          <w:tcPr>
            <w:tcW w:w="192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4"/>
              <w:autoSpaceDE w:val="0"/>
              <w:autoSpaceDN w:val="0"/>
              <w:adjustRightInd w:val="0"/>
              <w:spacing w:line="240" w:lineRule="auto"/>
              <w:ind w:firstLine="0" w:firstLineChars="0"/>
              <w:jc w:val="center"/>
              <w:rPr>
                <w:rFonts w:ascii="Times New Roman" w:hAnsi="Times New Roman" w:cs="Times New Roman"/>
                <w:color w:val="auto"/>
              </w:rPr>
            </w:pPr>
            <w:r>
              <w:rPr>
                <w:rFonts w:ascii="Times New Roman" w:hAnsi="Times New Roman" w:eastAsia="宋体" w:cs="Times New Roman"/>
                <w:color w:val="auto"/>
              </w:rPr>
              <w:t>0</w:t>
            </w: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76"/>
              <w:adjustRightInd/>
              <w:spacing w:after="0" w:line="240" w:lineRule="auto"/>
              <w:rPr>
                <w:rFonts w:hint="default" w:ascii="Times New Roman"/>
                <w:bCs/>
                <w:color w:val="auto"/>
                <w:sz w:val="21"/>
                <w:szCs w:val="21"/>
              </w:rPr>
            </w:pPr>
            <w:r>
              <w:rPr>
                <w:color w:val="auto"/>
                <w:sz w:val="21"/>
                <w:szCs w:val="21"/>
              </w:rPr>
              <w:t>定期交由有资质单位进行处理</w:t>
            </w:r>
          </w:p>
        </w:tc>
      </w:tr>
    </w:tbl>
    <w:p>
      <w:pPr>
        <w:pStyle w:val="3"/>
        <w:rPr>
          <w:color w:val="auto"/>
        </w:rPr>
      </w:pPr>
      <w:bookmarkStart w:id="189" w:name="_Toc26276897"/>
      <w:bookmarkStart w:id="190" w:name="_Toc22356"/>
      <w:r>
        <w:rPr>
          <w:rFonts w:hint="eastAsia"/>
          <w:color w:val="auto"/>
        </w:rPr>
        <w:t>9.3排污口规范化设置</w:t>
      </w:r>
      <w:bookmarkEnd w:id="189"/>
      <w:bookmarkEnd w:id="190"/>
    </w:p>
    <w:p>
      <w:pPr>
        <w:spacing w:line="360" w:lineRule="auto"/>
        <w:ind w:firstLine="482" w:firstLineChars="200"/>
        <w:rPr>
          <w:b/>
          <w:color w:val="auto"/>
          <w:sz w:val="24"/>
          <w:szCs w:val="24"/>
        </w:rPr>
      </w:pPr>
      <w:r>
        <w:rPr>
          <w:rFonts w:hint="eastAsia"/>
          <w:b/>
          <w:color w:val="auto"/>
          <w:sz w:val="24"/>
          <w:szCs w:val="24"/>
        </w:rPr>
        <w:t>1、污水排放口规范化整治</w:t>
      </w:r>
    </w:p>
    <w:p>
      <w:pPr>
        <w:spacing w:line="360" w:lineRule="auto"/>
        <w:ind w:firstLine="480" w:firstLineChars="200"/>
        <w:rPr>
          <w:color w:val="auto"/>
          <w:sz w:val="24"/>
          <w:szCs w:val="24"/>
        </w:rPr>
      </w:pPr>
      <w:r>
        <w:rPr>
          <w:rFonts w:hint="eastAsia"/>
          <w:color w:val="auto"/>
          <w:sz w:val="24"/>
          <w:szCs w:val="24"/>
        </w:rPr>
        <w:t>厂内设置总排水口采样点位，并在总排水口设置标志牌。采样点一经确定后，不得随意更改，标志牌内容包括点位名称、编号、排污去向、污染因子等。尾水外排总口监测点位必须进行标准规范化的整治，定期进行排污口的清障、疏通工作。</w:t>
      </w:r>
    </w:p>
    <w:p>
      <w:pPr>
        <w:spacing w:line="360" w:lineRule="auto"/>
        <w:ind w:firstLine="482" w:firstLineChars="200"/>
        <w:rPr>
          <w:b/>
          <w:color w:val="auto"/>
          <w:sz w:val="24"/>
          <w:szCs w:val="24"/>
        </w:rPr>
      </w:pPr>
      <w:r>
        <w:rPr>
          <w:rFonts w:hint="eastAsia"/>
          <w:b/>
          <w:color w:val="auto"/>
          <w:sz w:val="24"/>
          <w:szCs w:val="24"/>
        </w:rPr>
        <w:t>2、废气排放口规范化</w:t>
      </w:r>
    </w:p>
    <w:p>
      <w:pPr>
        <w:spacing w:line="360" w:lineRule="auto"/>
        <w:ind w:firstLine="480" w:firstLineChars="200"/>
        <w:rPr>
          <w:color w:val="auto"/>
          <w:sz w:val="24"/>
          <w:szCs w:val="24"/>
        </w:rPr>
      </w:pPr>
      <w:r>
        <w:rPr>
          <w:rFonts w:hint="eastAsia"/>
          <w:color w:val="auto"/>
          <w:sz w:val="24"/>
          <w:szCs w:val="24"/>
        </w:rPr>
        <w:t>废气处理装置排气筒出口设置永久采样口1个，管道测点数的确定可在监测单位技术人员指导下设点开孔。不监测时用管帽、盖板等封闭，不得封死，便于在监测时开启使用，并在废气污染源处设置废气排放口标志。</w:t>
      </w:r>
    </w:p>
    <w:p>
      <w:pPr>
        <w:spacing w:line="360" w:lineRule="auto"/>
        <w:ind w:firstLine="482" w:firstLineChars="200"/>
        <w:rPr>
          <w:b/>
          <w:color w:val="auto"/>
          <w:sz w:val="24"/>
          <w:szCs w:val="24"/>
        </w:rPr>
      </w:pPr>
      <w:r>
        <w:rPr>
          <w:rFonts w:hint="eastAsia"/>
          <w:b/>
          <w:color w:val="auto"/>
          <w:sz w:val="24"/>
          <w:szCs w:val="24"/>
        </w:rPr>
        <w:t>3、固废堆放</w:t>
      </w:r>
    </w:p>
    <w:p>
      <w:pPr>
        <w:spacing w:line="360" w:lineRule="auto"/>
        <w:ind w:firstLine="480" w:firstLineChars="200"/>
        <w:rPr>
          <w:color w:val="auto"/>
          <w:sz w:val="24"/>
          <w:szCs w:val="24"/>
        </w:rPr>
      </w:pPr>
      <w:r>
        <w:rPr>
          <w:rFonts w:hint="eastAsia"/>
          <w:color w:val="auto"/>
          <w:sz w:val="24"/>
          <w:szCs w:val="24"/>
        </w:rPr>
        <w:t>固废堆场应设置环境保护图形标志牌，将一般固废、危险废物等分开存放，做到防火、防扬散、防渗漏，确保不对周围环境形成二次污染。</w:t>
      </w:r>
    </w:p>
    <w:p>
      <w:pPr>
        <w:spacing w:line="360" w:lineRule="auto"/>
        <w:ind w:firstLine="480" w:firstLineChars="200"/>
        <w:rPr>
          <w:color w:val="auto"/>
          <w:sz w:val="24"/>
          <w:szCs w:val="24"/>
        </w:rPr>
      </w:pPr>
      <w:r>
        <w:rPr>
          <w:rFonts w:hint="eastAsia"/>
          <w:color w:val="auto"/>
          <w:sz w:val="24"/>
          <w:szCs w:val="24"/>
        </w:rPr>
        <w:t>各污染源排放口应规范设置，在“三废”及噪声排放处设置明显的标志，标志的设置应执行《环境保护图形标志 排放口（源）》(GB/T15562.1-1995)及《环境保护图形标志固体废物贮存（处置）场》(GB15562.2-1995)中有关规定，排放口图形标志见图9-3-1。污染物排放口的图形标志应设置在靠近采样点的醒目处，标志牌设置高度为其上缘距地面2.0m。</w:t>
      </w:r>
    </w:p>
    <w:p>
      <w:pPr>
        <w:spacing w:line="360" w:lineRule="auto"/>
        <w:jc w:val="center"/>
        <w:rPr>
          <w:color w:val="auto"/>
          <w:sz w:val="24"/>
          <w:szCs w:val="24"/>
        </w:rPr>
      </w:pPr>
      <w:r>
        <w:rPr>
          <w:color w:val="auto"/>
          <w:sz w:val="24"/>
          <w:szCs w:val="24"/>
        </w:rPr>
        <w:drawing>
          <wp:inline distT="0" distB="0" distL="0" distR="0">
            <wp:extent cx="4368800" cy="2555875"/>
            <wp:effectExtent l="19050" t="0" r="0" b="0"/>
            <wp:docPr id="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6"/>
                    <pic:cNvPicPr>
                      <a:picLocks noChangeAspect="1" noChangeArrowheads="1"/>
                    </pic:cNvPicPr>
                  </pic:nvPicPr>
                  <pic:blipFill>
                    <a:blip r:embed="rId79" cstate="print"/>
                    <a:srcRect/>
                    <a:stretch>
                      <a:fillRect/>
                    </a:stretch>
                  </pic:blipFill>
                  <pic:spPr>
                    <a:xfrm>
                      <a:off x="0" y="0"/>
                      <a:ext cx="4368984" cy="2556000"/>
                    </a:xfrm>
                    <a:prstGeom prst="rect">
                      <a:avLst/>
                    </a:prstGeom>
                    <a:noFill/>
                    <a:ln w="9525">
                      <a:noFill/>
                      <a:miter lim="800000"/>
                      <a:headEnd/>
                      <a:tailEnd/>
                    </a:ln>
                  </pic:spPr>
                </pic:pic>
              </a:graphicData>
            </a:graphic>
          </wp:inline>
        </w:drawing>
      </w:r>
    </w:p>
    <w:p>
      <w:pPr>
        <w:spacing w:line="360" w:lineRule="auto"/>
        <w:jc w:val="center"/>
        <w:rPr>
          <w:b/>
          <w:color w:val="auto"/>
          <w:sz w:val="24"/>
          <w:szCs w:val="24"/>
        </w:rPr>
      </w:pPr>
      <w:r>
        <w:rPr>
          <w:rFonts w:hint="eastAsia"/>
          <w:b/>
          <w:color w:val="auto"/>
          <w:sz w:val="24"/>
          <w:szCs w:val="24"/>
        </w:rPr>
        <w:t>图9-3-1   环境保护图形标志—排放口（源）</w:t>
      </w:r>
    </w:p>
    <w:p>
      <w:pPr>
        <w:spacing w:line="360" w:lineRule="auto"/>
        <w:ind w:firstLine="480" w:firstLineChars="200"/>
        <w:jc w:val="left"/>
        <w:rPr>
          <w:color w:val="auto"/>
          <w:sz w:val="24"/>
          <w:szCs w:val="24"/>
        </w:rPr>
      </w:pPr>
      <w:r>
        <w:rPr>
          <w:rFonts w:hint="eastAsia"/>
          <w:color w:val="auto"/>
          <w:sz w:val="24"/>
          <w:szCs w:val="24"/>
        </w:rPr>
        <w:t>环境保护图形标志形状及颜色说明见下表。</w:t>
      </w:r>
    </w:p>
    <w:p>
      <w:pPr>
        <w:spacing w:line="360" w:lineRule="auto"/>
        <w:jc w:val="center"/>
        <w:rPr>
          <w:b/>
          <w:color w:val="auto"/>
          <w:sz w:val="24"/>
          <w:szCs w:val="24"/>
        </w:rPr>
      </w:pPr>
      <w:r>
        <w:rPr>
          <w:rFonts w:hint="eastAsia"/>
          <w:b/>
          <w:color w:val="auto"/>
          <w:sz w:val="24"/>
          <w:szCs w:val="24"/>
        </w:rPr>
        <w:t>表9-3-1   标志的形状及颜色说明</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b/>
                <w:color w:val="auto"/>
                <w:sz w:val="21"/>
                <w:szCs w:val="21"/>
              </w:rPr>
            </w:pPr>
            <w:r>
              <w:rPr>
                <w:rFonts w:hint="eastAsia"/>
                <w:b/>
                <w:color w:val="auto"/>
                <w:sz w:val="21"/>
                <w:szCs w:val="21"/>
              </w:rPr>
              <w:t>标志类型</w:t>
            </w:r>
          </w:p>
        </w:tc>
        <w:tc>
          <w:tcPr>
            <w:tcW w:w="2130" w:type="dxa"/>
            <w:vAlign w:val="center"/>
          </w:tcPr>
          <w:p>
            <w:pPr>
              <w:jc w:val="center"/>
              <w:rPr>
                <w:b/>
                <w:color w:val="auto"/>
                <w:sz w:val="21"/>
                <w:szCs w:val="21"/>
              </w:rPr>
            </w:pPr>
            <w:r>
              <w:rPr>
                <w:rFonts w:hint="eastAsia"/>
                <w:b/>
                <w:color w:val="auto"/>
                <w:sz w:val="21"/>
                <w:szCs w:val="21"/>
              </w:rPr>
              <w:t>形状</w:t>
            </w:r>
          </w:p>
        </w:tc>
        <w:tc>
          <w:tcPr>
            <w:tcW w:w="2131" w:type="dxa"/>
            <w:vAlign w:val="center"/>
          </w:tcPr>
          <w:p>
            <w:pPr>
              <w:jc w:val="center"/>
              <w:rPr>
                <w:b/>
                <w:color w:val="auto"/>
                <w:sz w:val="21"/>
                <w:szCs w:val="21"/>
              </w:rPr>
            </w:pPr>
            <w:r>
              <w:rPr>
                <w:rFonts w:hint="eastAsia"/>
                <w:b/>
                <w:color w:val="auto"/>
                <w:sz w:val="21"/>
                <w:szCs w:val="21"/>
              </w:rPr>
              <w:t>背景颜色</w:t>
            </w:r>
          </w:p>
        </w:tc>
        <w:tc>
          <w:tcPr>
            <w:tcW w:w="2131" w:type="dxa"/>
            <w:vAlign w:val="center"/>
          </w:tcPr>
          <w:p>
            <w:pPr>
              <w:jc w:val="center"/>
              <w:rPr>
                <w:b/>
                <w:color w:val="auto"/>
                <w:sz w:val="21"/>
                <w:szCs w:val="21"/>
              </w:rPr>
            </w:pPr>
            <w:r>
              <w:rPr>
                <w:rFonts w:hint="eastAsia"/>
                <w:b/>
                <w:color w:val="auto"/>
                <w:sz w:val="21"/>
                <w:szCs w:val="21"/>
              </w:rPr>
              <w:t>图形颜色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color w:val="auto"/>
                <w:sz w:val="21"/>
                <w:szCs w:val="21"/>
              </w:rPr>
            </w:pPr>
            <w:r>
              <w:rPr>
                <w:rFonts w:hint="eastAsia"/>
                <w:color w:val="auto"/>
                <w:sz w:val="21"/>
                <w:szCs w:val="21"/>
              </w:rPr>
              <w:t>警告标志</w:t>
            </w:r>
          </w:p>
        </w:tc>
        <w:tc>
          <w:tcPr>
            <w:tcW w:w="2130" w:type="dxa"/>
            <w:vAlign w:val="center"/>
          </w:tcPr>
          <w:p>
            <w:pPr>
              <w:jc w:val="center"/>
              <w:rPr>
                <w:color w:val="auto"/>
                <w:sz w:val="21"/>
                <w:szCs w:val="21"/>
              </w:rPr>
            </w:pPr>
            <w:r>
              <w:rPr>
                <w:rFonts w:hint="eastAsia"/>
                <w:color w:val="auto"/>
                <w:sz w:val="21"/>
                <w:szCs w:val="21"/>
              </w:rPr>
              <w:t>三角形边框</w:t>
            </w:r>
          </w:p>
        </w:tc>
        <w:tc>
          <w:tcPr>
            <w:tcW w:w="2131" w:type="dxa"/>
            <w:vAlign w:val="center"/>
          </w:tcPr>
          <w:p>
            <w:pPr>
              <w:jc w:val="center"/>
              <w:rPr>
                <w:color w:val="auto"/>
                <w:sz w:val="21"/>
                <w:szCs w:val="21"/>
              </w:rPr>
            </w:pPr>
            <w:r>
              <w:rPr>
                <w:rFonts w:hint="eastAsia"/>
                <w:color w:val="auto"/>
                <w:sz w:val="21"/>
                <w:szCs w:val="21"/>
              </w:rPr>
              <w:t>黄色</w:t>
            </w:r>
          </w:p>
        </w:tc>
        <w:tc>
          <w:tcPr>
            <w:tcW w:w="2131" w:type="dxa"/>
            <w:vAlign w:val="center"/>
          </w:tcPr>
          <w:p>
            <w:pPr>
              <w:jc w:val="center"/>
              <w:rPr>
                <w:color w:val="auto"/>
                <w:sz w:val="21"/>
                <w:szCs w:val="21"/>
              </w:rPr>
            </w:pPr>
            <w:r>
              <w:rPr>
                <w:rFonts w:hint="eastAsia"/>
                <w:color w:val="auto"/>
                <w:sz w:val="21"/>
                <w:szCs w:val="21"/>
              </w:rPr>
              <w:t>黑色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color w:val="auto"/>
                <w:sz w:val="21"/>
                <w:szCs w:val="21"/>
              </w:rPr>
            </w:pPr>
            <w:r>
              <w:rPr>
                <w:rFonts w:hint="eastAsia"/>
                <w:color w:val="auto"/>
                <w:sz w:val="21"/>
                <w:szCs w:val="21"/>
              </w:rPr>
              <w:t>提示标志</w:t>
            </w:r>
          </w:p>
        </w:tc>
        <w:tc>
          <w:tcPr>
            <w:tcW w:w="2130" w:type="dxa"/>
            <w:vAlign w:val="center"/>
          </w:tcPr>
          <w:p>
            <w:pPr>
              <w:jc w:val="center"/>
              <w:rPr>
                <w:color w:val="auto"/>
                <w:sz w:val="21"/>
                <w:szCs w:val="21"/>
              </w:rPr>
            </w:pPr>
            <w:r>
              <w:rPr>
                <w:rFonts w:hint="eastAsia"/>
                <w:color w:val="auto"/>
                <w:sz w:val="21"/>
                <w:szCs w:val="21"/>
              </w:rPr>
              <w:t>正方形边框</w:t>
            </w:r>
          </w:p>
        </w:tc>
        <w:tc>
          <w:tcPr>
            <w:tcW w:w="2131" w:type="dxa"/>
            <w:vAlign w:val="center"/>
          </w:tcPr>
          <w:p>
            <w:pPr>
              <w:jc w:val="center"/>
              <w:rPr>
                <w:color w:val="auto"/>
                <w:sz w:val="21"/>
                <w:szCs w:val="21"/>
              </w:rPr>
            </w:pPr>
            <w:r>
              <w:rPr>
                <w:rFonts w:hint="eastAsia"/>
                <w:color w:val="auto"/>
                <w:sz w:val="21"/>
                <w:szCs w:val="21"/>
              </w:rPr>
              <w:t>绿色</w:t>
            </w:r>
          </w:p>
        </w:tc>
        <w:tc>
          <w:tcPr>
            <w:tcW w:w="2131" w:type="dxa"/>
            <w:vAlign w:val="center"/>
          </w:tcPr>
          <w:p>
            <w:pPr>
              <w:jc w:val="center"/>
              <w:rPr>
                <w:b/>
                <w:color w:val="auto"/>
                <w:sz w:val="24"/>
                <w:szCs w:val="24"/>
              </w:rPr>
            </w:pPr>
            <w:r>
              <w:rPr>
                <w:rFonts w:hint="eastAsia"/>
                <w:color w:val="auto"/>
                <w:sz w:val="21"/>
                <w:szCs w:val="21"/>
              </w:rPr>
              <w:t>白色</w:t>
            </w:r>
          </w:p>
        </w:tc>
      </w:tr>
    </w:tbl>
    <w:p>
      <w:pPr>
        <w:spacing w:line="360" w:lineRule="auto"/>
        <w:ind w:firstLine="480" w:firstLineChars="200"/>
        <w:rPr>
          <w:color w:val="auto"/>
          <w:sz w:val="24"/>
          <w:szCs w:val="24"/>
        </w:rPr>
      </w:pPr>
      <w:r>
        <w:rPr>
          <w:rFonts w:hint="eastAsia"/>
          <w:color w:val="auto"/>
          <w:sz w:val="24"/>
          <w:szCs w:val="24"/>
        </w:rPr>
        <w:t>排污口建档管理：</w:t>
      </w:r>
    </w:p>
    <w:p>
      <w:pPr>
        <w:spacing w:line="360" w:lineRule="auto"/>
        <w:ind w:firstLine="480" w:firstLineChars="200"/>
        <w:rPr>
          <w:color w:val="auto"/>
          <w:sz w:val="24"/>
          <w:szCs w:val="24"/>
        </w:rPr>
      </w:pPr>
      <w:r>
        <w:rPr>
          <w:rFonts w:hint="eastAsia"/>
          <w:color w:val="auto"/>
          <w:sz w:val="24"/>
          <w:szCs w:val="24"/>
        </w:rPr>
        <w:t>（1）要求使用国家环境保护部统一印制的《中华人民共和国规范化排污口标志登记证》，并要求填写有关内容。</w:t>
      </w:r>
    </w:p>
    <w:p>
      <w:pPr>
        <w:spacing w:line="360" w:lineRule="auto"/>
        <w:ind w:firstLine="480" w:firstLineChars="200"/>
        <w:rPr>
          <w:color w:val="auto"/>
          <w:sz w:val="24"/>
          <w:szCs w:val="24"/>
        </w:rPr>
      </w:pPr>
      <w:r>
        <w:rPr>
          <w:rFonts w:hint="eastAsia"/>
          <w:color w:val="auto"/>
          <w:sz w:val="24"/>
          <w:szCs w:val="24"/>
        </w:rPr>
        <w:t>（2）根据排污口管理挡案内容要求，项目建成后，应将主要污染物种类、数量、浓度、排放去向、达标情况记录于挡案。</w:t>
      </w:r>
    </w:p>
    <w:p>
      <w:pPr>
        <w:pStyle w:val="3"/>
        <w:rPr>
          <w:color w:val="auto"/>
        </w:rPr>
      </w:pPr>
      <w:bookmarkStart w:id="191" w:name="_Toc26276898"/>
      <w:bookmarkStart w:id="192" w:name="_Toc227"/>
      <w:r>
        <w:rPr>
          <w:rFonts w:hint="eastAsia"/>
          <w:color w:val="auto"/>
        </w:rPr>
        <w:t>9.4排污许可制度要求</w:t>
      </w:r>
      <w:bookmarkEnd w:id="191"/>
      <w:bookmarkEnd w:id="192"/>
    </w:p>
    <w:p>
      <w:pPr>
        <w:spacing w:line="360" w:lineRule="auto"/>
        <w:ind w:firstLine="480" w:firstLineChars="200"/>
        <w:rPr>
          <w:color w:val="auto"/>
          <w:sz w:val="24"/>
          <w:szCs w:val="24"/>
        </w:rPr>
      </w:pPr>
      <w:r>
        <w:rPr>
          <w:rFonts w:hint="eastAsia"/>
          <w:color w:val="auto"/>
          <w:sz w:val="24"/>
          <w:szCs w:val="24"/>
        </w:rPr>
        <w:t>根据环境保护部办公厅文件《关于做好环境影响评价制度与排污许可制衔接相关工作的通知》（环办环评〔2017〕84 号）、国务院办公厅关于印发《控制污染物排放许可制实施方案》的通知（国办发〔2016〕81 号）、环境保护部关于印发《“十三五”环境影响评价改革实施方案的通知》（环环评〔2016〕95 号）中相关要求，环境影响评价制度是建设项目的环境准入门槛，排污许可制是企事业单位生产运营期排污的法律依据，必须做好充分衔接，实现从污染预防到污染治理和排放控制的全过程监管。</w:t>
      </w:r>
    </w:p>
    <w:p>
      <w:pPr>
        <w:spacing w:line="360" w:lineRule="auto"/>
        <w:ind w:firstLine="480" w:firstLineChars="200"/>
        <w:rPr>
          <w:color w:val="auto"/>
          <w:sz w:val="24"/>
          <w:szCs w:val="24"/>
        </w:rPr>
      </w:pPr>
      <w:r>
        <w:rPr>
          <w:rFonts w:hint="eastAsia"/>
          <w:color w:val="auto"/>
          <w:sz w:val="24"/>
          <w:szCs w:val="24"/>
        </w:rPr>
        <w:t>新建项目必须在发生实际排污行为之前申领排污许可证，环境影响评价文件及批复中与污染物排放相关的主要内容应当纳入排污许可证。排污单位应当按照国家环境保护相关法律法规以及排污许可证申请与核发技术规范要求申请排污许可证，不得无证排污或不按证排污。环境影响报告书（表）2015 年1 月1 日（含）后获得批准的建设项目，其环境影响报告书（表）以及审批文件中与污染物排放相关的主要内容应当纳入排污许可证。建设项目无证排污或不按证排污的，建设单位不得出具该项目验收合格的意见，验收报告中与污染物排放相关的主要内容应当纳入该项目验收完成当年排污许可证执行年报。排污许可证执行报告、台账记录以及自行监测执行情况等应作为开展建设项目环境影响后评价的重要依据。</w:t>
      </w:r>
    </w:p>
    <w:p>
      <w:pPr>
        <w:pStyle w:val="3"/>
        <w:rPr>
          <w:color w:val="auto"/>
        </w:rPr>
      </w:pPr>
      <w:bookmarkStart w:id="193" w:name="_Toc26276899"/>
      <w:bookmarkStart w:id="194" w:name="_Toc1872"/>
      <w:r>
        <w:rPr>
          <w:rFonts w:hint="eastAsia"/>
          <w:color w:val="auto"/>
        </w:rPr>
        <w:t>9.5环保设施竣工验收管理</w:t>
      </w:r>
      <w:bookmarkEnd w:id="193"/>
      <w:bookmarkEnd w:id="194"/>
    </w:p>
    <w:p>
      <w:pPr>
        <w:pStyle w:val="4"/>
        <w:rPr>
          <w:color w:val="auto"/>
        </w:rPr>
      </w:pPr>
      <w:bookmarkStart w:id="195" w:name="_Toc26276900"/>
      <w:r>
        <w:rPr>
          <w:rFonts w:hint="eastAsia"/>
          <w:color w:val="auto"/>
        </w:rPr>
        <w:t>9.5.1环境工程设计与建设要求</w:t>
      </w:r>
      <w:bookmarkEnd w:id="195"/>
    </w:p>
    <w:p>
      <w:pPr>
        <w:spacing w:line="360" w:lineRule="auto"/>
        <w:ind w:firstLine="480" w:firstLineChars="200"/>
        <w:rPr>
          <w:color w:val="auto"/>
          <w:sz w:val="24"/>
          <w:szCs w:val="24"/>
        </w:rPr>
      </w:pPr>
      <w:r>
        <w:rPr>
          <w:rFonts w:hint="eastAsia"/>
          <w:color w:val="auto"/>
          <w:sz w:val="24"/>
          <w:szCs w:val="24"/>
        </w:rPr>
        <w:t>（1）建设单位按照本报告书提出的污染防治措施、清洁生产意见和建议，完善工程的环境工程设计。本工程为污水处理环保工程，根据污水处理特点，应做好污水处理系统维护与管理工作，确保工程出水稳定达标排放；</w:t>
      </w:r>
    </w:p>
    <w:p>
      <w:pPr>
        <w:spacing w:line="360" w:lineRule="auto"/>
        <w:ind w:firstLine="480" w:firstLineChars="200"/>
        <w:rPr>
          <w:color w:val="auto"/>
          <w:sz w:val="24"/>
          <w:szCs w:val="24"/>
        </w:rPr>
      </w:pPr>
      <w:r>
        <w:rPr>
          <w:rFonts w:hint="eastAsia"/>
          <w:color w:val="auto"/>
          <w:sz w:val="24"/>
          <w:szCs w:val="24"/>
        </w:rPr>
        <w:t>（2）进一步核准、细化环保投资概算，要求做到专款专用，环保资金及时到位；</w:t>
      </w:r>
    </w:p>
    <w:p>
      <w:pPr>
        <w:spacing w:line="360" w:lineRule="auto"/>
        <w:ind w:firstLine="480" w:firstLineChars="200"/>
        <w:rPr>
          <w:color w:val="auto"/>
          <w:sz w:val="24"/>
          <w:szCs w:val="24"/>
        </w:rPr>
      </w:pPr>
      <w:r>
        <w:rPr>
          <w:rFonts w:hint="eastAsia"/>
          <w:color w:val="auto"/>
          <w:sz w:val="24"/>
          <w:szCs w:val="24"/>
        </w:rPr>
        <w:t>（3）主体工程完工后，与其配套建设的环保设施必须与主体工程同时投入生产或者运行；如需要进行试生产，其配套的环保设施也必须与主体工程同时投入试运行。</w:t>
      </w:r>
    </w:p>
    <w:p>
      <w:pPr>
        <w:pStyle w:val="4"/>
        <w:rPr>
          <w:color w:val="auto"/>
        </w:rPr>
      </w:pPr>
      <w:bookmarkStart w:id="196" w:name="_Toc26276901"/>
      <w:r>
        <w:rPr>
          <w:rFonts w:hint="eastAsia"/>
          <w:color w:val="auto"/>
        </w:rPr>
        <w:t>9.5.2环保设施验收范围</w:t>
      </w:r>
      <w:bookmarkEnd w:id="196"/>
    </w:p>
    <w:p>
      <w:pPr>
        <w:spacing w:line="360" w:lineRule="auto"/>
        <w:ind w:firstLine="480" w:firstLineChars="200"/>
        <w:rPr>
          <w:color w:val="auto"/>
          <w:sz w:val="24"/>
          <w:szCs w:val="24"/>
        </w:rPr>
      </w:pPr>
      <w:r>
        <w:rPr>
          <w:rFonts w:hint="eastAsia"/>
          <w:color w:val="auto"/>
          <w:sz w:val="24"/>
          <w:szCs w:val="24"/>
        </w:rPr>
        <w:t>（1）与工程建设有关的各项环保设施，包括为污染防治和保护环境所建成或配套建成的工程、设备、装置和监测手段等；</w:t>
      </w:r>
    </w:p>
    <w:p>
      <w:pPr>
        <w:spacing w:line="360" w:lineRule="auto"/>
        <w:ind w:firstLine="480" w:firstLineChars="200"/>
        <w:rPr>
          <w:color w:val="auto"/>
          <w:sz w:val="24"/>
          <w:szCs w:val="24"/>
        </w:rPr>
      </w:pPr>
      <w:r>
        <w:rPr>
          <w:rFonts w:hint="eastAsia"/>
          <w:color w:val="auto"/>
          <w:sz w:val="24"/>
          <w:szCs w:val="24"/>
        </w:rPr>
        <w:t>（2）本报告书和有关设计文件规定应采取的其它各项环保措。</w:t>
      </w:r>
    </w:p>
    <w:p>
      <w:pPr>
        <w:pStyle w:val="4"/>
        <w:rPr>
          <w:color w:val="auto"/>
        </w:rPr>
      </w:pPr>
      <w:bookmarkStart w:id="197" w:name="_Toc26276902"/>
      <w:r>
        <w:rPr>
          <w:rFonts w:hint="eastAsia"/>
          <w:color w:val="auto"/>
        </w:rPr>
        <w:t>9.5.3环境保护“三同时”验收</w:t>
      </w:r>
      <w:bookmarkEnd w:id="197"/>
    </w:p>
    <w:p>
      <w:pPr>
        <w:spacing w:line="360" w:lineRule="auto"/>
        <w:ind w:firstLine="480" w:firstLineChars="200"/>
        <w:rPr>
          <w:rFonts w:hAnsi="宋体"/>
          <w:b/>
          <w:color w:val="auto"/>
          <w:sz w:val="24"/>
          <w:szCs w:val="24"/>
        </w:rPr>
        <w:sectPr>
          <w:pgSz w:w="11906" w:h="16838"/>
          <w:pgMar w:top="1440" w:right="1800" w:bottom="1440" w:left="1800" w:header="851" w:footer="992" w:gutter="0"/>
          <w:cols w:space="425" w:num="1"/>
          <w:docGrid w:type="lines" w:linePitch="312" w:charSpace="0"/>
        </w:sectPr>
      </w:pPr>
      <w:r>
        <w:rPr>
          <w:rFonts w:hint="eastAsia"/>
          <w:color w:val="auto"/>
          <w:sz w:val="24"/>
          <w:szCs w:val="24"/>
        </w:rPr>
        <w:t>根据国家有关法律法规，环境保护设施必须与主体工程同时设计、同时施工、同时验收，为便于主管部门对本项目的环保设施进行竣工验收，现按照国家有关规定，提出环保设施“三同时”验收一览表，详见下表。</w:t>
      </w:r>
    </w:p>
    <w:p>
      <w:pPr>
        <w:spacing w:line="360" w:lineRule="auto"/>
        <w:jc w:val="center"/>
        <w:rPr>
          <w:color w:val="auto"/>
        </w:rPr>
      </w:pPr>
      <w:r>
        <w:rPr>
          <w:rFonts w:hAnsi="宋体"/>
          <w:b/>
          <w:color w:val="auto"/>
          <w:sz w:val="24"/>
          <w:szCs w:val="24"/>
        </w:rPr>
        <w:t>表</w:t>
      </w:r>
      <w:r>
        <w:rPr>
          <w:b/>
          <w:color w:val="auto"/>
          <w:sz w:val="24"/>
          <w:szCs w:val="24"/>
        </w:rPr>
        <w:t>9-</w:t>
      </w:r>
      <w:r>
        <w:rPr>
          <w:rFonts w:hint="eastAsia"/>
          <w:b/>
          <w:color w:val="auto"/>
          <w:sz w:val="24"/>
          <w:szCs w:val="24"/>
        </w:rPr>
        <w:t>5-1</w:t>
      </w:r>
      <w:r>
        <w:rPr>
          <w:b/>
          <w:color w:val="auto"/>
          <w:sz w:val="24"/>
          <w:szCs w:val="24"/>
        </w:rPr>
        <w:t xml:space="preserve">   </w:t>
      </w:r>
      <w:r>
        <w:rPr>
          <w:rFonts w:hAnsi="宋体"/>
          <w:b/>
          <w:color w:val="auto"/>
          <w:sz w:val="24"/>
          <w:szCs w:val="24"/>
        </w:rPr>
        <w:t>建设项目环境保护</w:t>
      </w:r>
      <w:r>
        <w:rPr>
          <w:b/>
          <w:color w:val="auto"/>
          <w:sz w:val="24"/>
          <w:szCs w:val="24"/>
        </w:rPr>
        <w:t>“</w:t>
      </w:r>
      <w:r>
        <w:rPr>
          <w:rFonts w:hAnsi="宋体"/>
          <w:b/>
          <w:color w:val="auto"/>
          <w:sz w:val="24"/>
          <w:szCs w:val="24"/>
        </w:rPr>
        <w:t>三同时</w:t>
      </w:r>
      <w:r>
        <w:rPr>
          <w:b/>
          <w:color w:val="auto"/>
          <w:sz w:val="24"/>
          <w:szCs w:val="24"/>
        </w:rPr>
        <w:t>”</w:t>
      </w:r>
      <w:r>
        <w:rPr>
          <w:rFonts w:hAnsi="宋体"/>
          <w:b/>
          <w:color w:val="auto"/>
          <w:sz w:val="24"/>
          <w:szCs w:val="24"/>
        </w:rPr>
        <w:t>验收内容一览表</w:t>
      </w:r>
    </w:p>
    <w:tbl>
      <w:tblPr>
        <w:tblStyle w:val="28"/>
        <w:tblW w:w="141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105"/>
        <w:gridCol w:w="2977"/>
        <w:gridCol w:w="3260"/>
        <w:gridCol w:w="467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gridSpan w:val="2"/>
            <w:vAlign w:val="center"/>
          </w:tcPr>
          <w:p>
            <w:pPr>
              <w:adjustRightInd w:val="0"/>
              <w:snapToGrid w:val="0"/>
              <w:jc w:val="center"/>
              <w:rPr>
                <w:b/>
                <w:color w:val="auto"/>
                <w:sz w:val="21"/>
                <w:szCs w:val="21"/>
              </w:rPr>
            </w:pPr>
            <w:r>
              <w:rPr>
                <w:b/>
                <w:color w:val="auto"/>
                <w:sz w:val="21"/>
                <w:szCs w:val="21"/>
              </w:rPr>
              <w:t>验收类别</w:t>
            </w:r>
          </w:p>
        </w:tc>
        <w:tc>
          <w:tcPr>
            <w:tcW w:w="2977" w:type="dxa"/>
            <w:vAlign w:val="center"/>
          </w:tcPr>
          <w:p>
            <w:pPr>
              <w:adjustRightInd w:val="0"/>
              <w:snapToGrid w:val="0"/>
              <w:jc w:val="center"/>
              <w:rPr>
                <w:b/>
                <w:color w:val="auto"/>
                <w:sz w:val="21"/>
                <w:szCs w:val="21"/>
              </w:rPr>
            </w:pPr>
            <w:r>
              <w:rPr>
                <w:b/>
                <w:color w:val="auto"/>
                <w:sz w:val="21"/>
                <w:szCs w:val="21"/>
              </w:rPr>
              <w:t>处理方式</w:t>
            </w:r>
          </w:p>
        </w:tc>
        <w:tc>
          <w:tcPr>
            <w:tcW w:w="3260" w:type="dxa"/>
            <w:vAlign w:val="center"/>
          </w:tcPr>
          <w:p>
            <w:pPr>
              <w:adjustRightInd w:val="0"/>
              <w:snapToGrid w:val="0"/>
              <w:jc w:val="center"/>
              <w:rPr>
                <w:b/>
                <w:color w:val="auto"/>
                <w:sz w:val="21"/>
                <w:szCs w:val="21"/>
              </w:rPr>
            </w:pPr>
            <w:r>
              <w:rPr>
                <w:b/>
                <w:color w:val="auto"/>
                <w:sz w:val="21"/>
                <w:szCs w:val="21"/>
              </w:rPr>
              <w:t>监控指标与标准要求</w:t>
            </w:r>
          </w:p>
        </w:tc>
        <w:tc>
          <w:tcPr>
            <w:tcW w:w="4678" w:type="dxa"/>
            <w:vAlign w:val="center"/>
          </w:tcPr>
          <w:p>
            <w:pPr>
              <w:adjustRightInd w:val="0"/>
              <w:snapToGrid w:val="0"/>
              <w:jc w:val="center"/>
              <w:rPr>
                <w:b/>
                <w:color w:val="auto"/>
                <w:sz w:val="21"/>
                <w:szCs w:val="21"/>
              </w:rPr>
            </w:pPr>
            <w:r>
              <w:rPr>
                <w:b/>
                <w:color w:val="auto"/>
                <w:sz w:val="21"/>
                <w:szCs w:val="21"/>
              </w:rPr>
              <w:t>验收标准</w:t>
            </w:r>
          </w:p>
        </w:tc>
        <w:tc>
          <w:tcPr>
            <w:tcW w:w="1701" w:type="dxa"/>
            <w:vAlign w:val="center"/>
          </w:tcPr>
          <w:p>
            <w:pPr>
              <w:adjustRightInd w:val="0"/>
              <w:snapToGrid w:val="0"/>
              <w:jc w:val="center"/>
              <w:rPr>
                <w:b/>
                <w:color w:val="auto"/>
                <w:sz w:val="21"/>
                <w:szCs w:val="21"/>
              </w:rPr>
            </w:pPr>
            <w:r>
              <w:rPr>
                <w:b/>
                <w:color w:val="auto"/>
                <w:sz w:val="21"/>
                <w:szCs w:val="21"/>
              </w:rPr>
              <w:t>采样口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restart"/>
            <w:vAlign w:val="center"/>
          </w:tcPr>
          <w:p>
            <w:pPr>
              <w:adjustRightInd w:val="0"/>
              <w:snapToGrid w:val="0"/>
              <w:jc w:val="center"/>
              <w:rPr>
                <w:color w:val="auto"/>
                <w:sz w:val="21"/>
                <w:szCs w:val="21"/>
              </w:rPr>
            </w:pPr>
            <w:r>
              <w:rPr>
                <w:color w:val="auto"/>
                <w:sz w:val="21"/>
                <w:szCs w:val="21"/>
              </w:rPr>
              <w:t>废气</w:t>
            </w:r>
          </w:p>
        </w:tc>
        <w:tc>
          <w:tcPr>
            <w:tcW w:w="1105" w:type="dxa"/>
            <w:vMerge w:val="restart"/>
            <w:vAlign w:val="center"/>
          </w:tcPr>
          <w:p>
            <w:pPr>
              <w:jc w:val="center"/>
              <w:rPr>
                <w:color w:val="auto"/>
                <w:sz w:val="21"/>
                <w:szCs w:val="21"/>
              </w:rPr>
            </w:pPr>
            <w:r>
              <w:rPr>
                <w:rFonts w:hint="eastAsia"/>
                <w:color w:val="auto"/>
                <w:sz w:val="21"/>
                <w:szCs w:val="21"/>
              </w:rPr>
              <w:t>恶臭</w:t>
            </w:r>
          </w:p>
        </w:tc>
        <w:tc>
          <w:tcPr>
            <w:tcW w:w="2977" w:type="dxa"/>
            <w:vAlign w:val="center"/>
          </w:tcPr>
          <w:p>
            <w:pPr>
              <w:jc w:val="center"/>
              <w:rPr>
                <w:color w:val="auto"/>
                <w:sz w:val="21"/>
                <w:szCs w:val="21"/>
              </w:rPr>
            </w:pPr>
            <w:r>
              <w:rPr>
                <w:rFonts w:hint="eastAsia"/>
                <w:color w:val="auto"/>
                <w:sz w:val="21"/>
                <w:szCs w:val="21"/>
              </w:rPr>
              <w:t>分别在污水预处理单元及污泥脱水机房设置除臭装置，采用化学洗涤+生物滤池工艺</w:t>
            </w:r>
          </w:p>
        </w:tc>
        <w:tc>
          <w:tcPr>
            <w:tcW w:w="3260" w:type="dxa"/>
            <w:vAlign w:val="center"/>
          </w:tcPr>
          <w:p>
            <w:pPr>
              <w:jc w:val="center"/>
              <w:rPr>
                <w:color w:val="auto"/>
                <w:sz w:val="21"/>
                <w:szCs w:val="21"/>
              </w:rPr>
            </w:pPr>
            <w:r>
              <w:rPr>
                <w:rFonts w:hint="eastAsia"/>
                <w:color w:val="auto"/>
                <w:sz w:val="21"/>
                <w:szCs w:val="21"/>
              </w:rPr>
              <w:t>NH</w:t>
            </w:r>
            <w:r>
              <w:rPr>
                <w:rFonts w:hint="eastAsia"/>
                <w:color w:val="auto"/>
                <w:sz w:val="21"/>
                <w:szCs w:val="21"/>
                <w:vertAlign w:val="subscript"/>
              </w:rPr>
              <w:t>3</w:t>
            </w:r>
            <w:r>
              <w:rPr>
                <w:rFonts w:hint="eastAsia"/>
                <w:color w:val="auto"/>
                <w:sz w:val="21"/>
                <w:szCs w:val="21"/>
              </w:rPr>
              <w:t>≤4.9kg/h；H</w:t>
            </w:r>
            <w:r>
              <w:rPr>
                <w:rFonts w:hint="eastAsia"/>
                <w:color w:val="auto"/>
                <w:sz w:val="21"/>
                <w:szCs w:val="21"/>
                <w:vertAlign w:val="subscript"/>
              </w:rPr>
              <w:t>2</w:t>
            </w:r>
            <w:r>
              <w:rPr>
                <w:rFonts w:hint="eastAsia"/>
                <w:color w:val="auto"/>
                <w:sz w:val="21"/>
                <w:szCs w:val="21"/>
              </w:rPr>
              <w:t>S≤0.33kg/h</w:t>
            </w:r>
          </w:p>
        </w:tc>
        <w:tc>
          <w:tcPr>
            <w:tcW w:w="4678" w:type="dxa"/>
            <w:vAlign w:val="center"/>
          </w:tcPr>
          <w:p>
            <w:pPr>
              <w:jc w:val="center"/>
              <w:rPr>
                <w:color w:val="auto"/>
                <w:sz w:val="21"/>
                <w:szCs w:val="21"/>
              </w:rPr>
            </w:pPr>
            <w:r>
              <w:rPr>
                <w:rFonts w:hint="eastAsia"/>
                <w:color w:val="auto"/>
                <w:sz w:val="21"/>
                <w:szCs w:val="21"/>
              </w:rPr>
              <w:t>《恶臭污染物排放标准》（GB 14554-93）表2排放标准限值</w:t>
            </w:r>
          </w:p>
        </w:tc>
        <w:tc>
          <w:tcPr>
            <w:tcW w:w="1701"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废气排放口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pPr>
              <w:adjustRightInd w:val="0"/>
              <w:snapToGrid w:val="0"/>
              <w:jc w:val="center"/>
              <w:rPr>
                <w:color w:val="auto"/>
                <w:sz w:val="21"/>
                <w:szCs w:val="21"/>
              </w:rPr>
            </w:pPr>
          </w:p>
        </w:tc>
        <w:tc>
          <w:tcPr>
            <w:tcW w:w="1105" w:type="dxa"/>
            <w:vMerge w:val="continue"/>
            <w:vAlign w:val="center"/>
          </w:tcPr>
          <w:p>
            <w:pPr>
              <w:jc w:val="center"/>
              <w:rPr>
                <w:color w:val="auto"/>
                <w:sz w:val="21"/>
                <w:szCs w:val="21"/>
              </w:rPr>
            </w:pPr>
          </w:p>
        </w:tc>
        <w:tc>
          <w:tcPr>
            <w:tcW w:w="2977" w:type="dxa"/>
            <w:vAlign w:val="center"/>
          </w:tcPr>
          <w:p>
            <w:pPr>
              <w:jc w:val="center"/>
              <w:rPr>
                <w:color w:val="auto"/>
                <w:sz w:val="21"/>
                <w:szCs w:val="21"/>
              </w:rPr>
            </w:pPr>
            <w:r>
              <w:rPr>
                <w:rFonts w:hint="eastAsia"/>
                <w:color w:val="auto"/>
                <w:sz w:val="21"/>
                <w:szCs w:val="21"/>
              </w:rPr>
              <w:t>加强厂区绿化</w:t>
            </w:r>
          </w:p>
        </w:tc>
        <w:tc>
          <w:tcPr>
            <w:tcW w:w="3260" w:type="dxa"/>
            <w:vAlign w:val="center"/>
          </w:tcPr>
          <w:p>
            <w:pPr>
              <w:jc w:val="center"/>
              <w:rPr>
                <w:color w:val="auto"/>
                <w:sz w:val="21"/>
                <w:szCs w:val="21"/>
              </w:rPr>
            </w:pPr>
            <w:r>
              <w:rPr>
                <w:rFonts w:hint="eastAsia"/>
                <w:color w:val="auto"/>
                <w:sz w:val="21"/>
                <w:szCs w:val="21"/>
              </w:rPr>
              <w:t>NH</w:t>
            </w:r>
            <w:r>
              <w:rPr>
                <w:rFonts w:hint="eastAsia"/>
                <w:color w:val="auto"/>
                <w:sz w:val="21"/>
                <w:szCs w:val="21"/>
                <w:vertAlign w:val="subscript"/>
              </w:rPr>
              <w:t>3</w:t>
            </w:r>
            <w:r>
              <w:rPr>
                <w:rFonts w:hint="eastAsia"/>
                <w:color w:val="auto"/>
                <w:sz w:val="21"/>
                <w:szCs w:val="21"/>
              </w:rPr>
              <w:t>≤1.5mg/m</w:t>
            </w:r>
            <w:r>
              <w:rPr>
                <w:rFonts w:hint="eastAsia"/>
                <w:color w:val="auto"/>
                <w:sz w:val="21"/>
                <w:szCs w:val="21"/>
                <w:vertAlign w:val="superscript"/>
              </w:rPr>
              <w:t>3</w:t>
            </w:r>
            <w:r>
              <w:rPr>
                <w:rFonts w:hint="eastAsia"/>
                <w:color w:val="auto"/>
                <w:sz w:val="21"/>
                <w:szCs w:val="21"/>
              </w:rPr>
              <w:t>；H</w:t>
            </w:r>
            <w:r>
              <w:rPr>
                <w:rFonts w:hint="eastAsia"/>
                <w:color w:val="auto"/>
                <w:sz w:val="21"/>
                <w:szCs w:val="21"/>
                <w:vertAlign w:val="subscript"/>
              </w:rPr>
              <w:t>2</w:t>
            </w:r>
            <w:r>
              <w:rPr>
                <w:rFonts w:hint="eastAsia"/>
                <w:color w:val="auto"/>
                <w:sz w:val="21"/>
                <w:szCs w:val="21"/>
              </w:rPr>
              <w:t>S≤0.06mg/m</w:t>
            </w:r>
            <w:r>
              <w:rPr>
                <w:rFonts w:hint="eastAsia"/>
                <w:color w:val="auto"/>
                <w:sz w:val="21"/>
                <w:szCs w:val="21"/>
                <w:vertAlign w:val="superscript"/>
              </w:rPr>
              <w:t>3</w:t>
            </w:r>
          </w:p>
        </w:tc>
        <w:tc>
          <w:tcPr>
            <w:tcW w:w="4678" w:type="dxa"/>
            <w:vAlign w:val="center"/>
          </w:tcPr>
          <w:p>
            <w:pPr>
              <w:jc w:val="center"/>
              <w:rPr>
                <w:color w:val="auto"/>
                <w:sz w:val="21"/>
                <w:szCs w:val="21"/>
              </w:rPr>
            </w:pPr>
            <w:r>
              <w:rPr>
                <w:rFonts w:hint="eastAsia"/>
                <w:color w:val="auto"/>
                <w:sz w:val="21"/>
                <w:szCs w:val="21"/>
              </w:rPr>
              <w:t>《城镇污水处理厂污染排放标准》（GB18918-2002）及其修改单二级标准限值</w:t>
            </w:r>
          </w:p>
        </w:tc>
        <w:tc>
          <w:tcPr>
            <w:tcW w:w="1701"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周界外10m范围内浓度最高点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1" w:type="dxa"/>
            <w:vMerge w:val="continue"/>
            <w:vAlign w:val="center"/>
          </w:tcPr>
          <w:p>
            <w:pPr>
              <w:adjustRightInd w:val="0"/>
              <w:snapToGrid w:val="0"/>
              <w:jc w:val="center"/>
              <w:rPr>
                <w:color w:val="auto"/>
                <w:sz w:val="21"/>
                <w:szCs w:val="21"/>
              </w:rPr>
            </w:pPr>
          </w:p>
        </w:tc>
        <w:tc>
          <w:tcPr>
            <w:tcW w:w="1105" w:type="dxa"/>
            <w:vAlign w:val="center"/>
          </w:tcPr>
          <w:p>
            <w:pPr>
              <w:jc w:val="center"/>
              <w:rPr>
                <w:color w:val="auto"/>
                <w:sz w:val="21"/>
                <w:szCs w:val="21"/>
              </w:rPr>
            </w:pPr>
            <w:r>
              <w:rPr>
                <w:rFonts w:hint="eastAsia"/>
                <w:color w:val="auto"/>
                <w:sz w:val="21"/>
                <w:szCs w:val="21"/>
              </w:rPr>
              <w:t>油烟废气</w:t>
            </w:r>
          </w:p>
        </w:tc>
        <w:tc>
          <w:tcPr>
            <w:tcW w:w="2977" w:type="dxa"/>
            <w:vAlign w:val="center"/>
          </w:tcPr>
          <w:p>
            <w:pPr>
              <w:jc w:val="center"/>
              <w:rPr>
                <w:color w:val="auto"/>
                <w:sz w:val="21"/>
                <w:szCs w:val="21"/>
              </w:rPr>
            </w:pPr>
            <w:r>
              <w:rPr>
                <w:rFonts w:hint="eastAsia"/>
                <w:color w:val="auto"/>
                <w:sz w:val="21"/>
                <w:szCs w:val="21"/>
              </w:rPr>
              <w:t>经油烟净化装置处理后，由专用烟道排放</w:t>
            </w:r>
          </w:p>
        </w:tc>
        <w:tc>
          <w:tcPr>
            <w:tcW w:w="3260" w:type="dxa"/>
            <w:vAlign w:val="center"/>
          </w:tcPr>
          <w:p>
            <w:pPr>
              <w:jc w:val="center"/>
              <w:rPr>
                <w:color w:val="auto"/>
                <w:sz w:val="21"/>
                <w:szCs w:val="21"/>
              </w:rPr>
            </w:pPr>
            <w:r>
              <w:rPr>
                <w:rFonts w:hint="eastAsia"/>
                <w:color w:val="auto"/>
                <w:sz w:val="21"/>
                <w:szCs w:val="21"/>
              </w:rPr>
              <w:t>排放浓度≤2.0mg/m</w:t>
            </w:r>
            <w:r>
              <w:rPr>
                <w:rFonts w:hint="eastAsia"/>
                <w:color w:val="auto"/>
                <w:sz w:val="21"/>
                <w:szCs w:val="21"/>
                <w:vertAlign w:val="superscript"/>
              </w:rPr>
              <w:t>3</w:t>
            </w:r>
            <w:r>
              <w:rPr>
                <w:rFonts w:hint="eastAsia"/>
                <w:color w:val="auto"/>
                <w:sz w:val="21"/>
                <w:szCs w:val="21"/>
              </w:rPr>
              <w:t>，去除率不低于60%</w:t>
            </w:r>
          </w:p>
        </w:tc>
        <w:tc>
          <w:tcPr>
            <w:tcW w:w="4678" w:type="dxa"/>
            <w:vAlign w:val="center"/>
          </w:tcPr>
          <w:p>
            <w:pPr>
              <w:jc w:val="center"/>
              <w:rPr>
                <w:color w:val="auto"/>
                <w:sz w:val="21"/>
                <w:szCs w:val="21"/>
              </w:rPr>
            </w:pPr>
            <w:r>
              <w:rPr>
                <w:rFonts w:hint="eastAsia"/>
                <w:color w:val="auto"/>
                <w:sz w:val="21"/>
                <w:szCs w:val="21"/>
              </w:rPr>
              <w:t>《饮食业油烟排放标准（试行）》（GB18483—2001）的小型项目标准</w:t>
            </w:r>
          </w:p>
        </w:tc>
        <w:tc>
          <w:tcPr>
            <w:tcW w:w="1701" w:type="dxa"/>
            <w:vAlign w:val="center"/>
          </w:tcPr>
          <w:p>
            <w:pPr>
              <w:pStyle w:val="49"/>
              <w:spacing w:line="240" w:lineRule="auto"/>
              <w:rPr>
                <w:rFonts w:ascii="Times New Roman" w:hAnsi="Times New Roman" w:eastAsia="宋体"/>
                <w:color w:val="auto"/>
                <w:sz w:val="21"/>
                <w:szCs w:val="21"/>
              </w:rPr>
            </w:pPr>
            <w:r>
              <w:rPr>
                <w:rFonts w:hint="eastAsia" w:ascii="Times New Roman" w:hAnsi="Times New Roman" w:eastAsia="宋体"/>
                <w:color w:val="auto"/>
                <w:sz w:val="21"/>
                <w:szCs w:val="21"/>
              </w:rPr>
              <w:t>油烟排放口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421" w:type="dxa"/>
            <w:vMerge w:val="restart"/>
            <w:vAlign w:val="center"/>
          </w:tcPr>
          <w:p>
            <w:pPr>
              <w:adjustRightInd w:val="0"/>
              <w:snapToGrid w:val="0"/>
              <w:jc w:val="center"/>
              <w:rPr>
                <w:color w:val="auto"/>
                <w:sz w:val="21"/>
                <w:szCs w:val="21"/>
              </w:rPr>
            </w:pPr>
            <w:r>
              <w:rPr>
                <w:color w:val="auto"/>
                <w:sz w:val="21"/>
                <w:szCs w:val="21"/>
              </w:rPr>
              <w:t>废水</w:t>
            </w:r>
          </w:p>
        </w:tc>
        <w:tc>
          <w:tcPr>
            <w:tcW w:w="1105" w:type="dxa"/>
            <w:vMerge w:val="restart"/>
            <w:vAlign w:val="center"/>
          </w:tcPr>
          <w:p>
            <w:pPr>
              <w:pStyle w:val="71"/>
              <w:rPr>
                <w:color w:val="auto"/>
                <w:szCs w:val="21"/>
              </w:rPr>
            </w:pPr>
            <w:r>
              <w:rPr>
                <w:rFonts w:hint="eastAsia"/>
                <w:color w:val="auto"/>
                <w:szCs w:val="21"/>
              </w:rPr>
              <w:t>生活污水、食堂废水、生产废水、外接污水</w:t>
            </w:r>
          </w:p>
        </w:tc>
        <w:tc>
          <w:tcPr>
            <w:tcW w:w="2977" w:type="dxa"/>
            <w:vMerge w:val="restart"/>
            <w:vAlign w:val="center"/>
          </w:tcPr>
          <w:p>
            <w:pPr>
              <w:pStyle w:val="71"/>
              <w:rPr>
                <w:color w:val="auto"/>
                <w:szCs w:val="21"/>
              </w:rPr>
            </w:pPr>
            <w:r>
              <w:rPr>
                <w:rFonts w:hint="eastAsia"/>
                <w:color w:val="auto"/>
                <w:szCs w:val="21"/>
              </w:rPr>
              <w:t>经收集后由污水处理系统处理，处理达标的尾水部分回用于水质净化厂自用、园区内城市绿化、道路清扫和冲厕，其余均排入大嵩河</w:t>
            </w:r>
          </w:p>
        </w:tc>
        <w:tc>
          <w:tcPr>
            <w:tcW w:w="3260" w:type="dxa"/>
            <w:vAlign w:val="center"/>
          </w:tcPr>
          <w:p>
            <w:pPr>
              <w:pStyle w:val="71"/>
              <w:rPr>
                <w:color w:val="auto"/>
                <w:szCs w:val="21"/>
              </w:rPr>
            </w:pPr>
            <w:r>
              <w:rPr>
                <w:rFonts w:hint="eastAsia"/>
                <w:color w:val="auto"/>
                <w:szCs w:val="21"/>
              </w:rPr>
              <w:t>COD</w:t>
            </w:r>
            <w:r>
              <w:rPr>
                <w:rFonts w:hint="eastAsia"/>
                <w:color w:val="auto"/>
                <w:szCs w:val="21"/>
                <w:vertAlign w:val="subscript"/>
              </w:rPr>
              <w:t>Cr</w:t>
            </w:r>
            <w:r>
              <w:rPr>
                <w:rFonts w:hint="eastAsia"/>
                <w:color w:val="auto"/>
                <w:szCs w:val="21"/>
              </w:rPr>
              <w:t>≤30mg/L；BOD</w:t>
            </w:r>
            <w:r>
              <w:rPr>
                <w:rFonts w:hint="eastAsia"/>
                <w:color w:val="auto"/>
                <w:szCs w:val="21"/>
                <w:vertAlign w:val="subscript"/>
              </w:rPr>
              <w:t>5</w:t>
            </w:r>
            <w:r>
              <w:rPr>
                <w:rFonts w:hint="eastAsia"/>
                <w:color w:val="auto"/>
                <w:szCs w:val="21"/>
              </w:rPr>
              <w:t>≤6mg/L；TN≤10mg/L；NH</w:t>
            </w:r>
            <w:r>
              <w:rPr>
                <w:rFonts w:hint="eastAsia"/>
                <w:color w:val="auto"/>
                <w:szCs w:val="21"/>
                <w:vertAlign w:val="subscript"/>
              </w:rPr>
              <w:t>3</w:t>
            </w:r>
            <w:r>
              <w:rPr>
                <w:rFonts w:hint="eastAsia"/>
                <w:color w:val="auto"/>
                <w:szCs w:val="21"/>
              </w:rPr>
              <w:t>-N≤1.5mg/L；TP≤0.3mg/L；粪大肠菌群数≤1000个/L；SS≤10mg/L</w:t>
            </w:r>
          </w:p>
        </w:tc>
        <w:tc>
          <w:tcPr>
            <w:tcW w:w="4678" w:type="dxa"/>
            <w:vAlign w:val="center"/>
          </w:tcPr>
          <w:p>
            <w:pPr>
              <w:pStyle w:val="71"/>
              <w:rPr>
                <w:color w:val="auto"/>
                <w:szCs w:val="21"/>
              </w:rPr>
            </w:pPr>
            <w:r>
              <w:rPr>
                <w:rFonts w:hint="eastAsia"/>
                <w:color w:val="auto"/>
                <w:szCs w:val="21"/>
              </w:rPr>
              <w:t>《地表水环境质量标准》（GB3838-2002）准IV类标准（即SS、粪大肠菌群数达到《城镇污水处理厂污染物排放标准》（GB18918-2002）中的一级A出水标准，其它主要污染指标达到地表水Ⅳ类标准，TN放宽至10mg/L）</w:t>
            </w:r>
          </w:p>
        </w:tc>
        <w:tc>
          <w:tcPr>
            <w:tcW w:w="1701" w:type="dxa"/>
            <w:vAlign w:val="center"/>
          </w:tcPr>
          <w:p>
            <w:pPr>
              <w:pStyle w:val="71"/>
              <w:rPr>
                <w:color w:val="auto"/>
                <w:szCs w:val="21"/>
              </w:rPr>
            </w:pPr>
            <w:r>
              <w:rPr>
                <w:color w:val="auto"/>
                <w:szCs w:val="21"/>
              </w:rPr>
              <w:t>污水排放口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421" w:type="dxa"/>
            <w:vMerge w:val="continue"/>
            <w:vAlign w:val="center"/>
          </w:tcPr>
          <w:p>
            <w:pPr>
              <w:adjustRightInd w:val="0"/>
              <w:snapToGrid w:val="0"/>
              <w:jc w:val="center"/>
              <w:rPr>
                <w:color w:val="auto"/>
                <w:sz w:val="21"/>
                <w:szCs w:val="21"/>
              </w:rPr>
            </w:pPr>
          </w:p>
        </w:tc>
        <w:tc>
          <w:tcPr>
            <w:tcW w:w="1105" w:type="dxa"/>
            <w:vMerge w:val="continue"/>
            <w:vAlign w:val="center"/>
          </w:tcPr>
          <w:p>
            <w:pPr>
              <w:pStyle w:val="71"/>
              <w:rPr>
                <w:color w:val="auto"/>
                <w:szCs w:val="21"/>
              </w:rPr>
            </w:pPr>
          </w:p>
        </w:tc>
        <w:tc>
          <w:tcPr>
            <w:tcW w:w="2977" w:type="dxa"/>
            <w:vMerge w:val="continue"/>
            <w:vAlign w:val="center"/>
          </w:tcPr>
          <w:p>
            <w:pPr>
              <w:pStyle w:val="71"/>
              <w:rPr>
                <w:color w:val="auto"/>
                <w:szCs w:val="21"/>
              </w:rPr>
            </w:pPr>
          </w:p>
        </w:tc>
        <w:tc>
          <w:tcPr>
            <w:tcW w:w="3260" w:type="dxa"/>
            <w:vAlign w:val="center"/>
          </w:tcPr>
          <w:p>
            <w:pPr>
              <w:pStyle w:val="71"/>
              <w:rPr>
                <w:color w:val="auto"/>
                <w:szCs w:val="21"/>
              </w:rPr>
            </w:pPr>
            <w:r>
              <w:rPr>
                <w:rFonts w:hint="eastAsia"/>
                <w:color w:val="auto"/>
                <w:szCs w:val="21"/>
              </w:rPr>
              <w:t>色度≤15度；浊度≤5NTU；BOD</w:t>
            </w:r>
            <w:r>
              <w:rPr>
                <w:rFonts w:hint="eastAsia"/>
                <w:color w:val="auto"/>
                <w:szCs w:val="21"/>
                <w:vertAlign w:val="subscript"/>
              </w:rPr>
              <w:t>5</w:t>
            </w:r>
            <w:r>
              <w:rPr>
                <w:rFonts w:hint="eastAsia"/>
                <w:color w:val="auto"/>
                <w:szCs w:val="21"/>
              </w:rPr>
              <w:t>≤10mg/L ；NH</w:t>
            </w:r>
            <w:r>
              <w:rPr>
                <w:rFonts w:hint="eastAsia"/>
                <w:color w:val="auto"/>
                <w:szCs w:val="21"/>
                <w:vertAlign w:val="subscript"/>
              </w:rPr>
              <w:t>3</w:t>
            </w:r>
            <w:r>
              <w:rPr>
                <w:rFonts w:hint="eastAsia"/>
                <w:color w:val="auto"/>
                <w:szCs w:val="21"/>
              </w:rPr>
              <w:t>-N≤5mg/L；阴离子表面活性剂≤0.5mg/L；铁不应检出；锰不应检出；溶解性总固体 ≤1000mg/L；溶解氧≥2.0mg/L；总氯≥1.0（出厂），0.2（管网末端）mg/L；大肠埃希氏菌不应检出</w:t>
            </w:r>
          </w:p>
        </w:tc>
        <w:tc>
          <w:tcPr>
            <w:tcW w:w="4678" w:type="dxa"/>
            <w:vAlign w:val="center"/>
          </w:tcPr>
          <w:p>
            <w:pPr>
              <w:pStyle w:val="71"/>
              <w:rPr>
                <w:color w:val="auto"/>
                <w:szCs w:val="21"/>
              </w:rPr>
            </w:pPr>
            <w:r>
              <w:rPr>
                <w:rFonts w:hint="eastAsia"/>
                <w:color w:val="auto"/>
                <w:szCs w:val="21"/>
              </w:rPr>
              <w:t>《城市污水再生利用 城市杂用水水质标准》（GB/T18920-2020）</w:t>
            </w:r>
          </w:p>
        </w:tc>
        <w:tc>
          <w:tcPr>
            <w:tcW w:w="1701" w:type="dxa"/>
            <w:vAlign w:val="center"/>
          </w:tcPr>
          <w:p>
            <w:pPr>
              <w:pStyle w:val="71"/>
              <w:rPr>
                <w:color w:val="auto"/>
                <w:szCs w:val="21"/>
              </w:rPr>
            </w:pPr>
            <w:r>
              <w:rPr>
                <w:rFonts w:hint="eastAsia"/>
                <w:color w:val="auto"/>
                <w:szCs w:val="21"/>
              </w:rPr>
              <w:t>回用水排放口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pPr>
              <w:pStyle w:val="71"/>
              <w:rPr>
                <w:color w:val="auto"/>
                <w:szCs w:val="21"/>
              </w:rPr>
            </w:pPr>
            <w:r>
              <w:rPr>
                <w:color w:val="auto"/>
                <w:szCs w:val="21"/>
              </w:rPr>
              <w:t>噪声</w:t>
            </w:r>
          </w:p>
        </w:tc>
        <w:tc>
          <w:tcPr>
            <w:tcW w:w="1105" w:type="dxa"/>
            <w:vAlign w:val="center"/>
          </w:tcPr>
          <w:p>
            <w:pPr>
              <w:pStyle w:val="71"/>
              <w:rPr>
                <w:color w:val="auto"/>
                <w:szCs w:val="21"/>
              </w:rPr>
            </w:pPr>
            <w:r>
              <w:rPr>
                <w:color w:val="auto"/>
                <w:szCs w:val="21"/>
              </w:rPr>
              <w:t>设备噪声</w:t>
            </w:r>
          </w:p>
        </w:tc>
        <w:tc>
          <w:tcPr>
            <w:tcW w:w="2977" w:type="dxa"/>
            <w:vAlign w:val="center"/>
          </w:tcPr>
          <w:p>
            <w:pPr>
              <w:pStyle w:val="71"/>
              <w:rPr>
                <w:color w:val="auto"/>
                <w:szCs w:val="21"/>
              </w:rPr>
            </w:pPr>
            <w:r>
              <w:rPr>
                <w:color w:val="auto"/>
                <w:szCs w:val="21"/>
              </w:rPr>
              <w:t>隔声、减振等综合治理</w:t>
            </w:r>
          </w:p>
        </w:tc>
        <w:tc>
          <w:tcPr>
            <w:tcW w:w="3260" w:type="dxa"/>
            <w:vAlign w:val="center"/>
          </w:tcPr>
          <w:p>
            <w:pPr>
              <w:pStyle w:val="71"/>
              <w:rPr>
                <w:color w:val="auto"/>
                <w:szCs w:val="21"/>
              </w:rPr>
            </w:pPr>
            <w:r>
              <w:rPr>
                <w:color w:val="auto"/>
                <w:szCs w:val="21"/>
              </w:rPr>
              <w:t>昼间噪声值≤6</w:t>
            </w:r>
            <w:r>
              <w:rPr>
                <w:rFonts w:hint="eastAsia"/>
                <w:color w:val="auto"/>
                <w:szCs w:val="21"/>
              </w:rPr>
              <w:t>0</w:t>
            </w:r>
            <w:r>
              <w:rPr>
                <w:color w:val="auto"/>
                <w:szCs w:val="21"/>
              </w:rPr>
              <w:t>dB（A），夜间噪声值≤5</w:t>
            </w:r>
            <w:r>
              <w:rPr>
                <w:rFonts w:hint="eastAsia"/>
                <w:color w:val="auto"/>
                <w:szCs w:val="21"/>
              </w:rPr>
              <w:t>0</w:t>
            </w:r>
            <w:r>
              <w:rPr>
                <w:color w:val="auto"/>
                <w:szCs w:val="21"/>
              </w:rPr>
              <w:t>dB（A），</w:t>
            </w:r>
          </w:p>
        </w:tc>
        <w:tc>
          <w:tcPr>
            <w:tcW w:w="4678" w:type="dxa"/>
            <w:vAlign w:val="center"/>
          </w:tcPr>
          <w:p>
            <w:pPr>
              <w:pStyle w:val="71"/>
              <w:rPr>
                <w:color w:val="auto"/>
                <w:szCs w:val="21"/>
              </w:rPr>
            </w:pPr>
            <w:r>
              <w:rPr>
                <w:color w:val="auto"/>
                <w:szCs w:val="21"/>
              </w:rPr>
              <w:t>《工业企业厂界环境噪声排放标准》（GB12348-2008）</w:t>
            </w:r>
            <w:r>
              <w:rPr>
                <w:rFonts w:hint="eastAsia"/>
                <w:color w:val="auto"/>
                <w:szCs w:val="21"/>
              </w:rPr>
              <w:t>2</w:t>
            </w:r>
            <w:r>
              <w:rPr>
                <w:color w:val="auto"/>
                <w:szCs w:val="21"/>
              </w:rPr>
              <w:t>类标准</w:t>
            </w:r>
          </w:p>
        </w:tc>
        <w:tc>
          <w:tcPr>
            <w:tcW w:w="1701" w:type="dxa"/>
            <w:vAlign w:val="center"/>
          </w:tcPr>
          <w:p>
            <w:pPr>
              <w:pStyle w:val="71"/>
              <w:rPr>
                <w:color w:val="auto"/>
                <w:szCs w:val="21"/>
              </w:rPr>
            </w:pPr>
            <w:r>
              <w:rPr>
                <w:color w:val="auto"/>
                <w:szCs w:val="21"/>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restart"/>
            <w:vAlign w:val="center"/>
          </w:tcPr>
          <w:p>
            <w:pPr>
              <w:pStyle w:val="71"/>
              <w:rPr>
                <w:color w:val="auto"/>
                <w:szCs w:val="21"/>
              </w:rPr>
            </w:pPr>
            <w:r>
              <w:rPr>
                <w:color w:val="auto"/>
                <w:szCs w:val="21"/>
              </w:rPr>
              <w:t>固体废物</w:t>
            </w:r>
          </w:p>
        </w:tc>
        <w:tc>
          <w:tcPr>
            <w:tcW w:w="1105" w:type="dxa"/>
            <w:vAlign w:val="center"/>
          </w:tcPr>
          <w:p>
            <w:pPr>
              <w:pStyle w:val="71"/>
              <w:rPr>
                <w:color w:val="auto"/>
                <w:szCs w:val="21"/>
              </w:rPr>
            </w:pPr>
            <w:r>
              <w:rPr>
                <w:color w:val="auto"/>
                <w:szCs w:val="21"/>
              </w:rPr>
              <w:t>生活垃圾</w:t>
            </w:r>
          </w:p>
        </w:tc>
        <w:tc>
          <w:tcPr>
            <w:tcW w:w="2977" w:type="dxa"/>
            <w:vAlign w:val="center"/>
          </w:tcPr>
          <w:p>
            <w:pPr>
              <w:pStyle w:val="71"/>
              <w:rPr>
                <w:color w:val="auto"/>
                <w:szCs w:val="21"/>
              </w:rPr>
            </w:pPr>
            <w:r>
              <w:rPr>
                <w:color w:val="auto"/>
                <w:szCs w:val="21"/>
              </w:rPr>
              <w:t>环卫部门定期统一清运</w:t>
            </w:r>
          </w:p>
        </w:tc>
        <w:tc>
          <w:tcPr>
            <w:tcW w:w="3260" w:type="dxa"/>
            <w:vAlign w:val="center"/>
          </w:tcPr>
          <w:p>
            <w:pPr>
              <w:pStyle w:val="71"/>
              <w:rPr>
                <w:color w:val="auto"/>
                <w:szCs w:val="21"/>
              </w:rPr>
            </w:pPr>
            <w:r>
              <w:rPr>
                <w:color w:val="auto"/>
                <w:szCs w:val="21"/>
              </w:rPr>
              <w:t>定点收集，日产日清</w:t>
            </w:r>
          </w:p>
        </w:tc>
        <w:tc>
          <w:tcPr>
            <w:tcW w:w="4678" w:type="dxa"/>
            <w:vAlign w:val="center"/>
          </w:tcPr>
          <w:p>
            <w:pPr>
              <w:pStyle w:val="71"/>
              <w:rPr>
                <w:color w:val="auto"/>
                <w:szCs w:val="21"/>
              </w:rPr>
            </w:pPr>
            <w:r>
              <w:rPr>
                <w:color w:val="auto"/>
                <w:szCs w:val="21"/>
              </w:rPr>
              <w:t>委外处理的相关证明文件</w:t>
            </w:r>
          </w:p>
        </w:tc>
        <w:tc>
          <w:tcPr>
            <w:tcW w:w="1701" w:type="dxa"/>
            <w:vMerge w:val="restart"/>
            <w:vAlign w:val="center"/>
          </w:tcPr>
          <w:p>
            <w:pPr>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pPr>
              <w:pStyle w:val="71"/>
              <w:rPr>
                <w:color w:val="auto"/>
                <w:szCs w:val="21"/>
              </w:rPr>
            </w:pPr>
          </w:p>
        </w:tc>
        <w:tc>
          <w:tcPr>
            <w:tcW w:w="1105" w:type="dxa"/>
            <w:vAlign w:val="center"/>
          </w:tcPr>
          <w:p>
            <w:pPr>
              <w:pStyle w:val="71"/>
              <w:rPr>
                <w:color w:val="auto"/>
                <w:szCs w:val="21"/>
              </w:rPr>
            </w:pPr>
            <w:r>
              <w:rPr>
                <w:rFonts w:hint="eastAsia"/>
                <w:color w:val="auto"/>
                <w:szCs w:val="21"/>
              </w:rPr>
              <w:t>格栅</w:t>
            </w:r>
          </w:p>
        </w:tc>
        <w:tc>
          <w:tcPr>
            <w:tcW w:w="2977" w:type="dxa"/>
            <w:vAlign w:val="center"/>
          </w:tcPr>
          <w:p>
            <w:pPr>
              <w:pStyle w:val="71"/>
              <w:rPr>
                <w:color w:val="auto"/>
                <w:szCs w:val="21"/>
              </w:rPr>
            </w:pPr>
            <w:r>
              <w:rPr>
                <w:rFonts w:hint="eastAsia"/>
                <w:color w:val="auto"/>
                <w:szCs w:val="21"/>
              </w:rPr>
              <w:t>经压榨打包后使用渣斗储存，交由环卫部门处理</w:t>
            </w:r>
          </w:p>
        </w:tc>
        <w:tc>
          <w:tcPr>
            <w:tcW w:w="3260" w:type="dxa"/>
            <w:vAlign w:val="center"/>
          </w:tcPr>
          <w:p>
            <w:pPr>
              <w:pStyle w:val="71"/>
              <w:rPr>
                <w:color w:val="auto"/>
                <w:szCs w:val="21"/>
              </w:rPr>
            </w:pPr>
            <w:r>
              <w:rPr>
                <w:color w:val="auto"/>
                <w:szCs w:val="21"/>
              </w:rPr>
              <w:t>不外排</w:t>
            </w:r>
          </w:p>
        </w:tc>
        <w:tc>
          <w:tcPr>
            <w:tcW w:w="4678" w:type="dxa"/>
            <w:vAlign w:val="center"/>
          </w:tcPr>
          <w:p>
            <w:pPr>
              <w:pStyle w:val="71"/>
              <w:rPr>
                <w:color w:val="auto"/>
                <w:szCs w:val="21"/>
              </w:rPr>
            </w:pPr>
            <w:r>
              <w:rPr>
                <w:color w:val="auto"/>
                <w:szCs w:val="21"/>
              </w:rPr>
              <w:t>委外处理的相关证明文件</w:t>
            </w:r>
            <w:r>
              <w:rPr>
                <w:rFonts w:hint="eastAsia"/>
                <w:color w:val="auto"/>
                <w:szCs w:val="21"/>
              </w:rPr>
              <w:t>；</w:t>
            </w:r>
            <w:r>
              <w:rPr>
                <w:color w:val="auto"/>
                <w:szCs w:val="21"/>
              </w:rPr>
              <w:t>《一般工业固体废物贮存、处置场污染控制标准》（GB 18599-2001）及其2013年修改单</w:t>
            </w:r>
            <w:r>
              <w:rPr>
                <w:rFonts w:hint="eastAsia"/>
                <w:color w:val="auto"/>
                <w:szCs w:val="21"/>
              </w:rPr>
              <w:t>；《生活垃圾填埋场污染控制标准》（GB16889-2008）含水率及填埋要求</w:t>
            </w:r>
          </w:p>
        </w:tc>
        <w:tc>
          <w:tcPr>
            <w:tcW w:w="1701"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421" w:type="dxa"/>
            <w:vMerge w:val="continue"/>
            <w:vAlign w:val="center"/>
          </w:tcPr>
          <w:p>
            <w:pPr>
              <w:pStyle w:val="71"/>
              <w:rPr>
                <w:color w:val="auto"/>
                <w:szCs w:val="21"/>
              </w:rPr>
            </w:pPr>
          </w:p>
        </w:tc>
        <w:tc>
          <w:tcPr>
            <w:tcW w:w="1105" w:type="dxa"/>
            <w:vAlign w:val="center"/>
          </w:tcPr>
          <w:p>
            <w:pPr>
              <w:pStyle w:val="71"/>
              <w:rPr>
                <w:color w:val="auto"/>
                <w:szCs w:val="21"/>
              </w:rPr>
            </w:pPr>
            <w:r>
              <w:rPr>
                <w:rFonts w:hint="eastAsia"/>
                <w:color w:val="auto"/>
                <w:szCs w:val="21"/>
              </w:rPr>
              <w:t>污泥</w:t>
            </w:r>
          </w:p>
        </w:tc>
        <w:tc>
          <w:tcPr>
            <w:tcW w:w="2977" w:type="dxa"/>
            <w:vAlign w:val="center"/>
          </w:tcPr>
          <w:p>
            <w:pPr>
              <w:pStyle w:val="71"/>
              <w:rPr>
                <w:color w:val="auto"/>
                <w:szCs w:val="21"/>
              </w:rPr>
            </w:pPr>
            <w:r>
              <w:rPr>
                <w:rFonts w:hint="eastAsia"/>
                <w:color w:val="auto"/>
                <w:szCs w:val="21"/>
              </w:rPr>
              <w:t>经过鉴定后，若为危险废物需交有资质的单位进行处理；若为一般固废，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tc>
        <w:tc>
          <w:tcPr>
            <w:tcW w:w="3260" w:type="dxa"/>
            <w:vAlign w:val="center"/>
          </w:tcPr>
          <w:p>
            <w:pPr>
              <w:pStyle w:val="71"/>
              <w:rPr>
                <w:color w:val="auto"/>
                <w:szCs w:val="21"/>
              </w:rPr>
            </w:pPr>
            <w:r>
              <w:rPr>
                <w:rFonts w:hint="eastAsia"/>
                <w:color w:val="auto"/>
                <w:szCs w:val="21"/>
              </w:rPr>
              <w:t>妥善处理</w:t>
            </w:r>
          </w:p>
        </w:tc>
        <w:tc>
          <w:tcPr>
            <w:tcW w:w="4678" w:type="dxa"/>
            <w:vAlign w:val="center"/>
          </w:tcPr>
          <w:p>
            <w:pPr>
              <w:pStyle w:val="71"/>
              <w:rPr>
                <w:color w:val="auto"/>
                <w:szCs w:val="21"/>
              </w:rPr>
            </w:pPr>
            <w:r>
              <w:rPr>
                <w:color w:val="auto"/>
                <w:szCs w:val="21"/>
              </w:rPr>
              <w:t>委外处理的相关证明文件</w:t>
            </w:r>
            <w:r>
              <w:rPr>
                <w:rFonts w:hint="eastAsia"/>
                <w:color w:val="auto"/>
                <w:szCs w:val="21"/>
              </w:rPr>
              <w:t>；《城镇污水处理厂污染物排放标准》（GB18918-2002）表5污泥稳定化控制标准、《城镇污水处理厂污染物排放标准》（GB18918-2002）、《危险废物贮存污染控制标准》（GB18597-2001）及2013 年修改单或《城镇污水处理厂污泥处置制砖用泥质》（GB/T25031-2010）或《生活垃圾填埋场污染控制标准》（GB16889-2008）含水率及填埋要求</w:t>
            </w:r>
          </w:p>
        </w:tc>
        <w:tc>
          <w:tcPr>
            <w:tcW w:w="1701" w:type="dxa"/>
            <w:vMerge w:val="continue"/>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21" w:type="dxa"/>
            <w:vMerge w:val="continue"/>
            <w:vAlign w:val="center"/>
          </w:tcPr>
          <w:p>
            <w:pPr>
              <w:pStyle w:val="71"/>
              <w:rPr>
                <w:color w:val="auto"/>
                <w:szCs w:val="21"/>
              </w:rPr>
            </w:pPr>
          </w:p>
        </w:tc>
        <w:tc>
          <w:tcPr>
            <w:tcW w:w="1105" w:type="dxa"/>
            <w:vAlign w:val="center"/>
          </w:tcPr>
          <w:p>
            <w:pPr>
              <w:pStyle w:val="71"/>
              <w:rPr>
                <w:color w:val="auto"/>
                <w:szCs w:val="21"/>
              </w:rPr>
            </w:pPr>
            <w:r>
              <w:rPr>
                <w:rFonts w:hint="eastAsia"/>
                <w:color w:val="auto"/>
                <w:szCs w:val="21"/>
              </w:rPr>
              <w:t>废化学试剂</w:t>
            </w:r>
          </w:p>
        </w:tc>
        <w:tc>
          <w:tcPr>
            <w:tcW w:w="2977" w:type="dxa"/>
            <w:vAlign w:val="center"/>
          </w:tcPr>
          <w:p>
            <w:pPr>
              <w:pStyle w:val="71"/>
              <w:rPr>
                <w:color w:val="auto"/>
                <w:szCs w:val="21"/>
              </w:rPr>
            </w:pPr>
            <w:r>
              <w:rPr>
                <w:color w:val="auto"/>
                <w:szCs w:val="21"/>
              </w:rPr>
              <w:t>经收集后暂存于危废间，定期交由资质单位进行处理</w:t>
            </w:r>
          </w:p>
        </w:tc>
        <w:tc>
          <w:tcPr>
            <w:tcW w:w="3260" w:type="dxa"/>
            <w:vAlign w:val="center"/>
          </w:tcPr>
          <w:p>
            <w:pPr>
              <w:pStyle w:val="71"/>
              <w:rPr>
                <w:color w:val="auto"/>
                <w:szCs w:val="21"/>
              </w:rPr>
            </w:pPr>
            <w:r>
              <w:rPr>
                <w:color w:val="auto"/>
                <w:szCs w:val="21"/>
              </w:rPr>
              <w:t>专用贮存场及其防渗、防漏情况；危废交由取得危险废物经营许可证的单位进行处置</w:t>
            </w:r>
          </w:p>
        </w:tc>
        <w:tc>
          <w:tcPr>
            <w:tcW w:w="4678" w:type="dxa"/>
            <w:vAlign w:val="center"/>
          </w:tcPr>
          <w:p>
            <w:pPr>
              <w:pStyle w:val="71"/>
              <w:rPr>
                <w:color w:val="auto"/>
                <w:szCs w:val="21"/>
              </w:rPr>
            </w:pPr>
            <w:r>
              <w:rPr>
                <w:color w:val="auto"/>
                <w:szCs w:val="21"/>
              </w:rPr>
              <w:t>委外处理的相关证明文件；《危险废物贮存污染控制标准》（GB 18597-2001）及其2013年修改单</w:t>
            </w:r>
          </w:p>
        </w:tc>
        <w:tc>
          <w:tcPr>
            <w:tcW w:w="1701" w:type="dxa"/>
            <w:vMerge w:val="continue"/>
            <w:vAlign w:val="center"/>
          </w:tcPr>
          <w:p>
            <w:pPr>
              <w:jc w:val="center"/>
              <w:rPr>
                <w:color w:val="auto"/>
                <w:sz w:val="21"/>
                <w:szCs w:val="21"/>
              </w:rPr>
            </w:pPr>
          </w:p>
        </w:tc>
      </w:tr>
    </w:tbl>
    <w:p>
      <w:pPr>
        <w:rPr>
          <w:color w:val="auto"/>
        </w:rPr>
        <w:sectPr>
          <w:pgSz w:w="16838" w:h="11906" w:orient="landscape"/>
          <w:pgMar w:top="1797" w:right="1440" w:bottom="1797" w:left="1440" w:header="851" w:footer="992" w:gutter="0"/>
          <w:cols w:space="425" w:num="1"/>
          <w:docGrid w:type="lines" w:linePitch="312" w:charSpace="0"/>
        </w:sectPr>
      </w:pPr>
    </w:p>
    <w:p>
      <w:pPr>
        <w:pStyle w:val="2"/>
        <w:rPr>
          <w:color w:val="auto"/>
        </w:rPr>
      </w:pPr>
      <w:bookmarkStart w:id="198" w:name="_Toc26276903"/>
      <w:bookmarkStart w:id="199" w:name="_Toc5803"/>
      <w:r>
        <w:rPr>
          <w:rFonts w:hint="eastAsia"/>
          <w:color w:val="auto"/>
        </w:rPr>
        <w:t>10环境影响评价结论</w:t>
      </w:r>
      <w:bookmarkEnd w:id="198"/>
      <w:bookmarkEnd w:id="199"/>
    </w:p>
    <w:p>
      <w:pPr>
        <w:pStyle w:val="3"/>
        <w:rPr>
          <w:color w:val="auto"/>
        </w:rPr>
      </w:pPr>
      <w:bookmarkStart w:id="200" w:name="_Toc26276904"/>
      <w:bookmarkStart w:id="201" w:name="_Toc15590"/>
      <w:r>
        <w:rPr>
          <w:rFonts w:hint="eastAsia"/>
          <w:color w:val="auto"/>
        </w:rPr>
        <w:t>10.1工程概况</w:t>
      </w:r>
      <w:bookmarkEnd w:id="200"/>
      <w:bookmarkEnd w:id="201"/>
    </w:p>
    <w:p>
      <w:pPr>
        <w:spacing w:line="360" w:lineRule="auto"/>
        <w:ind w:firstLine="480" w:firstLineChars="200"/>
        <w:rPr>
          <w:color w:val="auto"/>
          <w:sz w:val="24"/>
          <w:szCs w:val="24"/>
        </w:rPr>
      </w:pPr>
      <w:r>
        <w:rPr>
          <w:rFonts w:hint="eastAsia"/>
          <w:color w:val="auto"/>
          <w:sz w:val="24"/>
          <w:szCs w:val="24"/>
        </w:rPr>
        <w:t>本项目为五华河东绿色生态工业小镇油新水质净化厂一期工程建设项目，位于梅州市五华县河东镇，选址于畲华高速的东侧、油新公园的西南侧，项目包括水质净化厂及配套管网工程的建设。油新水质净化厂一期工程设计处理能力为0.8万m</w:t>
      </w:r>
      <w:r>
        <w:rPr>
          <w:rFonts w:hint="eastAsia"/>
          <w:color w:val="auto"/>
          <w:sz w:val="24"/>
          <w:szCs w:val="24"/>
          <w:vertAlign w:val="superscript"/>
        </w:rPr>
        <w:t>3</w:t>
      </w:r>
      <w:r>
        <w:rPr>
          <w:rFonts w:hint="eastAsia"/>
          <w:color w:val="auto"/>
          <w:sz w:val="24"/>
          <w:szCs w:val="24"/>
        </w:rPr>
        <w:t>/d，拟采用 “曝气沉砂池+应急沉淀池+倒置AAO+曝气生物滤池+高效沉淀池+转盘滤池+消毒接触池”工艺，收集和处理五华河东绿色生态工业小镇南区的大部分污水（包括生活污水和工业废水）及五华河东绿色生态工业小镇南区东边村庄的生活污水。项目建成后，出水达到《地表水环境质量标准》（GB3838-2002）准Ⅳ类标准（即SS、粪大肠菌群数达到《城镇污水处理厂污染物排放标准》（GB18918-2002）中的一级A出水标准，其它主要污染指标达到地表水Ⅳ类标准，TN放宽至10mg/L），部分回用于水质净化厂自用、园区内城市绿化、道路清扫和冲厕（回用率达到30%以上），其余通过尾水排放管道引至大嵩河排放。</w:t>
      </w:r>
    </w:p>
    <w:p>
      <w:pPr>
        <w:pStyle w:val="3"/>
        <w:rPr>
          <w:color w:val="auto"/>
        </w:rPr>
      </w:pPr>
      <w:bookmarkStart w:id="202" w:name="_Toc22721"/>
      <w:bookmarkStart w:id="203" w:name="_Toc26276905"/>
      <w:r>
        <w:rPr>
          <w:rFonts w:hint="eastAsia"/>
          <w:color w:val="auto"/>
        </w:rPr>
        <w:t>10.2产业政策符合性结论</w:t>
      </w:r>
      <w:bookmarkEnd w:id="202"/>
      <w:bookmarkEnd w:id="203"/>
    </w:p>
    <w:p>
      <w:pPr>
        <w:spacing w:line="360" w:lineRule="auto"/>
        <w:ind w:firstLine="480" w:firstLineChars="200"/>
        <w:rPr>
          <w:color w:val="auto"/>
          <w:sz w:val="24"/>
          <w:szCs w:val="24"/>
        </w:rPr>
      </w:pPr>
      <w:r>
        <w:rPr>
          <w:rFonts w:hint="eastAsia"/>
          <w:color w:val="auto"/>
          <w:sz w:val="24"/>
          <w:szCs w:val="24"/>
        </w:rPr>
        <w:t>本项目为水质净化厂建设项目，根据《产业结构调整指导目录（2019 年本）》，本项目属鼓励类第四十三大类“环境保护与资源节约综合利用”中的第15条“‘三废’综合利用与治理技术、装备和工程”，为鼓励类项目。检索《市场准入负面清单》（2020年版）可知，项目不属于清单中禁止和许可准入类，属于该清单以外的行业，可依法平等进入。因此，本项目符合相关产业政策。</w:t>
      </w:r>
    </w:p>
    <w:p>
      <w:pPr>
        <w:spacing w:line="360" w:lineRule="auto"/>
        <w:ind w:firstLine="480" w:firstLineChars="200"/>
        <w:rPr>
          <w:color w:val="auto"/>
          <w:sz w:val="24"/>
          <w:szCs w:val="24"/>
        </w:rPr>
      </w:pPr>
      <w:r>
        <w:rPr>
          <w:rFonts w:hint="eastAsia"/>
          <w:color w:val="auto"/>
          <w:sz w:val="24"/>
          <w:szCs w:val="24"/>
        </w:rPr>
        <w:t>本项目的建设可统筹区域水污染物的排放，使水污染物排放总量下降，与</w:t>
      </w:r>
      <w:r>
        <w:rPr>
          <w:rFonts w:hint="eastAsia"/>
          <w:bCs/>
          <w:color w:val="auto"/>
          <w:sz w:val="24"/>
          <w:szCs w:val="24"/>
        </w:rPr>
        <w:t>《南粤水更清行动计划（修订本）（2017～2020年）》</w:t>
      </w:r>
      <w:r>
        <w:rPr>
          <w:rFonts w:hint="eastAsia"/>
          <w:color w:val="auto"/>
          <w:sz w:val="24"/>
          <w:szCs w:val="24"/>
        </w:rPr>
        <w:t>、《广东省人民政府关于印发广东省水污染防治行动计划实施方案的通知》（粤府〔2015〕131号）、《广东省韩江流域水质保护条例》（2018年11月29日第二次修订）、《广东省环境保护厅关于印发韩江流域水质保护规划（2017-2025年）的通知》（粤环发〔2017〕4号）、</w:t>
      </w:r>
      <w:r>
        <w:rPr>
          <w:color w:val="auto"/>
          <w:kern w:val="0"/>
          <w:sz w:val="24"/>
          <w:szCs w:val="24"/>
        </w:rPr>
        <w:t>广东省环境保护厅</w:t>
      </w:r>
      <w:r>
        <w:rPr>
          <w:rFonts w:hint="eastAsia"/>
          <w:color w:val="auto"/>
          <w:sz w:val="24"/>
          <w:szCs w:val="24"/>
        </w:rPr>
        <w:t>《</w:t>
      </w:r>
      <w:r>
        <w:rPr>
          <w:color w:val="auto"/>
          <w:kern w:val="0"/>
          <w:sz w:val="24"/>
          <w:szCs w:val="24"/>
        </w:rPr>
        <w:t>关于印发</w:t>
      </w:r>
      <w:r>
        <w:rPr>
          <w:rFonts w:hint="eastAsia"/>
          <w:color w:val="auto"/>
          <w:sz w:val="24"/>
          <w:szCs w:val="24"/>
        </w:rPr>
        <w:t>广东省环境保护“十三五”规划</w:t>
      </w:r>
      <w:r>
        <w:rPr>
          <w:color w:val="auto"/>
          <w:kern w:val="0"/>
          <w:sz w:val="24"/>
          <w:szCs w:val="24"/>
        </w:rPr>
        <w:t>的通知</w:t>
      </w:r>
      <w:r>
        <w:rPr>
          <w:rFonts w:hint="eastAsia"/>
          <w:color w:val="auto"/>
          <w:sz w:val="24"/>
          <w:szCs w:val="24"/>
        </w:rPr>
        <w:t>》</w:t>
      </w:r>
      <w:r>
        <w:rPr>
          <w:color w:val="auto"/>
          <w:kern w:val="0"/>
          <w:sz w:val="24"/>
          <w:szCs w:val="24"/>
        </w:rPr>
        <w:t>（粤环</w:t>
      </w:r>
      <w:r>
        <w:rPr>
          <w:color w:val="auto"/>
          <w:sz w:val="24"/>
          <w:szCs w:val="24"/>
        </w:rPr>
        <w:t>〔</w:t>
      </w:r>
      <w:r>
        <w:rPr>
          <w:color w:val="auto"/>
          <w:kern w:val="0"/>
          <w:sz w:val="24"/>
          <w:szCs w:val="24"/>
        </w:rPr>
        <w:t>2016</w:t>
      </w:r>
      <w:r>
        <w:rPr>
          <w:color w:val="auto"/>
          <w:sz w:val="24"/>
          <w:szCs w:val="24"/>
        </w:rPr>
        <w:t>〕</w:t>
      </w:r>
      <w:r>
        <w:rPr>
          <w:color w:val="auto"/>
          <w:kern w:val="0"/>
          <w:sz w:val="24"/>
          <w:szCs w:val="24"/>
        </w:rPr>
        <w:t>51 号）</w:t>
      </w:r>
      <w:r>
        <w:rPr>
          <w:rFonts w:hint="eastAsia"/>
          <w:color w:val="auto"/>
          <w:sz w:val="24"/>
          <w:szCs w:val="24"/>
        </w:rPr>
        <w:t>、《梅州市环境保护“十三五”规划》、《梅州市人民政府办公室关于印发梅州城区市政基础设施“十三五”建设计划的通知》（梅市府办函〔2017〕206号）、《梅州市人民政府关于印发广东梅兴华丰产业集聚带发展总体规划（2015—2030年）实施方案的通知》（梅市府函〔2016〕67号）、《广东梅兴华丰产业集聚带环保基础设施规划建设方案》</w:t>
      </w:r>
      <w:r>
        <w:rPr>
          <w:color w:val="auto"/>
          <w:sz w:val="24"/>
          <w:szCs w:val="24"/>
        </w:rPr>
        <w:t>（广东省环境科学研究院、广东环科院环境科技有限公司，2016年4月）</w:t>
      </w:r>
      <w:r>
        <w:rPr>
          <w:rFonts w:hint="eastAsia"/>
          <w:color w:val="auto"/>
          <w:sz w:val="24"/>
          <w:szCs w:val="24"/>
        </w:rPr>
        <w:t>、《广东省人民政府关于印发广东省“三线一单”生态环境分区管控方案的通知》（粤府〔2020〕71号）相符。</w:t>
      </w:r>
    </w:p>
    <w:p>
      <w:pPr>
        <w:spacing w:line="360" w:lineRule="auto"/>
        <w:ind w:firstLine="480" w:firstLineChars="200"/>
        <w:rPr>
          <w:color w:val="auto"/>
          <w:sz w:val="24"/>
          <w:szCs w:val="24"/>
        </w:rPr>
      </w:pPr>
      <w:r>
        <w:rPr>
          <w:rFonts w:hint="eastAsia"/>
          <w:color w:val="auto"/>
          <w:sz w:val="24"/>
          <w:szCs w:val="24"/>
        </w:rPr>
        <w:t>本项目位于梅州市五华县河东镇，选址于畲华高速的东侧、油新公园的西南侧，根据《五华县河东绿色生态工业小镇总体规划（2019—2035）》，项目选址地块属“排水用地”，符合用地规划；项目为水质净化厂建设项目，不从事生产活动，对周边环境影响较小，在确保项目各种环保及安全措施得到落实和正常运作的情况下，本项目的建设不会改变区域的环境功能现状，符合梅州市环境功能区划。</w:t>
      </w:r>
    </w:p>
    <w:p>
      <w:pPr>
        <w:spacing w:line="360" w:lineRule="auto"/>
        <w:ind w:firstLine="480" w:firstLineChars="200"/>
        <w:rPr>
          <w:color w:val="auto"/>
          <w:sz w:val="24"/>
          <w:szCs w:val="24"/>
        </w:rPr>
      </w:pPr>
      <w:r>
        <w:rPr>
          <w:rFonts w:hint="eastAsia"/>
          <w:color w:val="auto"/>
          <w:sz w:val="24"/>
          <w:szCs w:val="24"/>
        </w:rPr>
        <w:t>综上所述，本项目生产工艺、规模符合产业政策要求；项目选址符合广东省和梅州市规划要求；项目场地不在生态红线范围内，不会对大气、地表水、地下水、土壤、声环境质量底线造成冲击，符合广东省“三线一单”生态环境分区管控的要求。因此，本项目的建设符合相关产业政策。</w:t>
      </w:r>
    </w:p>
    <w:p>
      <w:pPr>
        <w:pStyle w:val="3"/>
        <w:rPr>
          <w:color w:val="auto"/>
        </w:rPr>
      </w:pPr>
      <w:bookmarkStart w:id="204" w:name="_Toc26276906"/>
      <w:bookmarkStart w:id="205" w:name="_Toc30525"/>
      <w:r>
        <w:rPr>
          <w:rFonts w:hint="eastAsia"/>
          <w:color w:val="auto"/>
        </w:rPr>
        <w:t>10.3环境现状调查与评价结论</w:t>
      </w:r>
      <w:bookmarkEnd w:id="204"/>
      <w:bookmarkEnd w:id="205"/>
    </w:p>
    <w:p>
      <w:pPr>
        <w:spacing w:line="360" w:lineRule="auto"/>
        <w:ind w:firstLine="482" w:firstLineChars="200"/>
        <w:rPr>
          <w:b/>
          <w:color w:val="auto"/>
          <w:sz w:val="24"/>
          <w:szCs w:val="24"/>
        </w:rPr>
      </w:pPr>
      <w:r>
        <w:rPr>
          <w:rFonts w:hint="eastAsia"/>
          <w:b/>
          <w:color w:val="auto"/>
          <w:sz w:val="24"/>
          <w:szCs w:val="24"/>
        </w:rPr>
        <w:t>1、空气质量现状调查与评价结论</w:t>
      </w:r>
    </w:p>
    <w:p>
      <w:pPr>
        <w:spacing w:line="360" w:lineRule="auto"/>
        <w:ind w:firstLine="480" w:firstLineChars="200"/>
        <w:rPr>
          <w:color w:val="auto"/>
          <w:sz w:val="24"/>
          <w:szCs w:val="24"/>
        </w:rPr>
      </w:pPr>
      <w:r>
        <w:rPr>
          <w:rFonts w:hint="eastAsia"/>
          <w:color w:val="auto"/>
          <w:sz w:val="24"/>
          <w:szCs w:val="24"/>
        </w:rPr>
        <w:t>根据《2019年梅州市生态环境状况公报》（梅州市生态环境局，2020年6月1日），梅州市2019年度环境空气质量可达到《环境空气质量标准》（GB3095-2012）及2018年修改单中的二级标准，属于达标区。</w:t>
      </w:r>
    </w:p>
    <w:p>
      <w:pPr>
        <w:spacing w:line="360" w:lineRule="auto"/>
        <w:ind w:firstLine="480" w:firstLineChars="200"/>
        <w:rPr>
          <w:color w:val="auto"/>
          <w:sz w:val="24"/>
          <w:szCs w:val="24"/>
        </w:rPr>
      </w:pPr>
      <w:r>
        <w:rPr>
          <w:rFonts w:hint="eastAsia"/>
          <w:color w:val="auto"/>
          <w:sz w:val="24"/>
          <w:szCs w:val="24"/>
        </w:rPr>
        <w:t>根据梅州森海洋环保工程有限公司委托深圳市中创检测有限公司于2020年9月19日~ 25日对项目所在地的H</w:t>
      </w:r>
      <w:r>
        <w:rPr>
          <w:rFonts w:hint="eastAsia"/>
          <w:color w:val="auto"/>
          <w:sz w:val="24"/>
          <w:szCs w:val="24"/>
          <w:vertAlign w:val="subscript"/>
        </w:rPr>
        <w:t>2</w:t>
      </w:r>
      <w:r>
        <w:rPr>
          <w:rFonts w:hint="eastAsia"/>
          <w:color w:val="auto"/>
          <w:sz w:val="24"/>
          <w:szCs w:val="24"/>
        </w:rPr>
        <w:t>S和NH</w:t>
      </w:r>
      <w:r>
        <w:rPr>
          <w:rFonts w:hint="eastAsia"/>
          <w:color w:val="auto"/>
          <w:sz w:val="24"/>
          <w:szCs w:val="24"/>
          <w:vertAlign w:val="subscript"/>
        </w:rPr>
        <w:t>3</w:t>
      </w:r>
      <w:r>
        <w:rPr>
          <w:rFonts w:hint="eastAsia"/>
          <w:color w:val="auto"/>
          <w:sz w:val="24"/>
          <w:szCs w:val="24"/>
        </w:rPr>
        <w:t>现状监测的结果，项目所在地现状特征因子氨和硫化氢均满足相应质量标准参考值的要求。</w:t>
      </w:r>
    </w:p>
    <w:p>
      <w:pPr>
        <w:spacing w:line="360" w:lineRule="auto"/>
        <w:ind w:firstLine="482" w:firstLineChars="200"/>
        <w:rPr>
          <w:b/>
          <w:color w:val="auto"/>
          <w:sz w:val="24"/>
          <w:szCs w:val="24"/>
        </w:rPr>
      </w:pPr>
      <w:r>
        <w:rPr>
          <w:rFonts w:hint="eastAsia"/>
          <w:b/>
          <w:color w:val="auto"/>
          <w:sz w:val="24"/>
          <w:szCs w:val="24"/>
        </w:rPr>
        <w:t>2、地表水环境质量现状监测及评价结论</w:t>
      </w:r>
    </w:p>
    <w:p>
      <w:pPr>
        <w:spacing w:line="360" w:lineRule="auto"/>
        <w:ind w:firstLine="480" w:firstLineChars="200"/>
        <w:rPr>
          <w:color w:val="auto"/>
          <w:sz w:val="24"/>
          <w:szCs w:val="24"/>
        </w:rPr>
      </w:pPr>
      <w:r>
        <w:rPr>
          <w:rFonts w:hint="eastAsia"/>
          <w:color w:val="auto"/>
          <w:sz w:val="24"/>
          <w:szCs w:val="24"/>
        </w:rPr>
        <w:t>根据梅州森海洋环保工程有限公司委托深圳市中创检测有限公司于2020年10月21日~2020年10月23日（枯水期）对项目所在地的地表水质量现状监测的结果，大嵩河各监测断面各监测因子均能达到《地表水环境质量标准》(GB3838-2002)Ⅲ类标准要求。</w:t>
      </w:r>
    </w:p>
    <w:p>
      <w:pPr>
        <w:spacing w:line="360" w:lineRule="auto"/>
        <w:ind w:firstLine="480" w:firstLineChars="200"/>
        <w:rPr>
          <w:color w:val="auto"/>
          <w:sz w:val="24"/>
          <w:szCs w:val="24"/>
        </w:rPr>
      </w:pPr>
      <w:r>
        <w:rPr>
          <w:rFonts w:hint="eastAsia"/>
          <w:color w:val="auto"/>
          <w:sz w:val="24"/>
          <w:szCs w:val="24"/>
        </w:rPr>
        <w:t>根据五华县环境监测站于2020年12月、2021年1月对水口英勤进行的现状监测数据，梅江干流各监测因子均能达到《地表水环境质量标准》(GB3838-2002)</w:t>
      </w:r>
      <w:r>
        <w:rPr>
          <w:rFonts w:hint="eastAsia"/>
          <w:color w:val="auto"/>
        </w:rPr>
        <w:t xml:space="preserve"> </w:t>
      </w:r>
      <w:r>
        <w:rPr>
          <w:rFonts w:hint="eastAsia"/>
          <w:color w:val="auto"/>
          <w:sz w:val="24"/>
          <w:szCs w:val="24"/>
        </w:rPr>
        <w:t>Ⅱ类标准要求。</w:t>
      </w:r>
    </w:p>
    <w:p>
      <w:pPr>
        <w:spacing w:line="360" w:lineRule="auto"/>
        <w:ind w:firstLine="482" w:firstLineChars="200"/>
        <w:rPr>
          <w:b/>
          <w:color w:val="auto"/>
          <w:sz w:val="24"/>
          <w:szCs w:val="24"/>
        </w:rPr>
      </w:pPr>
      <w:r>
        <w:rPr>
          <w:rFonts w:hint="eastAsia"/>
          <w:b/>
          <w:color w:val="auto"/>
          <w:sz w:val="24"/>
          <w:szCs w:val="24"/>
        </w:rPr>
        <w:t>3、地下水环境质量现状监测及评价结论</w:t>
      </w:r>
    </w:p>
    <w:p>
      <w:pPr>
        <w:spacing w:line="360" w:lineRule="auto"/>
        <w:ind w:firstLine="480" w:firstLineChars="200"/>
        <w:rPr>
          <w:color w:val="auto"/>
          <w:sz w:val="24"/>
          <w:szCs w:val="24"/>
        </w:rPr>
      </w:pPr>
      <w:r>
        <w:rPr>
          <w:rFonts w:hint="eastAsia"/>
          <w:color w:val="auto"/>
          <w:sz w:val="24"/>
          <w:szCs w:val="24"/>
        </w:rPr>
        <w:t>根据梅州森海洋环保工程有限公司委托深圳市中创检测有限公司于2020年9月23日对项目所在地的地下水质量现状监测的结果，各监测点位各监测指标均能达到《地下水质量标准》（GB14848-2017）Ⅲ类水质标准。</w:t>
      </w:r>
    </w:p>
    <w:p>
      <w:pPr>
        <w:spacing w:line="360" w:lineRule="auto"/>
        <w:ind w:firstLine="482" w:firstLineChars="200"/>
        <w:rPr>
          <w:b/>
          <w:color w:val="auto"/>
          <w:sz w:val="24"/>
          <w:szCs w:val="24"/>
        </w:rPr>
      </w:pPr>
      <w:r>
        <w:rPr>
          <w:rFonts w:hint="eastAsia"/>
          <w:b/>
          <w:color w:val="auto"/>
          <w:sz w:val="24"/>
          <w:szCs w:val="24"/>
        </w:rPr>
        <w:t>4、声环境质量现状监测及评价结论</w:t>
      </w:r>
    </w:p>
    <w:p>
      <w:pPr>
        <w:spacing w:line="360" w:lineRule="auto"/>
        <w:ind w:firstLine="480" w:firstLineChars="200"/>
        <w:rPr>
          <w:color w:val="auto"/>
          <w:sz w:val="24"/>
          <w:szCs w:val="24"/>
        </w:rPr>
      </w:pPr>
      <w:r>
        <w:rPr>
          <w:rFonts w:hint="eastAsia"/>
          <w:color w:val="auto"/>
          <w:sz w:val="24"/>
          <w:szCs w:val="24"/>
        </w:rPr>
        <w:t>根据梅州森海洋环保工程有限公司委托深圳市中创检测有限公司于2020年9月24~25日对项目所在地的声环境质量现状监测的结果，项目边界外侧1米处各厂界噪声监测点及声环境敏感点噪声监测点的声环境质量现状均能够满足《声环境质量标准》(GB3096-2008)中的2类标准要求。</w:t>
      </w:r>
    </w:p>
    <w:p>
      <w:pPr>
        <w:spacing w:line="360" w:lineRule="auto"/>
        <w:ind w:firstLine="482" w:firstLineChars="200"/>
        <w:rPr>
          <w:b/>
          <w:color w:val="auto"/>
          <w:sz w:val="24"/>
          <w:szCs w:val="24"/>
        </w:rPr>
      </w:pPr>
      <w:r>
        <w:rPr>
          <w:rFonts w:hint="eastAsia"/>
          <w:b/>
          <w:color w:val="auto"/>
          <w:sz w:val="24"/>
          <w:szCs w:val="24"/>
        </w:rPr>
        <w:t>5、土壤现状监测及评价结论</w:t>
      </w:r>
    </w:p>
    <w:p>
      <w:pPr>
        <w:spacing w:line="360" w:lineRule="auto"/>
        <w:ind w:firstLine="480" w:firstLineChars="200"/>
        <w:rPr>
          <w:color w:val="auto"/>
          <w:sz w:val="24"/>
          <w:szCs w:val="24"/>
        </w:rPr>
      </w:pPr>
      <w:r>
        <w:rPr>
          <w:rFonts w:hint="eastAsia"/>
          <w:color w:val="auto"/>
          <w:sz w:val="24"/>
          <w:szCs w:val="24"/>
        </w:rPr>
        <w:t>根据梅州森海洋环保工程有限公司委托苏州宏宇环境检测有限公司于2020年10月12日对项目所在地的土壤质量现状监测的结果，各监测点各土壤监测指标标准指数均小于1，土壤环境质量能满足行《土壤环境质量 农用地土壤污染风险管控标准》（试行）(GB15618-2018) 第二类用地土壤环境风险评价筛选值，各监测点位土壤无土壤酸化或碱化现象。</w:t>
      </w:r>
    </w:p>
    <w:p>
      <w:pPr>
        <w:spacing w:line="360" w:lineRule="auto"/>
        <w:ind w:firstLine="482" w:firstLineChars="200"/>
        <w:rPr>
          <w:b/>
          <w:color w:val="auto"/>
          <w:sz w:val="24"/>
          <w:szCs w:val="24"/>
        </w:rPr>
      </w:pPr>
      <w:r>
        <w:rPr>
          <w:rFonts w:hint="eastAsia"/>
          <w:b/>
          <w:color w:val="auto"/>
          <w:sz w:val="24"/>
          <w:szCs w:val="24"/>
        </w:rPr>
        <w:t>6、河道底泥现状监测及评价结论</w:t>
      </w:r>
    </w:p>
    <w:p>
      <w:pPr>
        <w:spacing w:line="360" w:lineRule="auto"/>
        <w:ind w:firstLine="480" w:firstLineChars="200"/>
        <w:rPr>
          <w:color w:val="auto"/>
          <w:sz w:val="24"/>
          <w:szCs w:val="24"/>
        </w:rPr>
      </w:pPr>
      <w:r>
        <w:rPr>
          <w:rFonts w:hint="eastAsia"/>
          <w:color w:val="auto"/>
          <w:sz w:val="24"/>
          <w:szCs w:val="24"/>
        </w:rPr>
        <w:t>根据梅州森海洋环保工程有限公司委托深圳市中创检测有限公司于2020年9月25日对项目所在地的河道底泥质量现状监测的结果，各监测点位各监测因子的单项污染指数均小于1，因此各监测点的各监测指标均能满足《土壤环境质量 农用地土壤污染风险管控标准》（试行）(GB15618-2018)风险筛选值。</w:t>
      </w:r>
    </w:p>
    <w:p>
      <w:pPr>
        <w:spacing w:line="360" w:lineRule="auto"/>
        <w:ind w:firstLine="482" w:firstLineChars="200"/>
        <w:rPr>
          <w:b/>
          <w:color w:val="auto"/>
          <w:sz w:val="24"/>
          <w:szCs w:val="24"/>
        </w:rPr>
      </w:pPr>
      <w:r>
        <w:rPr>
          <w:rFonts w:hint="eastAsia"/>
          <w:b/>
          <w:color w:val="auto"/>
          <w:sz w:val="24"/>
          <w:szCs w:val="24"/>
        </w:rPr>
        <w:t>7、生态环境质量现状调查结论</w:t>
      </w:r>
    </w:p>
    <w:p>
      <w:pPr>
        <w:spacing w:line="360" w:lineRule="auto"/>
        <w:ind w:firstLine="480" w:firstLineChars="200"/>
        <w:rPr>
          <w:color w:val="auto"/>
          <w:sz w:val="24"/>
          <w:szCs w:val="24"/>
        </w:rPr>
      </w:pPr>
      <w:r>
        <w:rPr>
          <w:rFonts w:hint="eastAsia"/>
          <w:color w:val="auto"/>
          <w:sz w:val="24"/>
          <w:szCs w:val="24"/>
        </w:rPr>
        <w:t>目前，项目占地范围内已完成拆迁工作，原有表土层已破坏，动植物资源较少。根据现场踏勘，占地范围主要原始地貌单元主要为残剥丘陵及山前冲洪积平地，地势起伏较大，项目占地范围内没有基本农田分布。</w:t>
      </w:r>
    </w:p>
    <w:p>
      <w:pPr>
        <w:spacing w:line="360" w:lineRule="auto"/>
        <w:ind w:firstLine="480" w:firstLineChars="200"/>
        <w:rPr>
          <w:color w:val="auto"/>
          <w:sz w:val="24"/>
          <w:szCs w:val="24"/>
        </w:rPr>
      </w:pPr>
      <w:r>
        <w:rPr>
          <w:rFonts w:hint="eastAsia"/>
          <w:color w:val="auto"/>
          <w:sz w:val="24"/>
          <w:szCs w:val="24"/>
        </w:rPr>
        <w:t>评价区域野生动物资源贫乏，区划上属东洋界华南区，具有典型的华南区系种类。根据有关资料，项目所在区域的动物种类主要有昆虫类、爬行类和鸟类、昆虫等。目前，本区域未发现受国家保护的珍稀濒危动物和国家重点保护野生动物。</w:t>
      </w:r>
    </w:p>
    <w:p>
      <w:pPr>
        <w:pStyle w:val="3"/>
        <w:rPr>
          <w:color w:val="auto"/>
        </w:rPr>
      </w:pPr>
      <w:bookmarkStart w:id="206" w:name="_Toc26276907"/>
      <w:bookmarkStart w:id="207" w:name="_Toc11408"/>
      <w:r>
        <w:rPr>
          <w:rFonts w:hint="eastAsia"/>
          <w:color w:val="auto"/>
        </w:rPr>
        <w:t>10.4环境影响预测与评价结论</w:t>
      </w:r>
      <w:bookmarkEnd w:id="206"/>
      <w:bookmarkEnd w:id="207"/>
    </w:p>
    <w:p>
      <w:pPr>
        <w:pStyle w:val="4"/>
        <w:rPr>
          <w:color w:val="auto"/>
        </w:rPr>
      </w:pPr>
      <w:bookmarkStart w:id="208" w:name="_Toc26276908"/>
      <w:r>
        <w:rPr>
          <w:rFonts w:hint="eastAsia"/>
          <w:color w:val="auto"/>
        </w:rPr>
        <w:t>10.4.1施工期环境影响预测与评价结论</w:t>
      </w:r>
      <w:bookmarkEnd w:id="208"/>
    </w:p>
    <w:p>
      <w:pPr>
        <w:spacing w:line="360" w:lineRule="auto"/>
        <w:ind w:firstLine="482" w:firstLineChars="200"/>
        <w:rPr>
          <w:b/>
          <w:color w:val="auto"/>
          <w:sz w:val="24"/>
          <w:szCs w:val="24"/>
        </w:rPr>
      </w:pPr>
      <w:r>
        <w:rPr>
          <w:rFonts w:hint="eastAsia"/>
          <w:b/>
          <w:color w:val="auto"/>
          <w:sz w:val="24"/>
          <w:szCs w:val="24"/>
        </w:rPr>
        <w:t>1、施工期大气环境影响分析结论</w:t>
      </w:r>
    </w:p>
    <w:p>
      <w:pPr>
        <w:spacing w:line="360" w:lineRule="auto"/>
        <w:ind w:firstLine="480" w:firstLineChars="200"/>
        <w:rPr>
          <w:color w:val="auto"/>
          <w:sz w:val="24"/>
          <w:szCs w:val="24"/>
        </w:rPr>
      </w:pPr>
      <w:r>
        <w:rPr>
          <w:rFonts w:hint="eastAsia"/>
          <w:color w:val="auto"/>
          <w:sz w:val="24"/>
          <w:szCs w:val="24"/>
        </w:rPr>
        <w:t>施工期场地扬尘污染主要来源于基础开挖、土石方填挖及材料装卸、物料堆放等环节，通过洒水降尘、临时堆场密目网遮盖等措施，可减少粉尘扩散后对周边环境的影响。弃土及建筑材料运输时会产生运输扬尘及机械尾气，通过限制车速、禁止超载、进出车辆进行冲洗等措施可减少运输扬尘的产生。管道连接过程会产生焊接烟气，项目管网接口焊接的位置较为分散，且项目截污干管及尾水排放干管沿线场地开阔，自然通风良好，焊接烟气通过自然沉降、大气稀释、扩散，可得到有效控制。施工期后期进行建筑装修，会产生装修废气，通过加强室内的通风换气，待装修结束完成后，装修过程产生的废气对大气环境造成的影响轻微。</w:t>
      </w:r>
    </w:p>
    <w:p>
      <w:pPr>
        <w:spacing w:line="360" w:lineRule="auto"/>
        <w:ind w:firstLine="480" w:firstLineChars="200"/>
        <w:rPr>
          <w:color w:val="auto"/>
          <w:sz w:val="24"/>
          <w:szCs w:val="24"/>
        </w:rPr>
      </w:pPr>
      <w:r>
        <w:rPr>
          <w:rFonts w:hint="eastAsia"/>
          <w:color w:val="auto"/>
          <w:sz w:val="24"/>
          <w:szCs w:val="24"/>
        </w:rPr>
        <w:t>因此，本项目施工期废气对环境影响较小。</w:t>
      </w:r>
    </w:p>
    <w:p>
      <w:pPr>
        <w:spacing w:line="360" w:lineRule="auto"/>
        <w:ind w:firstLine="482" w:firstLineChars="200"/>
        <w:rPr>
          <w:b/>
          <w:color w:val="auto"/>
          <w:sz w:val="24"/>
          <w:szCs w:val="24"/>
        </w:rPr>
      </w:pPr>
      <w:r>
        <w:rPr>
          <w:rFonts w:hint="eastAsia"/>
          <w:b/>
          <w:color w:val="auto"/>
          <w:sz w:val="24"/>
          <w:szCs w:val="24"/>
        </w:rPr>
        <w:t>2、施工期地表水环境影响分析结论</w:t>
      </w:r>
    </w:p>
    <w:p>
      <w:pPr>
        <w:spacing w:line="360" w:lineRule="auto"/>
        <w:ind w:firstLine="480" w:firstLineChars="200"/>
        <w:rPr>
          <w:color w:val="auto"/>
          <w:sz w:val="24"/>
          <w:szCs w:val="24"/>
        </w:rPr>
      </w:pPr>
      <w:r>
        <w:rPr>
          <w:rFonts w:hint="eastAsia"/>
          <w:color w:val="auto"/>
          <w:sz w:val="24"/>
          <w:szCs w:val="24"/>
        </w:rPr>
        <w:t>项目施工期废水主要来源于施工工场产生的生产废水、施工人员产生的生活废水以及管道工程试压废水。施工工场产生的生产废水主要含SS 和石油类污染物，通过在现场设置沉淀池处理后循环使用，不外排；本项目施工期不设生活营地，施工人员食宿利用周边村庄的配套设施解决，施工人员洗手、如厕可利用地块内设置的临时公厕解决，生活污水经化粪池厌氧消化处理后，用于附近林地灌溉；管道建成后需对管道进行试压，会产生试压废水，该废水为清洁下水，含有少量SS，直接用于浇灌沿线植被。</w:t>
      </w:r>
    </w:p>
    <w:p>
      <w:pPr>
        <w:spacing w:line="360" w:lineRule="auto"/>
        <w:ind w:firstLine="480" w:firstLineChars="200"/>
        <w:rPr>
          <w:color w:val="auto"/>
          <w:sz w:val="24"/>
          <w:szCs w:val="24"/>
        </w:rPr>
      </w:pPr>
      <w:r>
        <w:rPr>
          <w:rFonts w:hint="eastAsia"/>
          <w:color w:val="auto"/>
          <w:sz w:val="24"/>
          <w:szCs w:val="24"/>
        </w:rPr>
        <w:t>采用以上措施后，可有效地控制对水体的污染，施工期对水环境的影响较小。</w:t>
      </w:r>
    </w:p>
    <w:p>
      <w:pPr>
        <w:spacing w:line="360" w:lineRule="auto"/>
        <w:ind w:firstLine="482" w:firstLineChars="200"/>
        <w:rPr>
          <w:b/>
          <w:color w:val="auto"/>
          <w:sz w:val="24"/>
          <w:szCs w:val="24"/>
        </w:rPr>
      </w:pPr>
      <w:r>
        <w:rPr>
          <w:rFonts w:hint="eastAsia"/>
          <w:b/>
          <w:color w:val="auto"/>
          <w:sz w:val="24"/>
          <w:szCs w:val="24"/>
        </w:rPr>
        <w:t>3、施工期声环境影响分析结论</w:t>
      </w:r>
    </w:p>
    <w:p>
      <w:pPr>
        <w:spacing w:line="360" w:lineRule="auto"/>
        <w:ind w:firstLine="480" w:firstLineChars="200"/>
        <w:rPr>
          <w:color w:val="auto"/>
          <w:sz w:val="24"/>
          <w:szCs w:val="24"/>
        </w:rPr>
      </w:pPr>
      <w:r>
        <w:rPr>
          <w:rFonts w:hint="eastAsia"/>
          <w:color w:val="auto"/>
          <w:sz w:val="24"/>
          <w:szCs w:val="24"/>
        </w:rPr>
        <w:t>施工期主要为施工机械施工时产生的噪声，通过选用低噪声设备、合理布局、合理安排施工时间、高噪声设备远离敏感点且设置临时工棚等措施可有效减少施工噪声对周边环境的影响。</w:t>
      </w:r>
    </w:p>
    <w:p>
      <w:pPr>
        <w:spacing w:line="360" w:lineRule="auto"/>
        <w:ind w:firstLine="482" w:firstLineChars="200"/>
        <w:rPr>
          <w:b/>
          <w:color w:val="auto"/>
          <w:sz w:val="24"/>
          <w:szCs w:val="24"/>
        </w:rPr>
      </w:pPr>
      <w:r>
        <w:rPr>
          <w:rFonts w:hint="eastAsia"/>
          <w:b/>
          <w:color w:val="auto"/>
          <w:sz w:val="24"/>
          <w:szCs w:val="24"/>
        </w:rPr>
        <w:t>4、施工期固体废物影响分析结论</w:t>
      </w:r>
    </w:p>
    <w:p>
      <w:pPr>
        <w:spacing w:line="360" w:lineRule="auto"/>
        <w:ind w:firstLine="480" w:firstLineChars="200"/>
        <w:rPr>
          <w:color w:val="auto"/>
          <w:sz w:val="24"/>
          <w:szCs w:val="24"/>
        </w:rPr>
      </w:pPr>
      <w:r>
        <w:rPr>
          <w:rFonts w:hint="eastAsia"/>
          <w:color w:val="auto"/>
          <w:sz w:val="24"/>
          <w:szCs w:val="24"/>
        </w:rPr>
        <w:t>施工期固体废物主要为基础开挖产生的土石方以及少量建筑垃圾、生活垃圾等，项目场地平整产生的土石方部分用于场地平整回填，剩余土石方运往政府指定地点处理；建筑垃圾分类收集，可回收利用部分回收利用，不可回收部分运往建筑垃圾场；生活垃圾定点收集后定期清运。对于施工期后期产生的废油漆桶和废涂料桶，建议施工单位设置专门的危废暂存室，由专人负责收集，交有具备资质的危废处理单位妥善处理。</w:t>
      </w:r>
    </w:p>
    <w:p>
      <w:pPr>
        <w:spacing w:line="360" w:lineRule="auto"/>
        <w:ind w:firstLine="480" w:firstLineChars="200"/>
        <w:rPr>
          <w:color w:val="auto"/>
          <w:sz w:val="24"/>
          <w:szCs w:val="24"/>
        </w:rPr>
      </w:pPr>
      <w:r>
        <w:rPr>
          <w:rFonts w:hint="eastAsia"/>
          <w:color w:val="auto"/>
          <w:sz w:val="24"/>
          <w:szCs w:val="24"/>
        </w:rPr>
        <w:t>本项目施工期固体废物处理合理，去向明确，对项目周边环境影响较小。</w:t>
      </w:r>
    </w:p>
    <w:p>
      <w:pPr>
        <w:pStyle w:val="4"/>
        <w:rPr>
          <w:color w:val="auto"/>
        </w:rPr>
      </w:pPr>
      <w:bookmarkStart w:id="209" w:name="_Toc26276909"/>
      <w:r>
        <w:rPr>
          <w:rFonts w:hint="eastAsia"/>
          <w:color w:val="auto"/>
        </w:rPr>
        <w:t>10.4.2运营期环境影响预测与评价结论</w:t>
      </w:r>
      <w:bookmarkEnd w:id="209"/>
    </w:p>
    <w:p>
      <w:pPr>
        <w:spacing w:line="360" w:lineRule="auto"/>
        <w:ind w:firstLine="482" w:firstLineChars="200"/>
        <w:rPr>
          <w:b/>
          <w:color w:val="auto"/>
          <w:sz w:val="24"/>
          <w:szCs w:val="24"/>
        </w:rPr>
      </w:pPr>
      <w:r>
        <w:rPr>
          <w:rFonts w:hint="eastAsia"/>
          <w:b/>
          <w:color w:val="auto"/>
          <w:sz w:val="24"/>
          <w:szCs w:val="24"/>
        </w:rPr>
        <w:t>1、运营期大气环境影响分析结论</w:t>
      </w:r>
    </w:p>
    <w:p>
      <w:pPr>
        <w:spacing w:line="360" w:lineRule="auto"/>
        <w:ind w:firstLine="480" w:firstLineChars="200"/>
        <w:rPr>
          <w:color w:val="auto"/>
          <w:sz w:val="24"/>
          <w:szCs w:val="24"/>
        </w:rPr>
      </w:pPr>
      <w:r>
        <w:rPr>
          <w:rFonts w:hint="eastAsia"/>
          <w:color w:val="auto"/>
          <w:sz w:val="24"/>
          <w:szCs w:val="24"/>
        </w:rPr>
        <w:t>本项目运营期产生的废气主要为污水处理系统产生的恶臭及食堂油烟。项目拟在污水预处理单元及污泥脱水机房设置除臭装置，将污水处理系统排出的恶臭通过废气收集系统统一收集，并连接管道输送至恶臭处理系统，经化学洗涤+生物滤池除臭系统处理后的废气集中到15米高的废气排气筒排放。剩余恶臭以无组织形式经空气扩散后达标排放。食堂油烟废气经油烟净化装置处理后引至屋顶达标排放。</w:t>
      </w:r>
    </w:p>
    <w:p>
      <w:pPr>
        <w:spacing w:line="360" w:lineRule="auto"/>
        <w:ind w:firstLine="480" w:firstLineChars="200"/>
        <w:rPr>
          <w:color w:val="auto"/>
          <w:sz w:val="24"/>
          <w:szCs w:val="24"/>
        </w:rPr>
      </w:pPr>
      <w:r>
        <w:rPr>
          <w:rFonts w:hint="eastAsia"/>
          <w:color w:val="auto"/>
          <w:sz w:val="24"/>
          <w:szCs w:val="24"/>
        </w:rPr>
        <w:t>综上所述，本项目营运期产生的废气对环境影响较小。</w:t>
      </w:r>
    </w:p>
    <w:p>
      <w:pPr>
        <w:spacing w:line="360" w:lineRule="auto"/>
        <w:ind w:firstLine="482" w:firstLineChars="200"/>
        <w:rPr>
          <w:b/>
          <w:color w:val="auto"/>
          <w:sz w:val="24"/>
          <w:szCs w:val="24"/>
        </w:rPr>
      </w:pPr>
      <w:r>
        <w:rPr>
          <w:rFonts w:hint="eastAsia"/>
          <w:b/>
          <w:color w:val="auto"/>
          <w:sz w:val="24"/>
          <w:szCs w:val="24"/>
        </w:rPr>
        <w:t>2、运营期地表水环境影响分析结论</w:t>
      </w:r>
    </w:p>
    <w:p>
      <w:pPr>
        <w:spacing w:line="360" w:lineRule="auto"/>
        <w:ind w:firstLine="480" w:firstLineChars="200"/>
        <w:rPr>
          <w:color w:val="auto"/>
          <w:sz w:val="24"/>
          <w:szCs w:val="24"/>
        </w:rPr>
      </w:pPr>
      <w:r>
        <w:rPr>
          <w:rFonts w:hint="eastAsia"/>
          <w:color w:val="auto"/>
          <w:sz w:val="24"/>
          <w:szCs w:val="24"/>
        </w:rPr>
        <w:t>本工程为水质净化厂建设项目，处理废水主要包括接纳废水、生产废水（反冲洗废水、污泥脱水机清洗废水）、员工生活污水。项目污水处理系统采用成熟、可靠的工艺，生产废水、员工生活污水与接纳污水一同进入厂内污水处理系统处理，并在水质净化厂的进水口和尾水排放口分别安装在线监测设备，对进出水水质进行监测，可确保出水水质达到《地表水环境质量标准》（GB3838-2002）准Ⅳ类标准（即SS、粪大肠菌群数达到《城镇污水处理厂污染物排放标准》（GB18918-2002）中的一级A出水标准，其它主要污染指标达到地表水Ⅳ类标准，TN放宽至10mg/L）。经预测，项目尾水正常排放时，不会对大嵩河水体产生明显影响。</w:t>
      </w:r>
    </w:p>
    <w:p>
      <w:pPr>
        <w:spacing w:line="360" w:lineRule="auto"/>
        <w:ind w:firstLine="482" w:firstLineChars="200"/>
        <w:rPr>
          <w:b/>
          <w:color w:val="auto"/>
          <w:sz w:val="24"/>
          <w:szCs w:val="24"/>
        </w:rPr>
      </w:pPr>
      <w:r>
        <w:rPr>
          <w:rFonts w:hint="eastAsia"/>
          <w:b/>
          <w:color w:val="auto"/>
          <w:sz w:val="24"/>
          <w:szCs w:val="24"/>
        </w:rPr>
        <w:t>3、运营期地下水环境影响分析结论</w:t>
      </w:r>
    </w:p>
    <w:p>
      <w:pPr>
        <w:spacing w:line="360" w:lineRule="auto"/>
        <w:ind w:firstLine="480" w:firstLineChars="200"/>
        <w:rPr>
          <w:color w:val="auto"/>
          <w:sz w:val="24"/>
          <w:szCs w:val="24"/>
        </w:rPr>
      </w:pPr>
      <w:r>
        <w:rPr>
          <w:rFonts w:hint="eastAsia"/>
          <w:color w:val="auto"/>
          <w:sz w:val="24"/>
          <w:szCs w:val="24"/>
        </w:rPr>
        <w:t>在正常防渗体系条件下，项目建设基本不会对周边地下水环境产生影响， 在非正常工况下，有可能对局部地区地下水环境产生影响，造成地下水中特征指标超标现象，通过对厂区不同构筑物进行不同级别的防渗，格栅、生化池、加药间、污泥脱水间等为重点防渗区要求采用抗渗混凝土+HDPE 膜材料，渗透系数≤10</w:t>
      </w:r>
      <w:r>
        <w:rPr>
          <w:rFonts w:hint="eastAsia"/>
          <w:color w:val="auto"/>
          <w:sz w:val="24"/>
          <w:szCs w:val="24"/>
          <w:vertAlign w:val="superscript"/>
        </w:rPr>
        <w:t>-12</w:t>
      </w:r>
      <w:r>
        <w:rPr>
          <w:rFonts w:hint="eastAsia"/>
          <w:color w:val="auto"/>
          <w:sz w:val="24"/>
          <w:szCs w:val="24"/>
        </w:rPr>
        <w:t>cm/s；公辅设备区、办公生活区和装置区等为一般防渗区，设置混凝土层，渗透系数≤10</w:t>
      </w:r>
      <w:r>
        <w:rPr>
          <w:rFonts w:hint="eastAsia"/>
          <w:color w:val="auto"/>
          <w:sz w:val="24"/>
          <w:szCs w:val="24"/>
          <w:vertAlign w:val="superscript"/>
        </w:rPr>
        <w:t>-7</w:t>
      </w:r>
      <w:r>
        <w:rPr>
          <w:rFonts w:hint="eastAsia"/>
          <w:color w:val="auto"/>
          <w:sz w:val="24"/>
          <w:szCs w:val="24"/>
        </w:rPr>
        <w:t>cm/s；其他区域为简单防渗区，一般地面硬化等措施可有效杜绝事故工况的发生。</w:t>
      </w:r>
    </w:p>
    <w:p>
      <w:pPr>
        <w:spacing w:line="360" w:lineRule="auto"/>
        <w:ind w:firstLine="482" w:firstLineChars="200"/>
        <w:rPr>
          <w:b/>
          <w:color w:val="auto"/>
          <w:sz w:val="24"/>
          <w:szCs w:val="24"/>
        </w:rPr>
      </w:pPr>
      <w:r>
        <w:rPr>
          <w:rFonts w:hint="eastAsia"/>
          <w:b/>
          <w:color w:val="auto"/>
          <w:sz w:val="24"/>
          <w:szCs w:val="24"/>
        </w:rPr>
        <w:t>4、运营期声环境影响分析结论</w:t>
      </w:r>
    </w:p>
    <w:p>
      <w:pPr>
        <w:spacing w:line="360" w:lineRule="auto"/>
        <w:ind w:firstLine="480" w:firstLineChars="200"/>
        <w:rPr>
          <w:color w:val="auto"/>
          <w:sz w:val="24"/>
          <w:szCs w:val="24"/>
        </w:rPr>
      </w:pPr>
      <w:r>
        <w:rPr>
          <w:rFonts w:hint="eastAsia"/>
          <w:color w:val="auto"/>
          <w:sz w:val="24"/>
          <w:szCs w:val="24"/>
        </w:rPr>
        <w:t>本项目主要噪声源为曝气鼓风机、污泥浓缩脱水机、厂区各类水泵等。项目对噪声较大的脱水机房、风机房和泵房采取了设置密闭隔声间的措施，对噪声较大设备采取了基础减震的措施，同时加强水质净化厂内及周边绿化。本项目通过对噪声采取治理措施后，厂界噪声可以达到《工业企业厂界环境噪声排放标准》（GB12348-2008）中的2类标准。</w:t>
      </w:r>
    </w:p>
    <w:p>
      <w:pPr>
        <w:spacing w:line="360" w:lineRule="auto"/>
        <w:ind w:firstLine="480" w:firstLineChars="200"/>
        <w:rPr>
          <w:color w:val="auto"/>
          <w:sz w:val="24"/>
          <w:szCs w:val="24"/>
        </w:rPr>
      </w:pPr>
      <w:r>
        <w:rPr>
          <w:rFonts w:hint="eastAsia"/>
          <w:color w:val="auto"/>
          <w:sz w:val="24"/>
          <w:szCs w:val="24"/>
        </w:rPr>
        <w:t>综上所述，经过绿化、消声、减振等降噪措施后，本项目产生的噪声得到有效控制，对周围环境影响较小。</w:t>
      </w:r>
    </w:p>
    <w:p>
      <w:pPr>
        <w:spacing w:line="360" w:lineRule="auto"/>
        <w:ind w:firstLine="482" w:firstLineChars="200"/>
        <w:rPr>
          <w:b/>
          <w:color w:val="auto"/>
          <w:sz w:val="24"/>
          <w:szCs w:val="24"/>
        </w:rPr>
      </w:pPr>
      <w:r>
        <w:rPr>
          <w:rFonts w:hint="eastAsia"/>
          <w:b/>
          <w:color w:val="auto"/>
          <w:sz w:val="24"/>
          <w:szCs w:val="24"/>
        </w:rPr>
        <w:t>5、运营期固体废物影响分析结论</w:t>
      </w:r>
    </w:p>
    <w:p>
      <w:pPr>
        <w:spacing w:line="360" w:lineRule="auto"/>
        <w:ind w:firstLine="480" w:firstLineChars="200"/>
        <w:rPr>
          <w:color w:val="auto"/>
          <w:sz w:val="24"/>
          <w:szCs w:val="24"/>
        </w:rPr>
      </w:pPr>
      <w:r>
        <w:rPr>
          <w:rFonts w:hint="eastAsia"/>
          <w:color w:val="auto"/>
          <w:sz w:val="24"/>
          <w:szCs w:val="24"/>
        </w:rPr>
        <w:t>本项目运营期产生的固体废弃物主要为粗/细格栅拦截的栅渣、剩余污泥、深度处理污泥、生活垃圾、废化学试剂等。</w:t>
      </w:r>
    </w:p>
    <w:p>
      <w:pPr>
        <w:spacing w:line="360" w:lineRule="auto"/>
        <w:ind w:firstLine="480" w:firstLineChars="200"/>
        <w:rPr>
          <w:color w:val="auto"/>
          <w:sz w:val="24"/>
          <w:szCs w:val="24"/>
        </w:rPr>
      </w:pPr>
      <w:r>
        <w:rPr>
          <w:rFonts w:hint="eastAsia"/>
          <w:color w:val="auto"/>
          <w:sz w:val="24"/>
          <w:szCs w:val="24"/>
        </w:rPr>
        <w:t>本项目办公区设有垃圾桶，生活垃圾定点收集，定期清运至就近垃圾暂存点，由环卫部门统一清运；厂区设置危废暂存间，临时存放废化学试剂，交有资质单位处理；栅渣主要包括较大块状物、枝状物、软性物质和软塑料等粗/细垃圾和悬浮或飘浮状态的杂物，经压榨打包后使用渣斗储存，交由环卫部门处理；污泥经机械脱水后先进行危险特性鉴别，以确定最终处置去向：若属于危险废物，应与有资质单位签定处置协议，进行无害化处置；若属于一般固废，满足《城镇污水处理厂污泥处置制砖用泥质》（GB/T25031-2010）的要求则可委托梅州市污泥综合处理处置中心综合利用，制作环保烧结砖；若不满足制砖用泥质要求，则交由梅州市五华县周江镇兰鱼村生活垃圾处理场填埋处置。</w:t>
      </w:r>
    </w:p>
    <w:p>
      <w:pPr>
        <w:spacing w:line="360" w:lineRule="auto"/>
        <w:ind w:firstLine="480" w:firstLineChars="200"/>
        <w:rPr>
          <w:color w:val="auto"/>
          <w:sz w:val="24"/>
          <w:szCs w:val="24"/>
        </w:rPr>
      </w:pPr>
      <w:r>
        <w:rPr>
          <w:rFonts w:hint="eastAsia"/>
          <w:color w:val="auto"/>
          <w:sz w:val="24"/>
          <w:szCs w:val="24"/>
        </w:rPr>
        <w:t>综上所述，本项目产生的固体废物均得到妥善处理，去向明确，只要做好相应的管理工作，可保证产生的固废对周边环境不会造成明显影响。</w:t>
      </w:r>
    </w:p>
    <w:p>
      <w:pPr>
        <w:spacing w:line="360" w:lineRule="auto"/>
        <w:ind w:firstLine="482" w:firstLineChars="200"/>
        <w:rPr>
          <w:b/>
          <w:color w:val="auto"/>
          <w:sz w:val="24"/>
          <w:szCs w:val="24"/>
        </w:rPr>
      </w:pPr>
      <w:r>
        <w:rPr>
          <w:rFonts w:hint="eastAsia"/>
          <w:b/>
          <w:color w:val="auto"/>
          <w:sz w:val="24"/>
          <w:szCs w:val="24"/>
        </w:rPr>
        <w:t>6、运营期土壤环境影响分析结论</w:t>
      </w:r>
    </w:p>
    <w:p>
      <w:pPr>
        <w:spacing w:line="360" w:lineRule="auto"/>
        <w:ind w:firstLine="480" w:firstLineChars="200"/>
        <w:rPr>
          <w:color w:val="auto"/>
          <w:sz w:val="24"/>
          <w:szCs w:val="24"/>
        </w:rPr>
      </w:pPr>
      <w:r>
        <w:rPr>
          <w:rFonts w:hint="eastAsia"/>
          <w:color w:val="auto"/>
          <w:sz w:val="24"/>
          <w:szCs w:val="24"/>
        </w:rPr>
        <w:t>本项目对废水、固废严格控制，同时对厂区可能产生污染的区域按要求进行相应等级的防渗，事故情况下立即采取相应的应急处理措施，切断污染源。在采取以上措施后，项目运营期对土壤环境的污染影响较小。</w:t>
      </w:r>
    </w:p>
    <w:p>
      <w:pPr>
        <w:pStyle w:val="3"/>
        <w:rPr>
          <w:color w:val="auto"/>
        </w:rPr>
      </w:pPr>
      <w:bookmarkStart w:id="210" w:name="_Toc26276910"/>
      <w:bookmarkStart w:id="211" w:name="_Toc20171"/>
      <w:r>
        <w:rPr>
          <w:rFonts w:hint="eastAsia"/>
          <w:color w:val="auto"/>
        </w:rPr>
        <w:t>10.5环境风险分析</w:t>
      </w:r>
      <w:bookmarkEnd w:id="210"/>
      <w:r>
        <w:rPr>
          <w:rFonts w:hint="eastAsia"/>
          <w:color w:val="auto"/>
        </w:rPr>
        <w:t>结论</w:t>
      </w:r>
      <w:bookmarkEnd w:id="211"/>
    </w:p>
    <w:p>
      <w:pPr>
        <w:spacing w:line="360" w:lineRule="auto"/>
        <w:ind w:firstLine="480" w:firstLineChars="200"/>
        <w:rPr>
          <w:color w:val="auto"/>
          <w:sz w:val="24"/>
          <w:szCs w:val="24"/>
        </w:rPr>
      </w:pPr>
      <w:r>
        <w:rPr>
          <w:rFonts w:hint="eastAsia"/>
          <w:color w:val="auto"/>
          <w:sz w:val="24"/>
          <w:szCs w:val="24"/>
        </w:rPr>
        <w:t>经分析，本项目可能发生事故的类型主要有：火灾事故引发的次生环境危害、非正常工况废水超标排放事故、废水泄露事故。在采取相应的预防措施，并加强管理后，预计本项目发生各类事故的机率很小，环境风险影响属可接受水平。</w:t>
      </w:r>
    </w:p>
    <w:p>
      <w:pPr>
        <w:spacing w:line="360" w:lineRule="auto"/>
        <w:ind w:firstLine="480" w:firstLineChars="200"/>
        <w:rPr>
          <w:color w:val="auto"/>
          <w:sz w:val="24"/>
          <w:szCs w:val="24"/>
        </w:rPr>
      </w:pPr>
      <w:r>
        <w:rPr>
          <w:rFonts w:hint="eastAsia"/>
          <w:color w:val="auto"/>
          <w:sz w:val="24"/>
          <w:szCs w:val="24"/>
        </w:rPr>
        <w:t>发生事故时如能严格落实本报告提出的各项防止环境污染的措施和要求，采取紧急的工程应急措施和社会应急措施，事故产生的影响是可以控制的。</w:t>
      </w:r>
    </w:p>
    <w:p>
      <w:pPr>
        <w:pStyle w:val="3"/>
        <w:rPr>
          <w:color w:val="auto"/>
        </w:rPr>
      </w:pPr>
      <w:bookmarkStart w:id="212" w:name="_Toc26276911"/>
      <w:bookmarkStart w:id="213" w:name="_Toc15242"/>
      <w:r>
        <w:rPr>
          <w:rFonts w:hint="eastAsia"/>
          <w:color w:val="auto"/>
        </w:rPr>
        <w:t>10.6清洁生产及总量指标</w:t>
      </w:r>
      <w:bookmarkEnd w:id="212"/>
      <w:r>
        <w:rPr>
          <w:rFonts w:hint="eastAsia"/>
          <w:color w:val="auto"/>
        </w:rPr>
        <w:t>结论</w:t>
      </w:r>
      <w:bookmarkEnd w:id="213"/>
    </w:p>
    <w:p>
      <w:pPr>
        <w:spacing w:line="360" w:lineRule="auto"/>
        <w:ind w:firstLine="480" w:firstLineChars="200"/>
        <w:rPr>
          <w:color w:val="auto"/>
          <w:sz w:val="24"/>
          <w:szCs w:val="24"/>
        </w:rPr>
      </w:pPr>
      <w:r>
        <w:rPr>
          <w:rFonts w:hint="eastAsia"/>
          <w:color w:val="auto"/>
          <w:sz w:val="24"/>
          <w:szCs w:val="24"/>
        </w:rPr>
        <w:t>项目采用节能降耗的先进工艺，在力求降低物耗、能耗的同时，改善了工作环境，对污染物均采取了有效、可行的治理措施，符合清洁生产原则。</w:t>
      </w:r>
    </w:p>
    <w:p>
      <w:pPr>
        <w:spacing w:line="360" w:lineRule="auto"/>
        <w:ind w:firstLine="480" w:firstLineChars="200"/>
        <w:rPr>
          <w:color w:val="auto"/>
          <w:sz w:val="24"/>
          <w:szCs w:val="24"/>
        </w:rPr>
      </w:pPr>
      <w:r>
        <w:rPr>
          <w:rFonts w:hint="eastAsia"/>
          <w:color w:val="auto"/>
          <w:sz w:val="24"/>
          <w:szCs w:val="24"/>
        </w:rPr>
        <w:t>本项目是环境保护类工程，属于总量削减型项目，根据国家环境保护部实施污染物排放总量控制的指标要求，并结合本项目的特点及周围环境状况，确定本项目污染物排放总量控制指标为：COD—61.32t/a；NH</w:t>
      </w:r>
      <w:r>
        <w:rPr>
          <w:rFonts w:hint="eastAsia"/>
          <w:color w:val="auto"/>
          <w:sz w:val="24"/>
          <w:szCs w:val="24"/>
          <w:vertAlign w:val="subscript"/>
        </w:rPr>
        <w:t>3</w:t>
      </w:r>
      <w:r>
        <w:rPr>
          <w:rFonts w:hint="eastAsia"/>
          <w:color w:val="auto"/>
          <w:sz w:val="24"/>
          <w:szCs w:val="24"/>
        </w:rPr>
        <w:t>-N—3.066t/a；总氮—20.44t/a。</w:t>
      </w:r>
    </w:p>
    <w:p>
      <w:pPr>
        <w:pStyle w:val="3"/>
        <w:rPr>
          <w:color w:val="auto"/>
        </w:rPr>
      </w:pPr>
      <w:bookmarkStart w:id="214" w:name="_Toc3240"/>
      <w:r>
        <w:rPr>
          <w:rFonts w:hint="eastAsia"/>
          <w:color w:val="auto"/>
        </w:rPr>
        <w:t>10.7公众参与结论</w:t>
      </w:r>
      <w:bookmarkEnd w:id="214"/>
    </w:p>
    <w:p>
      <w:pPr>
        <w:pStyle w:val="48"/>
        <w:ind w:firstLine="480"/>
        <w:rPr>
          <w:rFonts w:ascii="Times New Roman" w:hAnsi="Times New Roman" w:eastAsia="宋体"/>
          <w:color w:val="auto"/>
          <w:sz w:val="24"/>
        </w:rPr>
      </w:pPr>
      <w:r>
        <w:rPr>
          <w:rFonts w:ascii="Times New Roman" w:hAnsi="宋体" w:eastAsia="宋体"/>
          <w:color w:val="auto"/>
          <w:sz w:val="24"/>
        </w:rPr>
        <w:t>调查结果显示，被调查者对项目的建设持赞成意见，经过</w:t>
      </w:r>
      <w:r>
        <w:rPr>
          <w:rFonts w:ascii="Times New Roman" w:hAnsi="Times New Roman" w:eastAsia="宋体"/>
          <w:color w:val="auto"/>
          <w:sz w:val="24"/>
        </w:rPr>
        <w:t>10</w:t>
      </w:r>
      <w:r>
        <w:rPr>
          <w:rFonts w:ascii="Times New Roman" w:hAnsi="宋体" w:eastAsia="宋体"/>
          <w:color w:val="auto"/>
          <w:sz w:val="24"/>
        </w:rPr>
        <w:t>天的公示，未收到任何单位或个人对本项目的建设提出反对意见。建设单位承诺采用合理有效的措施治理本项目产生的废水、废气和噪声以及固体废物，做到污染物达标排放。在施工阶段进行严格管理，保证施工质量，保证各项污染治理措施能够稳定运行，各项污染物达标排放。项目运行阶段将采用先进的管理技术，严格杜绝因人为因素造成的不达标、不稳定排放的情况。做好风险应急措施，建立完善的预警机制，当发生事故性排放的情况下，立即启动预警机制，将事故性排放对周围环境造成的影响降到最小。建立完善的环境管理与监测体系，加强对污染物排放的监督和管理。</w:t>
      </w:r>
      <w:bookmarkStart w:id="215" w:name="_Toc26276912"/>
    </w:p>
    <w:p>
      <w:pPr>
        <w:pStyle w:val="3"/>
        <w:rPr>
          <w:color w:val="auto"/>
        </w:rPr>
      </w:pPr>
      <w:bookmarkStart w:id="216" w:name="_Toc23913"/>
      <w:r>
        <w:rPr>
          <w:rFonts w:hint="eastAsia"/>
          <w:color w:val="auto"/>
        </w:rPr>
        <w:t>10.8结论</w:t>
      </w:r>
      <w:bookmarkEnd w:id="215"/>
      <w:bookmarkEnd w:id="216"/>
    </w:p>
    <w:p>
      <w:pPr>
        <w:spacing w:line="360" w:lineRule="auto"/>
        <w:ind w:firstLine="480" w:firstLineChars="200"/>
        <w:rPr>
          <w:color w:val="auto"/>
          <w:sz w:val="24"/>
          <w:szCs w:val="24"/>
        </w:rPr>
      </w:pPr>
      <w:r>
        <w:rPr>
          <w:rFonts w:hint="eastAsia"/>
          <w:color w:val="auto"/>
          <w:sz w:val="24"/>
          <w:szCs w:val="24"/>
        </w:rPr>
        <w:t>五华河东绿色生态工业小镇油新水质净化厂一期工程建设项目的建设符合国家产业政策，符合当地的总体规划，项目选址合理。项目所在地周边无重大环境制约要素，项目贯彻了清洁生产原则。项目拟采取的污染治理措施技术经济可行，排放污染物能够达到国家规定的标准，项目建设对评价区域环境质量的影响不明显。项目采取相应的措施后环境风险较小，风险防范措施切实可行。只要严格落实环境影响报告书提出的环保对策及生态保护措施，严格执行“三同时”制度，确保项目产生的污染物达标排放，认真落实环境风险的防范措施及应急预案，则本项目的建设从环保角度来说是可行的。</w:t>
      </w:r>
    </w:p>
    <w:p>
      <w:pPr>
        <w:pStyle w:val="3"/>
        <w:rPr>
          <w:color w:val="auto"/>
        </w:rPr>
      </w:pPr>
      <w:bookmarkStart w:id="217" w:name="_Toc26276913"/>
      <w:bookmarkStart w:id="218" w:name="_Toc16458"/>
      <w:r>
        <w:rPr>
          <w:rFonts w:hint="eastAsia"/>
          <w:color w:val="auto"/>
        </w:rPr>
        <w:t>10.9建议</w:t>
      </w:r>
      <w:bookmarkEnd w:id="217"/>
      <w:bookmarkEnd w:id="218"/>
    </w:p>
    <w:p>
      <w:pPr>
        <w:spacing w:line="360" w:lineRule="auto"/>
        <w:ind w:firstLine="480" w:firstLineChars="200"/>
        <w:rPr>
          <w:color w:val="auto"/>
          <w:sz w:val="24"/>
          <w:szCs w:val="24"/>
        </w:rPr>
      </w:pPr>
      <w:r>
        <w:rPr>
          <w:rFonts w:hint="eastAsia"/>
          <w:color w:val="auto"/>
          <w:sz w:val="24"/>
          <w:szCs w:val="24"/>
        </w:rPr>
        <w:t>为确保各类污染物达标排放，各项环保设施的稳定运行，最大限度减少污染，本评价提出如下建议：</w:t>
      </w:r>
    </w:p>
    <w:p>
      <w:pPr>
        <w:spacing w:line="360" w:lineRule="auto"/>
        <w:ind w:firstLine="480" w:firstLineChars="200"/>
        <w:rPr>
          <w:color w:val="auto"/>
          <w:sz w:val="24"/>
          <w:szCs w:val="24"/>
        </w:rPr>
      </w:pPr>
      <w:r>
        <w:rPr>
          <w:rFonts w:hint="eastAsia"/>
          <w:color w:val="auto"/>
          <w:sz w:val="24"/>
          <w:szCs w:val="24"/>
        </w:rPr>
        <w:t>（1）严格执行环保“三同时”制度，认真落实环保资金，确保本评价提出的各类环保设施与主体工程同时投入运行。</w:t>
      </w:r>
    </w:p>
    <w:p>
      <w:pPr>
        <w:spacing w:line="360" w:lineRule="auto"/>
        <w:ind w:firstLine="480" w:firstLineChars="200"/>
        <w:rPr>
          <w:color w:val="auto"/>
          <w:sz w:val="24"/>
          <w:szCs w:val="24"/>
        </w:rPr>
      </w:pPr>
      <w:r>
        <w:rPr>
          <w:rFonts w:hint="eastAsia"/>
          <w:color w:val="auto"/>
          <w:sz w:val="24"/>
          <w:szCs w:val="24"/>
        </w:rPr>
        <w:t>（2）水质净化厂要制订规范的管理制度，操作工人要经过培训，持证上岗，杜绝因操作工责任事故而产生的事故排放或废水超标排放。</w:t>
      </w:r>
    </w:p>
    <w:p>
      <w:pPr>
        <w:spacing w:line="360" w:lineRule="auto"/>
        <w:ind w:firstLine="480" w:firstLineChars="200"/>
        <w:rPr>
          <w:color w:val="auto"/>
          <w:sz w:val="24"/>
          <w:szCs w:val="24"/>
        </w:rPr>
      </w:pPr>
      <w:r>
        <w:rPr>
          <w:rFonts w:hint="eastAsia"/>
          <w:color w:val="auto"/>
          <w:sz w:val="24"/>
          <w:szCs w:val="24"/>
        </w:rPr>
        <w:t>（3）在厂区内处理单元周围、空闲地带及厂区围墙周边种植草木，厂内乔灌草结合，厂区围墙周边种植高大乔木，尽量减小恶臭气体对环境的影响。充分利用厂区空地进行绿化，增加厂区绿地面积。</w:t>
      </w:r>
    </w:p>
    <w:p>
      <w:pPr>
        <w:spacing w:line="360" w:lineRule="auto"/>
        <w:ind w:firstLine="480" w:firstLineChars="200"/>
        <w:rPr>
          <w:color w:val="auto"/>
          <w:sz w:val="24"/>
          <w:szCs w:val="24"/>
        </w:rPr>
      </w:pPr>
      <w:r>
        <w:rPr>
          <w:rFonts w:hint="eastAsia"/>
          <w:color w:val="auto"/>
          <w:sz w:val="24"/>
          <w:szCs w:val="24"/>
        </w:rPr>
        <w:t>（4）对进入本水质净化厂的企业外排废水严格管理，实行监测制度，进入水质净化厂的废水必须达到收水要求，防止高浓度废水进入水质净化厂，影响水质净化厂正常运行。</w:t>
      </w:r>
    </w:p>
    <w:p>
      <w:pPr>
        <w:spacing w:line="360" w:lineRule="auto"/>
        <w:ind w:firstLine="480" w:firstLineChars="200"/>
        <w:rPr>
          <w:color w:val="auto"/>
          <w:sz w:val="24"/>
          <w:szCs w:val="24"/>
        </w:rPr>
      </w:pPr>
      <w:r>
        <w:rPr>
          <w:rFonts w:hint="eastAsia"/>
          <w:color w:val="auto"/>
          <w:sz w:val="24"/>
          <w:szCs w:val="24"/>
        </w:rPr>
        <w:t>（5）加强设备维护、维修工作，确保各类环保设施正常运行。</w:t>
      </w:r>
    </w:p>
    <w:p>
      <w:pPr>
        <w:spacing w:line="360" w:lineRule="auto"/>
        <w:ind w:firstLine="480" w:firstLineChars="200"/>
        <w:rPr>
          <w:color w:val="auto"/>
          <w:sz w:val="24"/>
          <w:szCs w:val="24"/>
        </w:rPr>
      </w:pPr>
      <w:r>
        <w:rPr>
          <w:rFonts w:hint="eastAsia"/>
          <w:color w:val="auto"/>
          <w:sz w:val="24"/>
          <w:szCs w:val="24"/>
        </w:rPr>
        <w:t>（6）搞好厂区防渗处理和硬化，减轻污染物下渗对地下水环境的影响。</w:t>
      </w:r>
    </w:p>
    <w:p>
      <w:pPr>
        <w:spacing w:line="360" w:lineRule="auto"/>
        <w:ind w:firstLine="480" w:firstLineChars="200"/>
        <w:rPr>
          <w:color w:val="auto"/>
          <w:sz w:val="24"/>
          <w:szCs w:val="24"/>
        </w:rPr>
      </w:pPr>
      <w:r>
        <w:rPr>
          <w:rFonts w:hint="eastAsia"/>
          <w:color w:val="auto"/>
          <w:sz w:val="24"/>
          <w:szCs w:val="24"/>
        </w:rPr>
        <w:t>（7）建设单位应严格遵守国家环境保护的法律、法规，成立专门的环境保护管理机构，建立健全的环境管理制度和环境保护岗位责任制，认真搞好环境保护宣传和教育，提高全员的环保意识，减少人为环境污染和生态破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思源宋体 CN">
    <w:altName w:val="宋体"/>
    <w:panose1 w:val="00000000000000000000"/>
    <w:charset w:val="86"/>
    <w:family w:val="roman"/>
    <w:pitch w:val="default"/>
    <w:sig w:usb0="00000000" w:usb1="00000000" w:usb2="00000016" w:usb3="00000000" w:csb0="00060107"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16" w:usb3="00000000" w:csb0="0004000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modern"/>
    <w:pitch w:val="default"/>
    <w:sig w:usb0="E00002FF" w:usb1="6AC7FDFB" w:usb2="00000012" w:usb3="00000000" w:csb0="4002009F" w:csb1="DFD7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57479"/>
    </w:sdtPr>
    <w:sdtContent>
      <w:p>
        <w:pPr>
          <w:pStyle w:val="16"/>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rFonts w:hint="eastAsia"/>
      </w:rPr>
      <w:t>五华河东绿色生态工业小镇油新水质净化厂一期工程建设项目                        环境影响报告书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rFonts w:hint="eastAsia"/>
      </w:rPr>
      <w:t>五华河东绿色生态工业小镇油新水质净化厂一期工程建设项目                        环境影响报告书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NotTrackMoves/>
  <w:documentProtection w:enforcement="0"/>
  <w:defaultTabStop w:val="420"/>
  <w:drawingGridHorizontalSpacing w:val="10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C7591"/>
    <w:rsid w:val="00001086"/>
    <w:rsid w:val="00002A25"/>
    <w:rsid w:val="00002B30"/>
    <w:rsid w:val="0000351E"/>
    <w:rsid w:val="00003850"/>
    <w:rsid w:val="000043B9"/>
    <w:rsid w:val="000051FC"/>
    <w:rsid w:val="000053FA"/>
    <w:rsid w:val="000054C5"/>
    <w:rsid w:val="00006668"/>
    <w:rsid w:val="0000670E"/>
    <w:rsid w:val="000067D8"/>
    <w:rsid w:val="000068F4"/>
    <w:rsid w:val="00006939"/>
    <w:rsid w:val="00007258"/>
    <w:rsid w:val="00007340"/>
    <w:rsid w:val="00007431"/>
    <w:rsid w:val="00007D74"/>
    <w:rsid w:val="00007F1E"/>
    <w:rsid w:val="00010926"/>
    <w:rsid w:val="00010B9D"/>
    <w:rsid w:val="00010C6E"/>
    <w:rsid w:val="00011079"/>
    <w:rsid w:val="00011119"/>
    <w:rsid w:val="00011572"/>
    <w:rsid w:val="000116B5"/>
    <w:rsid w:val="00012E8F"/>
    <w:rsid w:val="00013581"/>
    <w:rsid w:val="000145E7"/>
    <w:rsid w:val="0001498D"/>
    <w:rsid w:val="0001499C"/>
    <w:rsid w:val="00014F9A"/>
    <w:rsid w:val="00014FB3"/>
    <w:rsid w:val="000150E5"/>
    <w:rsid w:val="00015643"/>
    <w:rsid w:val="00015F1C"/>
    <w:rsid w:val="00016F93"/>
    <w:rsid w:val="0001744C"/>
    <w:rsid w:val="00017484"/>
    <w:rsid w:val="00017B9B"/>
    <w:rsid w:val="00017D61"/>
    <w:rsid w:val="0002046C"/>
    <w:rsid w:val="0002086E"/>
    <w:rsid w:val="00020B30"/>
    <w:rsid w:val="00020BEF"/>
    <w:rsid w:val="0002121A"/>
    <w:rsid w:val="00021CE3"/>
    <w:rsid w:val="000220A7"/>
    <w:rsid w:val="000223CD"/>
    <w:rsid w:val="000231CA"/>
    <w:rsid w:val="000233AD"/>
    <w:rsid w:val="00023808"/>
    <w:rsid w:val="000239D4"/>
    <w:rsid w:val="00024C80"/>
    <w:rsid w:val="00025012"/>
    <w:rsid w:val="000254AC"/>
    <w:rsid w:val="000254D6"/>
    <w:rsid w:val="00025945"/>
    <w:rsid w:val="00025AE4"/>
    <w:rsid w:val="00025B19"/>
    <w:rsid w:val="000260D2"/>
    <w:rsid w:val="000260F3"/>
    <w:rsid w:val="00026243"/>
    <w:rsid w:val="00026AFB"/>
    <w:rsid w:val="00026F0C"/>
    <w:rsid w:val="00026F12"/>
    <w:rsid w:val="000275BE"/>
    <w:rsid w:val="00027ABA"/>
    <w:rsid w:val="000308F9"/>
    <w:rsid w:val="00031643"/>
    <w:rsid w:val="000319ED"/>
    <w:rsid w:val="00032130"/>
    <w:rsid w:val="00032953"/>
    <w:rsid w:val="00032966"/>
    <w:rsid w:val="0003299E"/>
    <w:rsid w:val="000332C9"/>
    <w:rsid w:val="00033997"/>
    <w:rsid w:val="00033E1C"/>
    <w:rsid w:val="00034020"/>
    <w:rsid w:val="00034890"/>
    <w:rsid w:val="00034CDD"/>
    <w:rsid w:val="00034CE9"/>
    <w:rsid w:val="00035D4C"/>
    <w:rsid w:val="00035E45"/>
    <w:rsid w:val="00040E08"/>
    <w:rsid w:val="00040E2F"/>
    <w:rsid w:val="00040EB4"/>
    <w:rsid w:val="000412ED"/>
    <w:rsid w:val="000422C4"/>
    <w:rsid w:val="00042367"/>
    <w:rsid w:val="00043B54"/>
    <w:rsid w:val="00043CF1"/>
    <w:rsid w:val="0004419D"/>
    <w:rsid w:val="000442E6"/>
    <w:rsid w:val="00044C51"/>
    <w:rsid w:val="00044E6D"/>
    <w:rsid w:val="000455C2"/>
    <w:rsid w:val="00046D76"/>
    <w:rsid w:val="00046E4D"/>
    <w:rsid w:val="00050558"/>
    <w:rsid w:val="00050742"/>
    <w:rsid w:val="00051147"/>
    <w:rsid w:val="00051D90"/>
    <w:rsid w:val="000520FE"/>
    <w:rsid w:val="0005308D"/>
    <w:rsid w:val="00053561"/>
    <w:rsid w:val="000538E9"/>
    <w:rsid w:val="00053EB6"/>
    <w:rsid w:val="000545F4"/>
    <w:rsid w:val="000547CE"/>
    <w:rsid w:val="0005508F"/>
    <w:rsid w:val="00056BD0"/>
    <w:rsid w:val="00056C0D"/>
    <w:rsid w:val="00056F6E"/>
    <w:rsid w:val="0005715D"/>
    <w:rsid w:val="00057391"/>
    <w:rsid w:val="00057D39"/>
    <w:rsid w:val="00057F30"/>
    <w:rsid w:val="00060311"/>
    <w:rsid w:val="00060FDA"/>
    <w:rsid w:val="00061238"/>
    <w:rsid w:val="00061602"/>
    <w:rsid w:val="00062D63"/>
    <w:rsid w:val="00063A97"/>
    <w:rsid w:val="00063B88"/>
    <w:rsid w:val="00063DA1"/>
    <w:rsid w:val="00063E79"/>
    <w:rsid w:val="00064391"/>
    <w:rsid w:val="00064570"/>
    <w:rsid w:val="000645A6"/>
    <w:rsid w:val="00065689"/>
    <w:rsid w:val="00065751"/>
    <w:rsid w:val="000671B2"/>
    <w:rsid w:val="0007006E"/>
    <w:rsid w:val="000702C4"/>
    <w:rsid w:val="000703F2"/>
    <w:rsid w:val="00070BD5"/>
    <w:rsid w:val="00070E6A"/>
    <w:rsid w:val="0007136F"/>
    <w:rsid w:val="00072801"/>
    <w:rsid w:val="00073280"/>
    <w:rsid w:val="00073E31"/>
    <w:rsid w:val="00074EC1"/>
    <w:rsid w:val="00075484"/>
    <w:rsid w:val="00075B77"/>
    <w:rsid w:val="00077219"/>
    <w:rsid w:val="000772F6"/>
    <w:rsid w:val="0007782F"/>
    <w:rsid w:val="00077855"/>
    <w:rsid w:val="00077A9B"/>
    <w:rsid w:val="0008011D"/>
    <w:rsid w:val="000801DE"/>
    <w:rsid w:val="0008063F"/>
    <w:rsid w:val="00080A6B"/>
    <w:rsid w:val="00080CB5"/>
    <w:rsid w:val="00080D2D"/>
    <w:rsid w:val="00080EC8"/>
    <w:rsid w:val="00081616"/>
    <w:rsid w:val="00081D63"/>
    <w:rsid w:val="000820F7"/>
    <w:rsid w:val="000828E6"/>
    <w:rsid w:val="00082A09"/>
    <w:rsid w:val="00082C6A"/>
    <w:rsid w:val="00082E62"/>
    <w:rsid w:val="000832EB"/>
    <w:rsid w:val="00083917"/>
    <w:rsid w:val="00083D01"/>
    <w:rsid w:val="00084055"/>
    <w:rsid w:val="00084535"/>
    <w:rsid w:val="00084931"/>
    <w:rsid w:val="00085310"/>
    <w:rsid w:val="00085368"/>
    <w:rsid w:val="000853DD"/>
    <w:rsid w:val="000854BC"/>
    <w:rsid w:val="00085A6C"/>
    <w:rsid w:val="00085C22"/>
    <w:rsid w:val="000862CD"/>
    <w:rsid w:val="00086A0F"/>
    <w:rsid w:val="00086DEE"/>
    <w:rsid w:val="00087415"/>
    <w:rsid w:val="00087E31"/>
    <w:rsid w:val="00090235"/>
    <w:rsid w:val="00091771"/>
    <w:rsid w:val="0009197C"/>
    <w:rsid w:val="00092135"/>
    <w:rsid w:val="00092380"/>
    <w:rsid w:val="00092CE6"/>
    <w:rsid w:val="000930E4"/>
    <w:rsid w:val="00093954"/>
    <w:rsid w:val="00093B48"/>
    <w:rsid w:val="000948E3"/>
    <w:rsid w:val="00094B76"/>
    <w:rsid w:val="00094CE5"/>
    <w:rsid w:val="00094E73"/>
    <w:rsid w:val="000951E5"/>
    <w:rsid w:val="000955D3"/>
    <w:rsid w:val="00095ABF"/>
    <w:rsid w:val="00095BD0"/>
    <w:rsid w:val="00096D7B"/>
    <w:rsid w:val="00097A9D"/>
    <w:rsid w:val="00097BEF"/>
    <w:rsid w:val="000A010E"/>
    <w:rsid w:val="000A0300"/>
    <w:rsid w:val="000A0461"/>
    <w:rsid w:val="000A04EE"/>
    <w:rsid w:val="000A0B04"/>
    <w:rsid w:val="000A0D1B"/>
    <w:rsid w:val="000A0E26"/>
    <w:rsid w:val="000A1996"/>
    <w:rsid w:val="000A21F5"/>
    <w:rsid w:val="000A2776"/>
    <w:rsid w:val="000A2BDC"/>
    <w:rsid w:val="000A2C54"/>
    <w:rsid w:val="000A380E"/>
    <w:rsid w:val="000A3D97"/>
    <w:rsid w:val="000A41F6"/>
    <w:rsid w:val="000A439C"/>
    <w:rsid w:val="000A4529"/>
    <w:rsid w:val="000A466C"/>
    <w:rsid w:val="000A495D"/>
    <w:rsid w:val="000A5430"/>
    <w:rsid w:val="000A6461"/>
    <w:rsid w:val="000A6C78"/>
    <w:rsid w:val="000A7582"/>
    <w:rsid w:val="000B00EB"/>
    <w:rsid w:val="000B0511"/>
    <w:rsid w:val="000B0565"/>
    <w:rsid w:val="000B0888"/>
    <w:rsid w:val="000B10EA"/>
    <w:rsid w:val="000B1347"/>
    <w:rsid w:val="000B1FFB"/>
    <w:rsid w:val="000B205C"/>
    <w:rsid w:val="000B2245"/>
    <w:rsid w:val="000B25B0"/>
    <w:rsid w:val="000B2EFB"/>
    <w:rsid w:val="000B33D9"/>
    <w:rsid w:val="000B3838"/>
    <w:rsid w:val="000B399B"/>
    <w:rsid w:val="000B3C99"/>
    <w:rsid w:val="000B4089"/>
    <w:rsid w:val="000B5355"/>
    <w:rsid w:val="000B5463"/>
    <w:rsid w:val="000B546B"/>
    <w:rsid w:val="000B56E9"/>
    <w:rsid w:val="000B6133"/>
    <w:rsid w:val="000B6170"/>
    <w:rsid w:val="000B61F0"/>
    <w:rsid w:val="000B69E9"/>
    <w:rsid w:val="000B6DFE"/>
    <w:rsid w:val="000B7315"/>
    <w:rsid w:val="000B779D"/>
    <w:rsid w:val="000B7A45"/>
    <w:rsid w:val="000B7B3E"/>
    <w:rsid w:val="000B7CA7"/>
    <w:rsid w:val="000C03E9"/>
    <w:rsid w:val="000C042F"/>
    <w:rsid w:val="000C18D3"/>
    <w:rsid w:val="000C26AE"/>
    <w:rsid w:val="000C28F4"/>
    <w:rsid w:val="000C2D57"/>
    <w:rsid w:val="000C2DEE"/>
    <w:rsid w:val="000C3268"/>
    <w:rsid w:val="000C49C2"/>
    <w:rsid w:val="000C664A"/>
    <w:rsid w:val="000C668E"/>
    <w:rsid w:val="000C682B"/>
    <w:rsid w:val="000C774F"/>
    <w:rsid w:val="000C7CF9"/>
    <w:rsid w:val="000C7ED9"/>
    <w:rsid w:val="000C7F32"/>
    <w:rsid w:val="000D10CE"/>
    <w:rsid w:val="000D1B3B"/>
    <w:rsid w:val="000D3329"/>
    <w:rsid w:val="000D3775"/>
    <w:rsid w:val="000D4588"/>
    <w:rsid w:val="000D4A6B"/>
    <w:rsid w:val="000D4F2A"/>
    <w:rsid w:val="000D5285"/>
    <w:rsid w:val="000D532B"/>
    <w:rsid w:val="000D5368"/>
    <w:rsid w:val="000D574D"/>
    <w:rsid w:val="000D5872"/>
    <w:rsid w:val="000D66EE"/>
    <w:rsid w:val="000D6790"/>
    <w:rsid w:val="000D710C"/>
    <w:rsid w:val="000D7A39"/>
    <w:rsid w:val="000D7E3E"/>
    <w:rsid w:val="000E01A5"/>
    <w:rsid w:val="000E039A"/>
    <w:rsid w:val="000E09B6"/>
    <w:rsid w:val="000E0A53"/>
    <w:rsid w:val="000E103B"/>
    <w:rsid w:val="000E120F"/>
    <w:rsid w:val="000E14EF"/>
    <w:rsid w:val="000E16A5"/>
    <w:rsid w:val="000E287D"/>
    <w:rsid w:val="000E299A"/>
    <w:rsid w:val="000E2D14"/>
    <w:rsid w:val="000E2D86"/>
    <w:rsid w:val="000E3339"/>
    <w:rsid w:val="000E341C"/>
    <w:rsid w:val="000E3A9F"/>
    <w:rsid w:val="000E3B22"/>
    <w:rsid w:val="000E4807"/>
    <w:rsid w:val="000E4F23"/>
    <w:rsid w:val="000E5CAC"/>
    <w:rsid w:val="000E609A"/>
    <w:rsid w:val="000E67F1"/>
    <w:rsid w:val="000E68E4"/>
    <w:rsid w:val="000E6BEB"/>
    <w:rsid w:val="000F0A01"/>
    <w:rsid w:val="000F162C"/>
    <w:rsid w:val="000F1759"/>
    <w:rsid w:val="000F1D18"/>
    <w:rsid w:val="000F1FA6"/>
    <w:rsid w:val="000F2110"/>
    <w:rsid w:val="000F2136"/>
    <w:rsid w:val="000F23A2"/>
    <w:rsid w:val="000F2F87"/>
    <w:rsid w:val="000F379D"/>
    <w:rsid w:val="000F47DE"/>
    <w:rsid w:val="000F4911"/>
    <w:rsid w:val="000F49B1"/>
    <w:rsid w:val="000F537C"/>
    <w:rsid w:val="000F5402"/>
    <w:rsid w:val="000F5615"/>
    <w:rsid w:val="000F5655"/>
    <w:rsid w:val="000F5ED1"/>
    <w:rsid w:val="000F5F06"/>
    <w:rsid w:val="000F6342"/>
    <w:rsid w:val="000F6FC3"/>
    <w:rsid w:val="000F75CE"/>
    <w:rsid w:val="000F7C77"/>
    <w:rsid w:val="000F7CF3"/>
    <w:rsid w:val="000F7FB8"/>
    <w:rsid w:val="00100D3F"/>
    <w:rsid w:val="001019A1"/>
    <w:rsid w:val="00101DA5"/>
    <w:rsid w:val="00101E15"/>
    <w:rsid w:val="001023FF"/>
    <w:rsid w:val="0010292B"/>
    <w:rsid w:val="00102DEC"/>
    <w:rsid w:val="00103536"/>
    <w:rsid w:val="00103879"/>
    <w:rsid w:val="00103B5E"/>
    <w:rsid w:val="00104165"/>
    <w:rsid w:val="00104844"/>
    <w:rsid w:val="001050E9"/>
    <w:rsid w:val="001050FD"/>
    <w:rsid w:val="001051D2"/>
    <w:rsid w:val="00105268"/>
    <w:rsid w:val="001053FC"/>
    <w:rsid w:val="00105520"/>
    <w:rsid w:val="001059FD"/>
    <w:rsid w:val="00105A08"/>
    <w:rsid w:val="00105D23"/>
    <w:rsid w:val="00106375"/>
    <w:rsid w:val="00107C53"/>
    <w:rsid w:val="0011085F"/>
    <w:rsid w:val="00111967"/>
    <w:rsid w:val="00111C3F"/>
    <w:rsid w:val="00111ED4"/>
    <w:rsid w:val="0011208C"/>
    <w:rsid w:val="001127FE"/>
    <w:rsid w:val="00112DB1"/>
    <w:rsid w:val="00113771"/>
    <w:rsid w:val="00113F6F"/>
    <w:rsid w:val="00114263"/>
    <w:rsid w:val="00114382"/>
    <w:rsid w:val="001148D5"/>
    <w:rsid w:val="0011494C"/>
    <w:rsid w:val="00114DA2"/>
    <w:rsid w:val="001162CC"/>
    <w:rsid w:val="001163AE"/>
    <w:rsid w:val="00117121"/>
    <w:rsid w:val="00117738"/>
    <w:rsid w:val="0011775F"/>
    <w:rsid w:val="00117978"/>
    <w:rsid w:val="00120280"/>
    <w:rsid w:val="001204D7"/>
    <w:rsid w:val="0012117C"/>
    <w:rsid w:val="00121308"/>
    <w:rsid w:val="001214FA"/>
    <w:rsid w:val="0012307E"/>
    <w:rsid w:val="00123354"/>
    <w:rsid w:val="00123776"/>
    <w:rsid w:val="001243E6"/>
    <w:rsid w:val="001247B2"/>
    <w:rsid w:val="00124946"/>
    <w:rsid w:val="00125058"/>
    <w:rsid w:val="001251C1"/>
    <w:rsid w:val="0012545D"/>
    <w:rsid w:val="00125D0F"/>
    <w:rsid w:val="00126F85"/>
    <w:rsid w:val="001271A7"/>
    <w:rsid w:val="00127A05"/>
    <w:rsid w:val="00127ED8"/>
    <w:rsid w:val="001307C0"/>
    <w:rsid w:val="00130CDE"/>
    <w:rsid w:val="00130DB8"/>
    <w:rsid w:val="0013139D"/>
    <w:rsid w:val="00131584"/>
    <w:rsid w:val="00132C58"/>
    <w:rsid w:val="00132DF2"/>
    <w:rsid w:val="001334D6"/>
    <w:rsid w:val="00133E80"/>
    <w:rsid w:val="001340AD"/>
    <w:rsid w:val="001344E5"/>
    <w:rsid w:val="001350AE"/>
    <w:rsid w:val="00135170"/>
    <w:rsid w:val="001351AE"/>
    <w:rsid w:val="00135A36"/>
    <w:rsid w:val="00135EDE"/>
    <w:rsid w:val="00136483"/>
    <w:rsid w:val="00136E6F"/>
    <w:rsid w:val="00140316"/>
    <w:rsid w:val="001403C9"/>
    <w:rsid w:val="00140CA6"/>
    <w:rsid w:val="00140E71"/>
    <w:rsid w:val="00141192"/>
    <w:rsid w:val="0014124F"/>
    <w:rsid w:val="00141681"/>
    <w:rsid w:val="0014170A"/>
    <w:rsid w:val="00142896"/>
    <w:rsid w:val="00142BC7"/>
    <w:rsid w:val="00143074"/>
    <w:rsid w:val="00143176"/>
    <w:rsid w:val="001433BE"/>
    <w:rsid w:val="00143648"/>
    <w:rsid w:val="00143F23"/>
    <w:rsid w:val="00143F6F"/>
    <w:rsid w:val="001458DD"/>
    <w:rsid w:val="00145D05"/>
    <w:rsid w:val="00146740"/>
    <w:rsid w:val="00147008"/>
    <w:rsid w:val="00147545"/>
    <w:rsid w:val="00150278"/>
    <w:rsid w:val="00150757"/>
    <w:rsid w:val="00150790"/>
    <w:rsid w:val="00150C1A"/>
    <w:rsid w:val="00151987"/>
    <w:rsid w:val="0015218D"/>
    <w:rsid w:val="001524D9"/>
    <w:rsid w:val="0015276B"/>
    <w:rsid w:val="001531E2"/>
    <w:rsid w:val="001538BB"/>
    <w:rsid w:val="00153962"/>
    <w:rsid w:val="0015438C"/>
    <w:rsid w:val="00154A4A"/>
    <w:rsid w:val="00156568"/>
    <w:rsid w:val="001565A5"/>
    <w:rsid w:val="001569B7"/>
    <w:rsid w:val="00157755"/>
    <w:rsid w:val="001600A9"/>
    <w:rsid w:val="001602C7"/>
    <w:rsid w:val="001606C1"/>
    <w:rsid w:val="001614B8"/>
    <w:rsid w:val="00161986"/>
    <w:rsid w:val="0016297C"/>
    <w:rsid w:val="00162D36"/>
    <w:rsid w:val="00162E1A"/>
    <w:rsid w:val="00162FC3"/>
    <w:rsid w:val="001640D1"/>
    <w:rsid w:val="0016437C"/>
    <w:rsid w:val="0016481E"/>
    <w:rsid w:val="001654FA"/>
    <w:rsid w:val="00166AD2"/>
    <w:rsid w:val="00167084"/>
    <w:rsid w:val="001674B7"/>
    <w:rsid w:val="00167AA6"/>
    <w:rsid w:val="00167F7B"/>
    <w:rsid w:val="001700C8"/>
    <w:rsid w:val="00170648"/>
    <w:rsid w:val="00170937"/>
    <w:rsid w:val="00170B97"/>
    <w:rsid w:val="0017112B"/>
    <w:rsid w:val="00171A3D"/>
    <w:rsid w:val="00171AAA"/>
    <w:rsid w:val="00171B39"/>
    <w:rsid w:val="00171CAB"/>
    <w:rsid w:val="00171E96"/>
    <w:rsid w:val="001724E1"/>
    <w:rsid w:val="00172B45"/>
    <w:rsid w:val="001739A1"/>
    <w:rsid w:val="00174137"/>
    <w:rsid w:val="00174A00"/>
    <w:rsid w:val="00175148"/>
    <w:rsid w:val="00175B20"/>
    <w:rsid w:val="001773B4"/>
    <w:rsid w:val="0017770C"/>
    <w:rsid w:val="00177DAA"/>
    <w:rsid w:val="001805DB"/>
    <w:rsid w:val="00180DCA"/>
    <w:rsid w:val="00180F81"/>
    <w:rsid w:val="00181041"/>
    <w:rsid w:val="00181403"/>
    <w:rsid w:val="001817D4"/>
    <w:rsid w:val="001826A4"/>
    <w:rsid w:val="00183162"/>
    <w:rsid w:val="001847B9"/>
    <w:rsid w:val="00185151"/>
    <w:rsid w:val="0018523C"/>
    <w:rsid w:val="00185A02"/>
    <w:rsid w:val="00186011"/>
    <w:rsid w:val="001865DF"/>
    <w:rsid w:val="00187210"/>
    <w:rsid w:val="00190263"/>
    <w:rsid w:val="00190E5C"/>
    <w:rsid w:val="0019174A"/>
    <w:rsid w:val="0019194C"/>
    <w:rsid w:val="00191E98"/>
    <w:rsid w:val="00192366"/>
    <w:rsid w:val="00192ED0"/>
    <w:rsid w:val="0019306F"/>
    <w:rsid w:val="0019349F"/>
    <w:rsid w:val="00193AF2"/>
    <w:rsid w:val="00194703"/>
    <w:rsid w:val="00195C17"/>
    <w:rsid w:val="001961EF"/>
    <w:rsid w:val="00196297"/>
    <w:rsid w:val="0019699C"/>
    <w:rsid w:val="00196B24"/>
    <w:rsid w:val="00197603"/>
    <w:rsid w:val="00197CE1"/>
    <w:rsid w:val="001A02FB"/>
    <w:rsid w:val="001A0328"/>
    <w:rsid w:val="001A09FC"/>
    <w:rsid w:val="001A0F45"/>
    <w:rsid w:val="001A1FEF"/>
    <w:rsid w:val="001A2981"/>
    <w:rsid w:val="001A367C"/>
    <w:rsid w:val="001A3F82"/>
    <w:rsid w:val="001A4121"/>
    <w:rsid w:val="001A4C9F"/>
    <w:rsid w:val="001A5024"/>
    <w:rsid w:val="001A5061"/>
    <w:rsid w:val="001A61A9"/>
    <w:rsid w:val="001A681A"/>
    <w:rsid w:val="001A6FFF"/>
    <w:rsid w:val="001A70D2"/>
    <w:rsid w:val="001A7351"/>
    <w:rsid w:val="001A73CD"/>
    <w:rsid w:val="001B0021"/>
    <w:rsid w:val="001B00C6"/>
    <w:rsid w:val="001B0320"/>
    <w:rsid w:val="001B03F8"/>
    <w:rsid w:val="001B0DBE"/>
    <w:rsid w:val="001B0DD2"/>
    <w:rsid w:val="001B0F58"/>
    <w:rsid w:val="001B1163"/>
    <w:rsid w:val="001B13E3"/>
    <w:rsid w:val="001B1416"/>
    <w:rsid w:val="001B14F6"/>
    <w:rsid w:val="001B160F"/>
    <w:rsid w:val="001B173A"/>
    <w:rsid w:val="001B1CEA"/>
    <w:rsid w:val="001B1D3F"/>
    <w:rsid w:val="001B2B13"/>
    <w:rsid w:val="001B312B"/>
    <w:rsid w:val="001B377B"/>
    <w:rsid w:val="001B3F7E"/>
    <w:rsid w:val="001B4425"/>
    <w:rsid w:val="001B67DE"/>
    <w:rsid w:val="001B6950"/>
    <w:rsid w:val="001B70F4"/>
    <w:rsid w:val="001B723B"/>
    <w:rsid w:val="001B74DC"/>
    <w:rsid w:val="001B7D6D"/>
    <w:rsid w:val="001C0F6A"/>
    <w:rsid w:val="001C117D"/>
    <w:rsid w:val="001C14F3"/>
    <w:rsid w:val="001C160C"/>
    <w:rsid w:val="001C174F"/>
    <w:rsid w:val="001C181F"/>
    <w:rsid w:val="001C1C7A"/>
    <w:rsid w:val="001C2293"/>
    <w:rsid w:val="001C2B91"/>
    <w:rsid w:val="001C318E"/>
    <w:rsid w:val="001C3389"/>
    <w:rsid w:val="001C34CF"/>
    <w:rsid w:val="001C3609"/>
    <w:rsid w:val="001C431D"/>
    <w:rsid w:val="001C4A48"/>
    <w:rsid w:val="001C4F5B"/>
    <w:rsid w:val="001C51C0"/>
    <w:rsid w:val="001C64EC"/>
    <w:rsid w:val="001C652D"/>
    <w:rsid w:val="001C6797"/>
    <w:rsid w:val="001C6B87"/>
    <w:rsid w:val="001C6C0B"/>
    <w:rsid w:val="001C6DE2"/>
    <w:rsid w:val="001C7591"/>
    <w:rsid w:val="001C78A8"/>
    <w:rsid w:val="001C7A8D"/>
    <w:rsid w:val="001D1BCE"/>
    <w:rsid w:val="001D27CE"/>
    <w:rsid w:val="001D29A8"/>
    <w:rsid w:val="001D3D20"/>
    <w:rsid w:val="001D3D50"/>
    <w:rsid w:val="001D3E8B"/>
    <w:rsid w:val="001D4192"/>
    <w:rsid w:val="001D43FF"/>
    <w:rsid w:val="001D4786"/>
    <w:rsid w:val="001D47EA"/>
    <w:rsid w:val="001D54C9"/>
    <w:rsid w:val="001D6469"/>
    <w:rsid w:val="001D675C"/>
    <w:rsid w:val="001D72BE"/>
    <w:rsid w:val="001E0117"/>
    <w:rsid w:val="001E0522"/>
    <w:rsid w:val="001E053F"/>
    <w:rsid w:val="001E0A5B"/>
    <w:rsid w:val="001E0F0E"/>
    <w:rsid w:val="001E26BE"/>
    <w:rsid w:val="001E311B"/>
    <w:rsid w:val="001E3637"/>
    <w:rsid w:val="001E3EE7"/>
    <w:rsid w:val="001E42F2"/>
    <w:rsid w:val="001E4AF3"/>
    <w:rsid w:val="001E4BD6"/>
    <w:rsid w:val="001E5B72"/>
    <w:rsid w:val="001E6D82"/>
    <w:rsid w:val="001E7147"/>
    <w:rsid w:val="001E7217"/>
    <w:rsid w:val="001F01D7"/>
    <w:rsid w:val="001F02D7"/>
    <w:rsid w:val="001F0D46"/>
    <w:rsid w:val="001F139D"/>
    <w:rsid w:val="001F18D9"/>
    <w:rsid w:val="001F18DB"/>
    <w:rsid w:val="001F19E8"/>
    <w:rsid w:val="001F1F11"/>
    <w:rsid w:val="001F1F71"/>
    <w:rsid w:val="001F277A"/>
    <w:rsid w:val="001F2F65"/>
    <w:rsid w:val="001F432F"/>
    <w:rsid w:val="001F497A"/>
    <w:rsid w:val="001F4BBE"/>
    <w:rsid w:val="001F520C"/>
    <w:rsid w:val="001F5AB1"/>
    <w:rsid w:val="001F62AB"/>
    <w:rsid w:val="001F68DB"/>
    <w:rsid w:val="0020027E"/>
    <w:rsid w:val="00200509"/>
    <w:rsid w:val="0020068C"/>
    <w:rsid w:val="002008E3"/>
    <w:rsid w:val="002009B8"/>
    <w:rsid w:val="0020178F"/>
    <w:rsid w:val="00201E60"/>
    <w:rsid w:val="00202847"/>
    <w:rsid w:val="002030F3"/>
    <w:rsid w:val="00203578"/>
    <w:rsid w:val="0020363C"/>
    <w:rsid w:val="00203D9F"/>
    <w:rsid w:val="0020472B"/>
    <w:rsid w:val="00205E33"/>
    <w:rsid w:val="002067E9"/>
    <w:rsid w:val="00206AE9"/>
    <w:rsid w:val="00210B47"/>
    <w:rsid w:val="00210E8F"/>
    <w:rsid w:val="0021107A"/>
    <w:rsid w:val="0021115E"/>
    <w:rsid w:val="00211C1C"/>
    <w:rsid w:val="00211EA5"/>
    <w:rsid w:val="00211F04"/>
    <w:rsid w:val="00212833"/>
    <w:rsid w:val="00212B1D"/>
    <w:rsid w:val="00212E3E"/>
    <w:rsid w:val="00213385"/>
    <w:rsid w:val="0021369F"/>
    <w:rsid w:val="00213B38"/>
    <w:rsid w:val="0021542A"/>
    <w:rsid w:val="00215ECF"/>
    <w:rsid w:val="00216035"/>
    <w:rsid w:val="002160AA"/>
    <w:rsid w:val="0021662A"/>
    <w:rsid w:val="0021665D"/>
    <w:rsid w:val="00216E04"/>
    <w:rsid w:val="00217BDB"/>
    <w:rsid w:val="00217D55"/>
    <w:rsid w:val="002205E9"/>
    <w:rsid w:val="002207BB"/>
    <w:rsid w:val="00220E8D"/>
    <w:rsid w:val="00220F80"/>
    <w:rsid w:val="00220F90"/>
    <w:rsid w:val="00221807"/>
    <w:rsid w:val="00221D8E"/>
    <w:rsid w:val="00221FB0"/>
    <w:rsid w:val="0022219F"/>
    <w:rsid w:val="00222512"/>
    <w:rsid w:val="00223639"/>
    <w:rsid w:val="0022490B"/>
    <w:rsid w:val="00224B0A"/>
    <w:rsid w:val="00224D2A"/>
    <w:rsid w:val="00226668"/>
    <w:rsid w:val="002271FF"/>
    <w:rsid w:val="00227586"/>
    <w:rsid w:val="002277F6"/>
    <w:rsid w:val="002301DD"/>
    <w:rsid w:val="002307C9"/>
    <w:rsid w:val="00230E8B"/>
    <w:rsid w:val="002314D7"/>
    <w:rsid w:val="00231714"/>
    <w:rsid w:val="00231A88"/>
    <w:rsid w:val="0023227F"/>
    <w:rsid w:val="002323A1"/>
    <w:rsid w:val="002324CA"/>
    <w:rsid w:val="00232950"/>
    <w:rsid w:val="00232CB0"/>
    <w:rsid w:val="00232D47"/>
    <w:rsid w:val="00233350"/>
    <w:rsid w:val="00233A87"/>
    <w:rsid w:val="00233D29"/>
    <w:rsid w:val="00233F59"/>
    <w:rsid w:val="002349DA"/>
    <w:rsid w:val="00235388"/>
    <w:rsid w:val="00235750"/>
    <w:rsid w:val="002359A6"/>
    <w:rsid w:val="00235AB4"/>
    <w:rsid w:val="00235D7C"/>
    <w:rsid w:val="00235DF8"/>
    <w:rsid w:val="0023648B"/>
    <w:rsid w:val="00237321"/>
    <w:rsid w:val="00237442"/>
    <w:rsid w:val="002400A5"/>
    <w:rsid w:val="002409C0"/>
    <w:rsid w:val="00240D61"/>
    <w:rsid w:val="00240DCE"/>
    <w:rsid w:val="002412E3"/>
    <w:rsid w:val="00241D83"/>
    <w:rsid w:val="002443E3"/>
    <w:rsid w:val="00244E42"/>
    <w:rsid w:val="00244E94"/>
    <w:rsid w:val="00244FEF"/>
    <w:rsid w:val="002456F7"/>
    <w:rsid w:val="0024577E"/>
    <w:rsid w:val="00246123"/>
    <w:rsid w:val="00246BE7"/>
    <w:rsid w:val="00246D7D"/>
    <w:rsid w:val="00246E9C"/>
    <w:rsid w:val="00246F95"/>
    <w:rsid w:val="0024785E"/>
    <w:rsid w:val="00247965"/>
    <w:rsid w:val="002502BB"/>
    <w:rsid w:val="0025056C"/>
    <w:rsid w:val="00250A80"/>
    <w:rsid w:val="00250AFD"/>
    <w:rsid w:val="00250E21"/>
    <w:rsid w:val="00250F26"/>
    <w:rsid w:val="002514D9"/>
    <w:rsid w:val="00251B17"/>
    <w:rsid w:val="0025202A"/>
    <w:rsid w:val="00252079"/>
    <w:rsid w:val="0025269E"/>
    <w:rsid w:val="00252A5D"/>
    <w:rsid w:val="00252E60"/>
    <w:rsid w:val="00253229"/>
    <w:rsid w:val="00253354"/>
    <w:rsid w:val="00253AB1"/>
    <w:rsid w:val="00254611"/>
    <w:rsid w:val="0025524B"/>
    <w:rsid w:val="002556B6"/>
    <w:rsid w:val="00255F37"/>
    <w:rsid w:val="00256B06"/>
    <w:rsid w:val="00256C5D"/>
    <w:rsid w:val="0025705A"/>
    <w:rsid w:val="00257AFC"/>
    <w:rsid w:val="00257D99"/>
    <w:rsid w:val="00260828"/>
    <w:rsid w:val="00260916"/>
    <w:rsid w:val="002611CE"/>
    <w:rsid w:val="002615EE"/>
    <w:rsid w:val="00261EB4"/>
    <w:rsid w:val="00262658"/>
    <w:rsid w:val="00262B3E"/>
    <w:rsid w:val="00263858"/>
    <w:rsid w:val="002640EF"/>
    <w:rsid w:val="00264995"/>
    <w:rsid w:val="0026509F"/>
    <w:rsid w:val="002658CF"/>
    <w:rsid w:val="002658F8"/>
    <w:rsid w:val="00265975"/>
    <w:rsid w:val="002663CC"/>
    <w:rsid w:val="00267059"/>
    <w:rsid w:val="00267117"/>
    <w:rsid w:val="002677DA"/>
    <w:rsid w:val="00267C22"/>
    <w:rsid w:val="002713BC"/>
    <w:rsid w:val="002714C5"/>
    <w:rsid w:val="00271A4D"/>
    <w:rsid w:val="002726FF"/>
    <w:rsid w:val="0027286F"/>
    <w:rsid w:val="00272961"/>
    <w:rsid w:val="002729B8"/>
    <w:rsid w:val="00272E32"/>
    <w:rsid w:val="0027399C"/>
    <w:rsid w:val="00273BA8"/>
    <w:rsid w:val="00274310"/>
    <w:rsid w:val="002744B7"/>
    <w:rsid w:val="00274FB2"/>
    <w:rsid w:val="002753E1"/>
    <w:rsid w:val="002767FB"/>
    <w:rsid w:val="002771FC"/>
    <w:rsid w:val="0027762B"/>
    <w:rsid w:val="00277D1A"/>
    <w:rsid w:val="00280E0A"/>
    <w:rsid w:val="0028160E"/>
    <w:rsid w:val="00281D35"/>
    <w:rsid w:val="0028287D"/>
    <w:rsid w:val="002829C6"/>
    <w:rsid w:val="00282AAC"/>
    <w:rsid w:val="00282BB5"/>
    <w:rsid w:val="00282E84"/>
    <w:rsid w:val="00283513"/>
    <w:rsid w:val="0028401B"/>
    <w:rsid w:val="00284AC9"/>
    <w:rsid w:val="00284B89"/>
    <w:rsid w:val="00285351"/>
    <w:rsid w:val="00285360"/>
    <w:rsid w:val="002860DD"/>
    <w:rsid w:val="00286B10"/>
    <w:rsid w:val="002870C2"/>
    <w:rsid w:val="00287AC4"/>
    <w:rsid w:val="00291179"/>
    <w:rsid w:val="002911FD"/>
    <w:rsid w:val="0029170B"/>
    <w:rsid w:val="00291E17"/>
    <w:rsid w:val="002924C5"/>
    <w:rsid w:val="00292511"/>
    <w:rsid w:val="00292938"/>
    <w:rsid w:val="00292E72"/>
    <w:rsid w:val="00293050"/>
    <w:rsid w:val="00293743"/>
    <w:rsid w:val="002939B0"/>
    <w:rsid w:val="00293AC0"/>
    <w:rsid w:val="00293D87"/>
    <w:rsid w:val="002951DE"/>
    <w:rsid w:val="002955CE"/>
    <w:rsid w:val="002961F8"/>
    <w:rsid w:val="002966F0"/>
    <w:rsid w:val="00296E61"/>
    <w:rsid w:val="00297AC4"/>
    <w:rsid w:val="002A0221"/>
    <w:rsid w:val="002A0433"/>
    <w:rsid w:val="002A0613"/>
    <w:rsid w:val="002A08D3"/>
    <w:rsid w:val="002A0BD2"/>
    <w:rsid w:val="002A1E89"/>
    <w:rsid w:val="002A24A4"/>
    <w:rsid w:val="002A2A49"/>
    <w:rsid w:val="002A2B5F"/>
    <w:rsid w:val="002A2FB2"/>
    <w:rsid w:val="002A4A39"/>
    <w:rsid w:val="002A5D41"/>
    <w:rsid w:val="002A63CC"/>
    <w:rsid w:val="002A65F8"/>
    <w:rsid w:val="002A709F"/>
    <w:rsid w:val="002A7984"/>
    <w:rsid w:val="002A7BAA"/>
    <w:rsid w:val="002B0773"/>
    <w:rsid w:val="002B09EF"/>
    <w:rsid w:val="002B0B2C"/>
    <w:rsid w:val="002B2787"/>
    <w:rsid w:val="002B292D"/>
    <w:rsid w:val="002B426E"/>
    <w:rsid w:val="002B5219"/>
    <w:rsid w:val="002B59AA"/>
    <w:rsid w:val="002B5A2C"/>
    <w:rsid w:val="002B671A"/>
    <w:rsid w:val="002B6DDB"/>
    <w:rsid w:val="002B7B10"/>
    <w:rsid w:val="002C05BF"/>
    <w:rsid w:val="002C0DE7"/>
    <w:rsid w:val="002C27F7"/>
    <w:rsid w:val="002C3013"/>
    <w:rsid w:val="002C54B3"/>
    <w:rsid w:val="002C6A84"/>
    <w:rsid w:val="002C788A"/>
    <w:rsid w:val="002C7DC1"/>
    <w:rsid w:val="002C7FB6"/>
    <w:rsid w:val="002D01C9"/>
    <w:rsid w:val="002D0898"/>
    <w:rsid w:val="002D0CE0"/>
    <w:rsid w:val="002D100C"/>
    <w:rsid w:val="002D16E0"/>
    <w:rsid w:val="002D1C9E"/>
    <w:rsid w:val="002D2280"/>
    <w:rsid w:val="002D25B3"/>
    <w:rsid w:val="002D2959"/>
    <w:rsid w:val="002D2F38"/>
    <w:rsid w:val="002D31A4"/>
    <w:rsid w:val="002D334E"/>
    <w:rsid w:val="002D3BAA"/>
    <w:rsid w:val="002D3C86"/>
    <w:rsid w:val="002D42A8"/>
    <w:rsid w:val="002D4B5D"/>
    <w:rsid w:val="002D4B96"/>
    <w:rsid w:val="002D6968"/>
    <w:rsid w:val="002D713E"/>
    <w:rsid w:val="002D7CEF"/>
    <w:rsid w:val="002E23F2"/>
    <w:rsid w:val="002E3214"/>
    <w:rsid w:val="002E327B"/>
    <w:rsid w:val="002E4CE0"/>
    <w:rsid w:val="002E547C"/>
    <w:rsid w:val="002E5AEE"/>
    <w:rsid w:val="002E5F1E"/>
    <w:rsid w:val="002E5FAF"/>
    <w:rsid w:val="002E61FB"/>
    <w:rsid w:val="002E64ED"/>
    <w:rsid w:val="002E68EC"/>
    <w:rsid w:val="002E6FE2"/>
    <w:rsid w:val="002E75AA"/>
    <w:rsid w:val="002E774A"/>
    <w:rsid w:val="002E779F"/>
    <w:rsid w:val="002E7974"/>
    <w:rsid w:val="002F18DF"/>
    <w:rsid w:val="002F20F7"/>
    <w:rsid w:val="002F25A1"/>
    <w:rsid w:val="002F2E0F"/>
    <w:rsid w:val="002F3711"/>
    <w:rsid w:val="002F39A2"/>
    <w:rsid w:val="002F3FE1"/>
    <w:rsid w:val="002F560B"/>
    <w:rsid w:val="002F5D3C"/>
    <w:rsid w:val="002F63F5"/>
    <w:rsid w:val="002F6919"/>
    <w:rsid w:val="002F6955"/>
    <w:rsid w:val="002F6BD0"/>
    <w:rsid w:val="002F6E6A"/>
    <w:rsid w:val="002F6F71"/>
    <w:rsid w:val="002F7531"/>
    <w:rsid w:val="002F76AD"/>
    <w:rsid w:val="002F7717"/>
    <w:rsid w:val="002F7789"/>
    <w:rsid w:val="002F78C2"/>
    <w:rsid w:val="002F7C74"/>
    <w:rsid w:val="00300EEF"/>
    <w:rsid w:val="00301312"/>
    <w:rsid w:val="00301519"/>
    <w:rsid w:val="00301833"/>
    <w:rsid w:val="003018D2"/>
    <w:rsid w:val="00302B0C"/>
    <w:rsid w:val="00303844"/>
    <w:rsid w:val="003045B9"/>
    <w:rsid w:val="00304E76"/>
    <w:rsid w:val="00304F04"/>
    <w:rsid w:val="003057B1"/>
    <w:rsid w:val="00305AAF"/>
    <w:rsid w:val="0030673A"/>
    <w:rsid w:val="00306843"/>
    <w:rsid w:val="00306975"/>
    <w:rsid w:val="00306A96"/>
    <w:rsid w:val="003072A0"/>
    <w:rsid w:val="003074FB"/>
    <w:rsid w:val="003075DB"/>
    <w:rsid w:val="003078E9"/>
    <w:rsid w:val="00307E32"/>
    <w:rsid w:val="00307F9C"/>
    <w:rsid w:val="00310C6E"/>
    <w:rsid w:val="003116DC"/>
    <w:rsid w:val="003116EC"/>
    <w:rsid w:val="0031174A"/>
    <w:rsid w:val="00311AC2"/>
    <w:rsid w:val="00311C33"/>
    <w:rsid w:val="00311FB4"/>
    <w:rsid w:val="00312872"/>
    <w:rsid w:val="00314048"/>
    <w:rsid w:val="00314250"/>
    <w:rsid w:val="0031466F"/>
    <w:rsid w:val="003149A3"/>
    <w:rsid w:val="00314E32"/>
    <w:rsid w:val="00315468"/>
    <w:rsid w:val="0031640D"/>
    <w:rsid w:val="003164FF"/>
    <w:rsid w:val="0031799F"/>
    <w:rsid w:val="00317A42"/>
    <w:rsid w:val="00317CFB"/>
    <w:rsid w:val="00317F88"/>
    <w:rsid w:val="00320AE1"/>
    <w:rsid w:val="00320EE2"/>
    <w:rsid w:val="00321733"/>
    <w:rsid w:val="003218E3"/>
    <w:rsid w:val="00322B68"/>
    <w:rsid w:val="00322E37"/>
    <w:rsid w:val="00322FBC"/>
    <w:rsid w:val="00323E2C"/>
    <w:rsid w:val="00324550"/>
    <w:rsid w:val="00325AD6"/>
    <w:rsid w:val="003263D2"/>
    <w:rsid w:val="003271F9"/>
    <w:rsid w:val="00327340"/>
    <w:rsid w:val="0032743C"/>
    <w:rsid w:val="003277E3"/>
    <w:rsid w:val="003307FC"/>
    <w:rsid w:val="00331ED8"/>
    <w:rsid w:val="00331F60"/>
    <w:rsid w:val="00331FF7"/>
    <w:rsid w:val="00332192"/>
    <w:rsid w:val="0033342C"/>
    <w:rsid w:val="00333502"/>
    <w:rsid w:val="00333714"/>
    <w:rsid w:val="003338E7"/>
    <w:rsid w:val="003339D3"/>
    <w:rsid w:val="00334080"/>
    <w:rsid w:val="003340FA"/>
    <w:rsid w:val="003346DA"/>
    <w:rsid w:val="00335026"/>
    <w:rsid w:val="00335454"/>
    <w:rsid w:val="00335866"/>
    <w:rsid w:val="00335E2B"/>
    <w:rsid w:val="00336BE9"/>
    <w:rsid w:val="00336D19"/>
    <w:rsid w:val="00337477"/>
    <w:rsid w:val="00340261"/>
    <w:rsid w:val="003406BF"/>
    <w:rsid w:val="003420DB"/>
    <w:rsid w:val="00342BA3"/>
    <w:rsid w:val="00343335"/>
    <w:rsid w:val="0034372B"/>
    <w:rsid w:val="0034402E"/>
    <w:rsid w:val="0034437B"/>
    <w:rsid w:val="00344715"/>
    <w:rsid w:val="00344897"/>
    <w:rsid w:val="003457EC"/>
    <w:rsid w:val="00345CE7"/>
    <w:rsid w:val="003463C7"/>
    <w:rsid w:val="0034740D"/>
    <w:rsid w:val="003477F8"/>
    <w:rsid w:val="00347B66"/>
    <w:rsid w:val="00350155"/>
    <w:rsid w:val="0035093C"/>
    <w:rsid w:val="00351AFF"/>
    <w:rsid w:val="00351CB4"/>
    <w:rsid w:val="003528A1"/>
    <w:rsid w:val="00352F5B"/>
    <w:rsid w:val="00353574"/>
    <w:rsid w:val="0035360E"/>
    <w:rsid w:val="00353958"/>
    <w:rsid w:val="00353E0C"/>
    <w:rsid w:val="003549A8"/>
    <w:rsid w:val="003552E0"/>
    <w:rsid w:val="003554F3"/>
    <w:rsid w:val="00356B56"/>
    <w:rsid w:val="00357175"/>
    <w:rsid w:val="00357DDB"/>
    <w:rsid w:val="00357FE6"/>
    <w:rsid w:val="0036028C"/>
    <w:rsid w:val="0036083B"/>
    <w:rsid w:val="003612CF"/>
    <w:rsid w:val="0036133A"/>
    <w:rsid w:val="00361EA9"/>
    <w:rsid w:val="00362197"/>
    <w:rsid w:val="00362ABA"/>
    <w:rsid w:val="0036352F"/>
    <w:rsid w:val="00363B54"/>
    <w:rsid w:val="00364230"/>
    <w:rsid w:val="00364617"/>
    <w:rsid w:val="00364C98"/>
    <w:rsid w:val="0036560B"/>
    <w:rsid w:val="00367261"/>
    <w:rsid w:val="00367378"/>
    <w:rsid w:val="0036740E"/>
    <w:rsid w:val="003677EB"/>
    <w:rsid w:val="0036795B"/>
    <w:rsid w:val="00367CE7"/>
    <w:rsid w:val="00367E1F"/>
    <w:rsid w:val="00367F72"/>
    <w:rsid w:val="00370ADE"/>
    <w:rsid w:val="00370FBD"/>
    <w:rsid w:val="00371E2C"/>
    <w:rsid w:val="00371FA9"/>
    <w:rsid w:val="0037274B"/>
    <w:rsid w:val="00372E6B"/>
    <w:rsid w:val="0037315B"/>
    <w:rsid w:val="00373930"/>
    <w:rsid w:val="00373946"/>
    <w:rsid w:val="00373B25"/>
    <w:rsid w:val="00373C2F"/>
    <w:rsid w:val="00373CCC"/>
    <w:rsid w:val="00373D40"/>
    <w:rsid w:val="00374360"/>
    <w:rsid w:val="00374EEE"/>
    <w:rsid w:val="00374FA3"/>
    <w:rsid w:val="00375220"/>
    <w:rsid w:val="00375936"/>
    <w:rsid w:val="00375B7C"/>
    <w:rsid w:val="00375BF5"/>
    <w:rsid w:val="00375ED8"/>
    <w:rsid w:val="0037624A"/>
    <w:rsid w:val="0037671D"/>
    <w:rsid w:val="00377087"/>
    <w:rsid w:val="00377115"/>
    <w:rsid w:val="003773D5"/>
    <w:rsid w:val="0037745F"/>
    <w:rsid w:val="003779AA"/>
    <w:rsid w:val="0038049B"/>
    <w:rsid w:val="00380599"/>
    <w:rsid w:val="003806C9"/>
    <w:rsid w:val="00380913"/>
    <w:rsid w:val="00380914"/>
    <w:rsid w:val="00380B29"/>
    <w:rsid w:val="00380BBC"/>
    <w:rsid w:val="00380D59"/>
    <w:rsid w:val="0038181F"/>
    <w:rsid w:val="00381C95"/>
    <w:rsid w:val="00381EE8"/>
    <w:rsid w:val="0038242A"/>
    <w:rsid w:val="00382675"/>
    <w:rsid w:val="00382B90"/>
    <w:rsid w:val="00382C87"/>
    <w:rsid w:val="00382D9B"/>
    <w:rsid w:val="00384800"/>
    <w:rsid w:val="0038499D"/>
    <w:rsid w:val="0038509B"/>
    <w:rsid w:val="00385189"/>
    <w:rsid w:val="0038521D"/>
    <w:rsid w:val="00385F22"/>
    <w:rsid w:val="00386711"/>
    <w:rsid w:val="00387169"/>
    <w:rsid w:val="003873D0"/>
    <w:rsid w:val="0039058A"/>
    <w:rsid w:val="003911B5"/>
    <w:rsid w:val="00391641"/>
    <w:rsid w:val="00391F5F"/>
    <w:rsid w:val="003922E6"/>
    <w:rsid w:val="003929FD"/>
    <w:rsid w:val="00393F57"/>
    <w:rsid w:val="003940D5"/>
    <w:rsid w:val="00394579"/>
    <w:rsid w:val="00394C84"/>
    <w:rsid w:val="00395010"/>
    <w:rsid w:val="00396460"/>
    <w:rsid w:val="00396A91"/>
    <w:rsid w:val="00396E74"/>
    <w:rsid w:val="00397684"/>
    <w:rsid w:val="003A0906"/>
    <w:rsid w:val="003A112E"/>
    <w:rsid w:val="003A12B4"/>
    <w:rsid w:val="003A1607"/>
    <w:rsid w:val="003A188C"/>
    <w:rsid w:val="003A18DA"/>
    <w:rsid w:val="003A1DDB"/>
    <w:rsid w:val="003A20DF"/>
    <w:rsid w:val="003A2EFB"/>
    <w:rsid w:val="003A3E5D"/>
    <w:rsid w:val="003A4284"/>
    <w:rsid w:val="003A42B9"/>
    <w:rsid w:val="003A4539"/>
    <w:rsid w:val="003A4B2D"/>
    <w:rsid w:val="003A4B59"/>
    <w:rsid w:val="003A4D99"/>
    <w:rsid w:val="003A7F0D"/>
    <w:rsid w:val="003B0092"/>
    <w:rsid w:val="003B10DB"/>
    <w:rsid w:val="003B177F"/>
    <w:rsid w:val="003B1A11"/>
    <w:rsid w:val="003B2555"/>
    <w:rsid w:val="003B2622"/>
    <w:rsid w:val="003B2892"/>
    <w:rsid w:val="003B2ABD"/>
    <w:rsid w:val="003B39BF"/>
    <w:rsid w:val="003B3C92"/>
    <w:rsid w:val="003B44D8"/>
    <w:rsid w:val="003B4C6E"/>
    <w:rsid w:val="003B4F93"/>
    <w:rsid w:val="003B56B1"/>
    <w:rsid w:val="003B5BB3"/>
    <w:rsid w:val="003B70A0"/>
    <w:rsid w:val="003B7346"/>
    <w:rsid w:val="003B7630"/>
    <w:rsid w:val="003B76A9"/>
    <w:rsid w:val="003B7AD7"/>
    <w:rsid w:val="003B7DC1"/>
    <w:rsid w:val="003C03F7"/>
    <w:rsid w:val="003C055D"/>
    <w:rsid w:val="003C0B8A"/>
    <w:rsid w:val="003C1334"/>
    <w:rsid w:val="003C13A5"/>
    <w:rsid w:val="003C1B7A"/>
    <w:rsid w:val="003C1CA9"/>
    <w:rsid w:val="003C1E24"/>
    <w:rsid w:val="003C223D"/>
    <w:rsid w:val="003C236B"/>
    <w:rsid w:val="003C2749"/>
    <w:rsid w:val="003C27C3"/>
    <w:rsid w:val="003C3B7E"/>
    <w:rsid w:val="003C4081"/>
    <w:rsid w:val="003C4514"/>
    <w:rsid w:val="003C5087"/>
    <w:rsid w:val="003C5667"/>
    <w:rsid w:val="003C5EC4"/>
    <w:rsid w:val="003C62A4"/>
    <w:rsid w:val="003C6C46"/>
    <w:rsid w:val="003C6C93"/>
    <w:rsid w:val="003C6FF4"/>
    <w:rsid w:val="003C7A0A"/>
    <w:rsid w:val="003C7D6F"/>
    <w:rsid w:val="003C7F49"/>
    <w:rsid w:val="003D0006"/>
    <w:rsid w:val="003D0257"/>
    <w:rsid w:val="003D0E6A"/>
    <w:rsid w:val="003D164F"/>
    <w:rsid w:val="003D1B6F"/>
    <w:rsid w:val="003D1F09"/>
    <w:rsid w:val="003D339A"/>
    <w:rsid w:val="003D3D5C"/>
    <w:rsid w:val="003D3FC8"/>
    <w:rsid w:val="003D462E"/>
    <w:rsid w:val="003D48E4"/>
    <w:rsid w:val="003D549E"/>
    <w:rsid w:val="003D56F9"/>
    <w:rsid w:val="003D5A72"/>
    <w:rsid w:val="003D5B81"/>
    <w:rsid w:val="003D5CAD"/>
    <w:rsid w:val="003D6D34"/>
    <w:rsid w:val="003D7757"/>
    <w:rsid w:val="003D7AC2"/>
    <w:rsid w:val="003D7F44"/>
    <w:rsid w:val="003E1A66"/>
    <w:rsid w:val="003E1BE6"/>
    <w:rsid w:val="003E201A"/>
    <w:rsid w:val="003E22F9"/>
    <w:rsid w:val="003E2666"/>
    <w:rsid w:val="003E3118"/>
    <w:rsid w:val="003E325A"/>
    <w:rsid w:val="003E3907"/>
    <w:rsid w:val="003E3CA0"/>
    <w:rsid w:val="003E3CCA"/>
    <w:rsid w:val="003E4738"/>
    <w:rsid w:val="003E4C3B"/>
    <w:rsid w:val="003E53B9"/>
    <w:rsid w:val="003E5696"/>
    <w:rsid w:val="003E597F"/>
    <w:rsid w:val="003E6BAF"/>
    <w:rsid w:val="003E6CB3"/>
    <w:rsid w:val="003E7381"/>
    <w:rsid w:val="003E7599"/>
    <w:rsid w:val="003E7869"/>
    <w:rsid w:val="003E78AF"/>
    <w:rsid w:val="003E7995"/>
    <w:rsid w:val="003E7D15"/>
    <w:rsid w:val="003F0547"/>
    <w:rsid w:val="003F0DBC"/>
    <w:rsid w:val="003F12A2"/>
    <w:rsid w:val="003F12B6"/>
    <w:rsid w:val="003F14DD"/>
    <w:rsid w:val="003F2504"/>
    <w:rsid w:val="003F2573"/>
    <w:rsid w:val="003F29A5"/>
    <w:rsid w:val="003F2FB8"/>
    <w:rsid w:val="003F3AA4"/>
    <w:rsid w:val="003F3FF5"/>
    <w:rsid w:val="003F48C4"/>
    <w:rsid w:val="003F4E94"/>
    <w:rsid w:val="003F5260"/>
    <w:rsid w:val="003F5741"/>
    <w:rsid w:val="003F643C"/>
    <w:rsid w:val="003F64EB"/>
    <w:rsid w:val="003F67AF"/>
    <w:rsid w:val="003F67BC"/>
    <w:rsid w:val="003F6B44"/>
    <w:rsid w:val="003F6E77"/>
    <w:rsid w:val="003F78CE"/>
    <w:rsid w:val="003F7C66"/>
    <w:rsid w:val="003F7D45"/>
    <w:rsid w:val="004000B1"/>
    <w:rsid w:val="0040022F"/>
    <w:rsid w:val="0040066B"/>
    <w:rsid w:val="004019F4"/>
    <w:rsid w:val="00401AE5"/>
    <w:rsid w:val="00401B4E"/>
    <w:rsid w:val="00401C32"/>
    <w:rsid w:val="004030CB"/>
    <w:rsid w:val="004035C4"/>
    <w:rsid w:val="00403C7B"/>
    <w:rsid w:val="00403DCB"/>
    <w:rsid w:val="00403EBB"/>
    <w:rsid w:val="00404E51"/>
    <w:rsid w:val="004052BB"/>
    <w:rsid w:val="004059A2"/>
    <w:rsid w:val="00405A26"/>
    <w:rsid w:val="00406877"/>
    <w:rsid w:val="00406BB6"/>
    <w:rsid w:val="00407F86"/>
    <w:rsid w:val="004104F9"/>
    <w:rsid w:val="00410AD9"/>
    <w:rsid w:val="00410F73"/>
    <w:rsid w:val="00411929"/>
    <w:rsid w:val="0041201F"/>
    <w:rsid w:val="0041223C"/>
    <w:rsid w:val="00412589"/>
    <w:rsid w:val="00413066"/>
    <w:rsid w:val="004133CB"/>
    <w:rsid w:val="004135F9"/>
    <w:rsid w:val="004147F9"/>
    <w:rsid w:val="0041481A"/>
    <w:rsid w:val="00414C1F"/>
    <w:rsid w:val="00415B21"/>
    <w:rsid w:val="00416AE9"/>
    <w:rsid w:val="00416E11"/>
    <w:rsid w:val="00417D90"/>
    <w:rsid w:val="00420463"/>
    <w:rsid w:val="00420759"/>
    <w:rsid w:val="00420DAF"/>
    <w:rsid w:val="00421038"/>
    <w:rsid w:val="004211C9"/>
    <w:rsid w:val="00422E2F"/>
    <w:rsid w:val="00424216"/>
    <w:rsid w:val="0042460A"/>
    <w:rsid w:val="00424E2E"/>
    <w:rsid w:val="00425A34"/>
    <w:rsid w:val="00425D86"/>
    <w:rsid w:val="004266C6"/>
    <w:rsid w:val="00426C1D"/>
    <w:rsid w:val="004277AE"/>
    <w:rsid w:val="00427F21"/>
    <w:rsid w:val="00430132"/>
    <w:rsid w:val="0043088D"/>
    <w:rsid w:val="00430DD1"/>
    <w:rsid w:val="004316A5"/>
    <w:rsid w:val="00431C85"/>
    <w:rsid w:val="00431E3A"/>
    <w:rsid w:val="004339FD"/>
    <w:rsid w:val="004349CA"/>
    <w:rsid w:val="0043502B"/>
    <w:rsid w:val="004357AF"/>
    <w:rsid w:val="00435BAF"/>
    <w:rsid w:val="00435F90"/>
    <w:rsid w:val="004361B8"/>
    <w:rsid w:val="004402B8"/>
    <w:rsid w:val="00440639"/>
    <w:rsid w:val="00440FC6"/>
    <w:rsid w:val="0044159F"/>
    <w:rsid w:val="004418D0"/>
    <w:rsid w:val="00442371"/>
    <w:rsid w:val="0044291C"/>
    <w:rsid w:val="00443590"/>
    <w:rsid w:val="00443BFA"/>
    <w:rsid w:val="00443F2E"/>
    <w:rsid w:val="00444195"/>
    <w:rsid w:val="0044449E"/>
    <w:rsid w:val="00444B40"/>
    <w:rsid w:val="00444FC3"/>
    <w:rsid w:val="00445F3E"/>
    <w:rsid w:val="00446A9B"/>
    <w:rsid w:val="004477A2"/>
    <w:rsid w:val="00447959"/>
    <w:rsid w:val="00447DA4"/>
    <w:rsid w:val="00447EDE"/>
    <w:rsid w:val="00450684"/>
    <w:rsid w:val="00451B66"/>
    <w:rsid w:val="004532A7"/>
    <w:rsid w:val="0045351E"/>
    <w:rsid w:val="00453944"/>
    <w:rsid w:val="004541C3"/>
    <w:rsid w:val="00454EAC"/>
    <w:rsid w:val="00455781"/>
    <w:rsid w:val="00455B8D"/>
    <w:rsid w:val="0045627C"/>
    <w:rsid w:val="0045630E"/>
    <w:rsid w:val="004565A9"/>
    <w:rsid w:val="004568A3"/>
    <w:rsid w:val="00456E3F"/>
    <w:rsid w:val="004579D4"/>
    <w:rsid w:val="00457CB8"/>
    <w:rsid w:val="00457D05"/>
    <w:rsid w:val="00461A08"/>
    <w:rsid w:val="00461A95"/>
    <w:rsid w:val="00462925"/>
    <w:rsid w:val="004629DD"/>
    <w:rsid w:val="00462B76"/>
    <w:rsid w:val="00462D71"/>
    <w:rsid w:val="00463B0E"/>
    <w:rsid w:val="004648CB"/>
    <w:rsid w:val="004649D4"/>
    <w:rsid w:val="00465441"/>
    <w:rsid w:val="004658D2"/>
    <w:rsid w:val="00466027"/>
    <w:rsid w:val="00466165"/>
    <w:rsid w:val="0046669F"/>
    <w:rsid w:val="00466A21"/>
    <w:rsid w:val="00466DDF"/>
    <w:rsid w:val="00466EB0"/>
    <w:rsid w:val="004675F2"/>
    <w:rsid w:val="00467A2A"/>
    <w:rsid w:val="00467F4B"/>
    <w:rsid w:val="00470C66"/>
    <w:rsid w:val="0047164E"/>
    <w:rsid w:val="004718F8"/>
    <w:rsid w:val="00471E6B"/>
    <w:rsid w:val="004739A7"/>
    <w:rsid w:val="004741A3"/>
    <w:rsid w:val="00475319"/>
    <w:rsid w:val="00475A76"/>
    <w:rsid w:val="004763A2"/>
    <w:rsid w:val="004764B7"/>
    <w:rsid w:val="00476646"/>
    <w:rsid w:val="00476C83"/>
    <w:rsid w:val="004771D9"/>
    <w:rsid w:val="00477B7A"/>
    <w:rsid w:val="004802DB"/>
    <w:rsid w:val="00480341"/>
    <w:rsid w:val="00480654"/>
    <w:rsid w:val="0048103B"/>
    <w:rsid w:val="004810A6"/>
    <w:rsid w:val="00482375"/>
    <w:rsid w:val="00482B69"/>
    <w:rsid w:val="00482B7A"/>
    <w:rsid w:val="00482D7A"/>
    <w:rsid w:val="0048303E"/>
    <w:rsid w:val="004838A0"/>
    <w:rsid w:val="00483A4B"/>
    <w:rsid w:val="00483C07"/>
    <w:rsid w:val="00484058"/>
    <w:rsid w:val="004846C3"/>
    <w:rsid w:val="00484D5D"/>
    <w:rsid w:val="00484D96"/>
    <w:rsid w:val="00485A00"/>
    <w:rsid w:val="00485CE8"/>
    <w:rsid w:val="00486357"/>
    <w:rsid w:val="0048661D"/>
    <w:rsid w:val="00487855"/>
    <w:rsid w:val="00487E0B"/>
    <w:rsid w:val="00487E6C"/>
    <w:rsid w:val="004916A5"/>
    <w:rsid w:val="00492BAB"/>
    <w:rsid w:val="00492DA2"/>
    <w:rsid w:val="00494850"/>
    <w:rsid w:val="00494A5C"/>
    <w:rsid w:val="0049511F"/>
    <w:rsid w:val="0049669A"/>
    <w:rsid w:val="00497DD4"/>
    <w:rsid w:val="004A0291"/>
    <w:rsid w:val="004A0539"/>
    <w:rsid w:val="004A06B7"/>
    <w:rsid w:val="004A07CC"/>
    <w:rsid w:val="004A1919"/>
    <w:rsid w:val="004A1FAD"/>
    <w:rsid w:val="004A225C"/>
    <w:rsid w:val="004A251B"/>
    <w:rsid w:val="004A25CD"/>
    <w:rsid w:val="004A266E"/>
    <w:rsid w:val="004A27A6"/>
    <w:rsid w:val="004A414D"/>
    <w:rsid w:val="004A478B"/>
    <w:rsid w:val="004A4D5B"/>
    <w:rsid w:val="004A4E92"/>
    <w:rsid w:val="004A61F2"/>
    <w:rsid w:val="004A6873"/>
    <w:rsid w:val="004A6C1A"/>
    <w:rsid w:val="004A733E"/>
    <w:rsid w:val="004A7878"/>
    <w:rsid w:val="004A7A92"/>
    <w:rsid w:val="004A7AD9"/>
    <w:rsid w:val="004A7C37"/>
    <w:rsid w:val="004A7FDE"/>
    <w:rsid w:val="004B0665"/>
    <w:rsid w:val="004B0717"/>
    <w:rsid w:val="004B0927"/>
    <w:rsid w:val="004B0D7E"/>
    <w:rsid w:val="004B1A19"/>
    <w:rsid w:val="004B1F08"/>
    <w:rsid w:val="004B21A7"/>
    <w:rsid w:val="004B27F0"/>
    <w:rsid w:val="004B295B"/>
    <w:rsid w:val="004B2DC7"/>
    <w:rsid w:val="004B36CF"/>
    <w:rsid w:val="004B3A3E"/>
    <w:rsid w:val="004B3BF9"/>
    <w:rsid w:val="004B3FDB"/>
    <w:rsid w:val="004B45C5"/>
    <w:rsid w:val="004B520C"/>
    <w:rsid w:val="004B5617"/>
    <w:rsid w:val="004B649C"/>
    <w:rsid w:val="004B694D"/>
    <w:rsid w:val="004B6B2D"/>
    <w:rsid w:val="004B7935"/>
    <w:rsid w:val="004C038D"/>
    <w:rsid w:val="004C0832"/>
    <w:rsid w:val="004C0DCD"/>
    <w:rsid w:val="004C0FC3"/>
    <w:rsid w:val="004C149A"/>
    <w:rsid w:val="004C17DD"/>
    <w:rsid w:val="004C272C"/>
    <w:rsid w:val="004C310B"/>
    <w:rsid w:val="004C37D0"/>
    <w:rsid w:val="004C3983"/>
    <w:rsid w:val="004C3F3F"/>
    <w:rsid w:val="004C4867"/>
    <w:rsid w:val="004C55F3"/>
    <w:rsid w:val="004C63E9"/>
    <w:rsid w:val="004C6514"/>
    <w:rsid w:val="004C6AAF"/>
    <w:rsid w:val="004C7458"/>
    <w:rsid w:val="004C7513"/>
    <w:rsid w:val="004C76FA"/>
    <w:rsid w:val="004C7A6E"/>
    <w:rsid w:val="004C7AD2"/>
    <w:rsid w:val="004C7CFA"/>
    <w:rsid w:val="004D0E51"/>
    <w:rsid w:val="004D0F91"/>
    <w:rsid w:val="004D199C"/>
    <w:rsid w:val="004D23F9"/>
    <w:rsid w:val="004D28ED"/>
    <w:rsid w:val="004D2DCF"/>
    <w:rsid w:val="004D2DE5"/>
    <w:rsid w:val="004D2F88"/>
    <w:rsid w:val="004D34F2"/>
    <w:rsid w:val="004D361D"/>
    <w:rsid w:val="004D4106"/>
    <w:rsid w:val="004D5262"/>
    <w:rsid w:val="004D53BC"/>
    <w:rsid w:val="004D5C64"/>
    <w:rsid w:val="004D6083"/>
    <w:rsid w:val="004D6550"/>
    <w:rsid w:val="004D718F"/>
    <w:rsid w:val="004D733B"/>
    <w:rsid w:val="004D78D4"/>
    <w:rsid w:val="004D7B48"/>
    <w:rsid w:val="004E01B5"/>
    <w:rsid w:val="004E09C7"/>
    <w:rsid w:val="004E171E"/>
    <w:rsid w:val="004E1978"/>
    <w:rsid w:val="004E19AC"/>
    <w:rsid w:val="004E1F9A"/>
    <w:rsid w:val="004E2050"/>
    <w:rsid w:val="004E2A2F"/>
    <w:rsid w:val="004E2CE8"/>
    <w:rsid w:val="004E2D6A"/>
    <w:rsid w:val="004E2F36"/>
    <w:rsid w:val="004E367B"/>
    <w:rsid w:val="004E3E18"/>
    <w:rsid w:val="004E5308"/>
    <w:rsid w:val="004E59A0"/>
    <w:rsid w:val="004E5E08"/>
    <w:rsid w:val="004E6198"/>
    <w:rsid w:val="004E62AA"/>
    <w:rsid w:val="004E6315"/>
    <w:rsid w:val="004E641B"/>
    <w:rsid w:val="004E6AA4"/>
    <w:rsid w:val="004E7160"/>
    <w:rsid w:val="004E775D"/>
    <w:rsid w:val="004E79B9"/>
    <w:rsid w:val="004F0F37"/>
    <w:rsid w:val="004F181F"/>
    <w:rsid w:val="004F205F"/>
    <w:rsid w:val="004F30EB"/>
    <w:rsid w:val="004F346D"/>
    <w:rsid w:val="004F3D9F"/>
    <w:rsid w:val="004F4A12"/>
    <w:rsid w:val="004F4A1F"/>
    <w:rsid w:val="004F5C05"/>
    <w:rsid w:val="004F648C"/>
    <w:rsid w:val="004F6746"/>
    <w:rsid w:val="004F67F5"/>
    <w:rsid w:val="004F6A6D"/>
    <w:rsid w:val="004F6F7D"/>
    <w:rsid w:val="004F7121"/>
    <w:rsid w:val="004F71FC"/>
    <w:rsid w:val="0050254D"/>
    <w:rsid w:val="005030C0"/>
    <w:rsid w:val="005033B8"/>
    <w:rsid w:val="00503A09"/>
    <w:rsid w:val="005043D2"/>
    <w:rsid w:val="0050447A"/>
    <w:rsid w:val="005047C7"/>
    <w:rsid w:val="00504C27"/>
    <w:rsid w:val="0050514F"/>
    <w:rsid w:val="005051D3"/>
    <w:rsid w:val="005055CF"/>
    <w:rsid w:val="00505DED"/>
    <w:rsid w:val="00507294"/>
    <w:rsid w:val="00507432"/>
    <w:rsid w:val="005074E3"/>
    <w:rsid w:val="005076A6"/>
    <w:rsid w:val="00507A02"/>
    <w:rsid w:val="00512406"/>
    <w:rsid w:val="00512763"/>
    <w:rsid w:val="00512928"/>
    <w:rsid w:val="0051315D"/>
    <w:rsid w:val="00513DB0"/>
    <w:rsid w:val="0051465E"/>
    <w:rsid w:val="00514BF8"/>
    <w:rsid w:val="005150F3"/>
    <w:rsid w:val="00515352"/>
    <w:rsid w:val="0051553A"/>
    <w:rsid w:val="00515D26"/>
    <w:rsid w:val="00516254"/>
    <w:rsid w:val="005165C5"/>
    <w:rsid w:val="00520285"/>
    <w:rsid w:val="00520578"/>
    <w:rsid w:val="005205BA"/>
    <w:rsid w:val="005208D9"/>
    <w:rsid w:val="00520CC4"/>
    <w:rsid w:val="0052100F"/>
    <w:rsid w:val="00521439"/>
    <w:rsid w:val="00521581"/>
    <w:rsid w:val="005215A5"/>
    <w:rsid w:val="0052180F"/>
    <w:rsid w:val="005227A0"/>
    <w:rsid w:val="00522F97"/>
    <w:rsid w:val="0052387D"/>
    <w:rsid w:val="00523992"/>
    <w:rsid w:val="00523B9B"/>
    <w:rsid w:val="00524842"/>
    <w:rsid w:val="00524B1A"/>
    <w:rsid w:val="00524CE5"/>
    <w:rsid w:val="00524E6F"/>
    <w:rsid w:val="005259DF"/>
    <w:rsid w:val="00525BE3"/>
    <w:rsid w:val="00526C03"/>
    <w:rsid w:val="00527E80"/>
    <w:rsid w:val="00527ED4"/>
    <w:rsid w:val="00530322"/>
    <w:rsid w:val="0053035F"/>
    <w:rsid w:val="005303E7"/>
    <w:rsid w:val="00530BE1"/>
    <w:rsid w:val="00530CA1"/>
    <w:rsid w:val="00530D5B"/>
    <w:rsid w:val="00530FCB"/>
    <w:rsid w:val="00531474"/>
    <w:rsid w:val="00531500"/>
    <w:rsid w:val="00531824"/>
    <w:rsid w:val="0053259C"/>
    <w:rsid w:val="0053284B"/>
    <w:rsid w:val="00532AC0"/>
    <w:rsid w:val="00532B07"/>
    <w:rsid w:val="00532CC5"/>
    <w:rsid w:val="0053310D"/>
    <w:rsid w:val="005338DA"/>
    <w:rsid w:val="00533C19"/>
    <w:rsid w:val="00533F95"/>
    <w:rsid w:val="005343A4"/>
    <w:rsid w:val="00534C70"/>
    <w:rsid w:val="00535056"/>
    <w:rsid w:val="00535EFF"/>
    <w:rsid w:val="005364E5"/>
    <w:rsid w:val="00536C1D"/>
    <w:rsid w:val="00537062"/>
    <w:rsid w:val="00537C6D"/>
    <w:rsid w:val="00537D22"/>
    <w:rsid w:val="00540700"/>
    <w:rsid w:val="00541049"/>
    <w:rsid w:val="00541C73"/>
    <w:rsid w:val="00542146"/>
    <w:rsid w:val="00542309"/>
    <w:rsid w:val="0054235F"/>
    <w:rsid w:val="0054259A"/>
    <w:rsid w:val="00543318"/>
    <w:rsid w:val="00543B86"/>
    <w:rsid w:val="00543D0A"/>
    <w:rsid w:val="00544A11"/>
    <w:rsid w:val="00544FB6"/>
    <w:rsid w:val="005452CC"/>
    <w:rsid w:val="0054636C"/>
    <w:rsid w:val="005475F0"/>
    <w:rsid w:val="005477F5"/>
    <w:rsid w:val="00550050"/>
    <w:rsid w:val="005503A0"/>
    <w:rsid w:val="0055099B"/>
    <w:rsid w:val="005509CF"/>
    <w:rsid w:val="00550D37"/>
    <w:rsid w:val="00551022"/>
    <w:rsid w:val="0055152E"/>
    <w:rsid w:val="00551AE2"/>
    <w:rsid w:val="00551E00"/>
    <w:rsid w:val="0055241A"/>
    <w:rsid w:val="0055286A"/>
    <w:rsid w:val="00553FD8"/>
    <w:rsid w:val="0055419D"/>
    <w:rsid w:val="005541E7"/>
    <w:rsid w:val="00554F80"/>
    <w:rsid w:val="00555222"/>
    <w:rsid w:val="00555707"/>
    <w:rsid w:val="00556234"/>
    <w:rsid w:val="00556555"/>
    <w:rsid w:val="00556A56"/>
    <w:rsid w:val="005578A1"/>
    <w:rsid w:val="00557C8A"/>
    <w:rsid w:val="005601A6"/>
    <w:rsid w:val="0056074A"/>
    <w:rsid w:val="00560D68"/>
    <w:rsid w:val="005614CC"/>
    <w:rsid w:val="00561A61"/>
    <w:rsid w:val="00561B51"/>
    <w:rsid w:val="00561E5D"/>
    <w:rsid w:val="00562555"/>
    <w:rsid w:val="005627BC"/>
    <w:rsid w:val="00562969"/>
    <w:rsid w:val="00562BFB"/>
    <w:rsid w:val="005634C7"/>
    <w:rsid w:val="005637A5"/>
    <w:rsid w:val="005639D8"/>
    <w:rsid w:val="005641BB"/>
    <w:rsid w:val="00564DED"/>
    <w:rsid w:val="005652D3"/>
    <w:rsid w:val="0056589B"/>
    <w:rsid w:val="00565BA7"/>
    <w:rsid w:val="00565C8E"/>
    <w:rsid w:val="00566A67"/>
    <w:rsid w:val="00566B5A"/>
    <w:rsid w:val="00566D3B"/>
    <w:rsid w:val="00566E18"/>
    <w:rsid w:val="005672FD"/>
    <w:rsid w:val="00567306"/>
    <w:rsid w:val="0057057A"/>
    <w:rsid w:val="00570820"/>
    <w:rsid w:val="00571138"/>
    <w:rsid w:val="005716F8"/>
    <w:rsid w:val="0057191B"/>
    <w:rsid w:val="00571B15"/>
    <w:rsid w:val="00571B80"/>
    <w:rsid w:val="00572E8C"/>
    <w:rsid w:val="005733E0"/>
    <w:rsid w:val="005736AA"/>
    <w:rsid w:val="005736B1"/>
    <w:rsid w:val="0057397B"/>
    <w:rsid w:val="00573EAE"/>
    <w:rsid w:val="005740E8"/>
    <w:rsid w:val="005743C5"/>
    <w:rsid w:val="00574A95"/>
    <w:rsid w:val="00574AB8"/>
    <w:rsid w:val="00574B0D"/>
    <w:rsid w:val="00574E94"/>
    <w:rsid w:val="0057579A"/>
    <w:rsid w:val="00575DE7"/>
    <w:rsid w:val="00575E70"/>
    <w:rsid w:val="00576736"/>
    <w:rsid w:val="0057701C"/>
    <w:rsid w:val="00580184"/>
    <w:rsid w:val="00581152"/>
    <w:rsid w:val="00581167"/>
    <w:rsid w:val="0058158B"/>
    <w:rsid w:val="005819DB"/>
    <w:rsid w:val="00582362"/>
    <w:rsid w:val="00583FFD"/>
    <w:rsid w:val="00584000"/>
    <w:rsid w:val="005847E0"/>
    <w:rsid w:val="005849AA"/>
    <w:rsid w:val="00584D3E"/>
    <w:rsid w:val="00584E4D"/>
    <w:rsid w:val="00585ED3"/>
    <w:rsid w:val="0058642A"/>
    <w:rsid w:val="005866C9"/>
    <w:rsid w:val="00586E2B"/>
    <w:rsid w:val="005871D8"/>
    <w:rsid w:val="0058730C"/>
    <w:rsid w:val="00587639"/>
    <w:rsid w:val="00587AD8"/>
    <w:rsid w:val="00587BA7"/>
    <w:rsid w:val="00590426"/>
    <w:rsid w:val="005904C1"/>
    <w:rsid w:val="00591264"/>
    <w:rsid w:val="0059147B"/>
    <w:rsid w:val="0059149F"/>
    <w:rsid w:val="0059183C"/>
    <w:rsid w:val="00591BFF"/>
    <w:rsid w:val="005925A1"/>
    <w:rsid w:val="00592973"/>
    <w:rsid w:val="00592C43"/>
    <w:rsid w:val="00592CF1"/>
    <w:rsid w:val="00593735"/>
    <w:rsid w:val="00594BEB"/>
    <w:rsid w:val="00594F6D"/>
    <w:rsid w:val="00595699"/>
    <w:rsid w:val="005961C5"/>
    <w:rsid w:val="00596532"/>
    <w:rsid w:val="00596B93"/>
    <w:rsid w:val="00596DB3"/>
    <w:rsid w:val="00596F4E"/>
    <w:rsid w:val="005971BC"/>
    <w:rsid w:val="005972CA"/>
    <w:rsid w:val="00597797"/>
    <w:rsid w:val="005979EC"/>
    <w:rsid w:val="00597E7E"/>
    <w:rsid w:val="005A0189"/>
    <w:rsid w:val="005A0EB5"/>
    <w:rsid w:val="005A1E6C"/>
    <w:rsid w:val="005A2CFF"/>
    <w:rsid w:val="005A3233"/>
    <w:rsid w:val="005A3936"/>
    <w:rsid w:val="005A3B5B"/>
    <w:rsid w:val="005A3EA4"/>
    <w:rsid w:val="005A47B6"/>
    <w:rsid w:val="005A490D"/>
    <w:rsid w:val="005A559E"/>
    <w:rsid w:val="005A59B6"/>
    <w:rsid w:val="005A5C7C"/>
    <w:rsid w:val="005A62FF"/>
    <w:rsid w:val="005A684E"/>
    <w:rsid w:val="005A6990"/>
    <w:rsid w:val="005A6B60"/>
    <w:rsid w:val="005A7B51"/>
    <w:rsid w:val="005B0181"/>
    <w:rsid w:val="005B01CD"/>
    <w:rsid w:val="005B02A6"/>
    <w:rsid w:val="005B09DB"/>
    <w:rsid w:val="005B1054"/>
    <w:rsid w:val="005B1932"/>
    <w:rsid w:val="005B1A12"/>
    <w:rsid w:val="005B1F5B"/>
    <w:rsid w:val="005B25CB"/>
    <w:rsid w:val="005B2ACF"/>
    <w:rsid w:val="005B340D"/>
    <w:rsid w:val="005B47DE"/>
    <w:rsid w:val="005B4F65"/>
    <w:rsid w:val="005B5557"/>
    <w:rsid w:val="005B5D94"/>
    <w:rsid w:val="005B62EC"/>
    <w:rsid w:val="005B62ED"/>
    <w:rsid w:val="005B6EC1"/>
    <w:rsid w:val="005B6F59"/>
    <w:rsid w:val="005B6F78"/>
    <w:rsid w:val="005B763D"/>
    <w:rsid w:val="005B77B8"/>
    <w:rsid w:val="005B7B81"/>
    <w:rsid w:val="005B7BCB"/>
    <w:rsid w:val="005B7EAF"/>
    <w:rsid w:val="005B7F7B"/>
    <w:rsid w:val="005C06F3"/>
    <w:rsid w:val="005C0727"/>
    <w:rsid w:val="005C10C4"/>
    <w:rsid w:val="005C126D"/>
    <w:rsid w:val="005C173A"/>
    <w:rsid w:val="005C1AF1"/>
    <w:rsid w:val="005C1BA6"/>
    <w:rsid w:val="005C1DAF"/>
    <w:rsid w:val="005C1DCA"/>
    <w:rsid w:val="005C2114"/>
    <w:rsid w:val="005C3207"/>
    <w:rsid w:val="005C46EE"/>
    <w:rsid w:val="005C471E"/>
    <w:rsid w:val="005C491F"/>
    <w:rsid w:val="005C4EF7"/>
    <w:rsid w:val="005C56D4"/>
    <w:rsid w:val="005C5859"/>
    <w:rsid w:val="005C639E"/>
    <w:rsid w:val="005C7B3C"/>
    <w:rsid w:val="005D0133"/>
    <w:rsid w:val="005D020F"/>
    <w:rsid w:val="005D0F15"/>
    <w:rsid w:val="005D1433"/>
    <w:rsid w:val="005D1B81"/>
    <w:rsid w:val="005D24D4"/>
    <w:rsid w:val="005D2C20"/>
    <w:rsid w:val="005D2E45"/>
    <w:rsid w:val="005D2EBB"/>
    <w:rsid w:val="005D3DBF"/>
    <w:rsid w:val="005D3E62"/>
    <w:rsid w:val="005D3EEE"/>
    <w:rsid w:val="005D4D61"/>
    <w:rsid w:val="005D4E62"/>
    <w:rsid w:val="005D4FE0"/>
    <w:rsid w:val="005D510F"/>
    <w:rsid w:val="005D516A"/>
    <w:rsid w:val="005D51E5"/>
    <w:rsid w:val="005D5936"/>
    <w:rsid w:val="005D5BF6"/>
    <w:rsid w:val="005D6512"/>
    <w:rsid w:val="005D67EE"/>
    <w:rsid w:val="005D6BE1"/>
    <w:rsid w:val="005D6E98"/>
    <w:rsid w:val="005D7E0A"/>
    <w:rsid w:val="005E00AB"/>
    <w:rsid w:val="005E00FA"/>
    <w:rsid w:val="005E06DB"/>
    <w:rsid w:val="005E1176"/>
    <w:rsid w:val="005E1581"/>
    <w:rsid w:val="005E185C"/>
    <w:rsid w:val="005E18B5"/>
    <w:rsid w:val="005E1A13"/>
    <w:rsid w:val="005E1AB5"/>
    <w:rsid w:val="005E1F55"/>
    <w:rsid w:val="005E2180"/>
    <w:rsid w:val="005E24E5"/>
    <w:rsid w:val="005E2A72"/>
    <w:rsid w:val="005E41B8"/>
    <w:rsid w:val="005E43F8"/>
    <w:rsid w:val="005E461A"/>
    <w:rsid w:val="005E48F3"/>
    <w:rsid w:val="005E4D9B"/>
    <w:rsid w:val="005E53F9"/>
    <w:rsid w:val="005E5496"/>
    <w:rsid w:val="005E5702"/>
    <w:rsid w:val="005E58AE"/>
    <w:rsid w:val="005E5FF1"/>
    <w:rsid w:val="005E6EE3"/>
    <w:rsid w:val="005E729E"/>
    <w:rsid w:val="005E733C"/>
    <w:rsid w:val="005F0087"/>
    <w:rsid w:val="005F1383"/>
    <w:rsid w:val="005F183B"/>
    <w:rsid w:val="005F2136"/>
    <w:rsid w:val="005F2882"/>
    <w:rsid w:val="005F33D8"/>
    <w:rsid w:val="005F45B3"/>
    <w:rsid w:val="005F4E0C"/>
    <w:rsid w:val="005F53B0"/>
    <w:rsid w:val="005F6418"/>
    <w:rsid w:val="005F6A93"/>
    <w:rsid w:val="005F6DA3"/>
    <w:rsid w:val="005F6DB5"/>
    <w:rsid w:val="005F77AB"/>
    <w:rsid w:val="0060059A"/>
    <w:rsid w:val="006006A3"/>
    <w:rsid w:val="00600F56"/>
    <w:rsid w:val="006014B1"/>
    <w:rsid w:val="00601605"/>
    <w:rsid w:val="006021EC"/>
    <w:rsid w:val="0060300C"/>
    <w:rsid w:val="0060311E"/>
    <w:rsid w:val="00603344"/>
    <w:rsid w:val="00603789"/>
    <w:rsid w:val="00603C89"/>
    <w:rsid w:val="006072D1"/>
    <w:rsid w:val="00607418"/>
    <w:rsid w:val="006077D6"/>
    <w:rsid w:val="006078DF"/>
    <w:rsid w:val="00610257"/>
    <w:rsid w:val="006102CE"/>
    <w:rsid w:val="0061069A"/>
    <w:rsid w:val="00610CE5"/>
    <w:rsid w:val="00610F2D"/>
    <w:rsid w:val="00611658"/>
    <w:rsid w:val="006116F2"/>
    <w:rsid w:val="006119D4"/>
    <w:rsid w:val="00611C67"/>
    <w:rsid w:val="00612AE3"/>
    <w:rsid w:val="00612D1C"/>
    <w:rsid w:val="00613352"/>
    <w:rsid w:val="00613B35"/>
    <w:rsid w:val="00614A85"/>
    <w:rsid w:val="00614AF0"/>
    <w:rsid w:val="00614CB1"/>
    <w:rsid w:val="00615155"/>
    <w:rsid w:val="006152F0"/>
    <w:rsid w:val="006155D4"/>
    <w:rsid w:val="0061716B"/>
    <w:rsid w:val="006203A5"/>
    <w:rsid w:val="00620D99"/>
    <w:rsid w:val="00621AB9"/>
    <w:rsid w:val="00621DAD"/>
    <w:rsid w:val="0062237F"/>
    <w:rsid w:val="006223E6"/>
    <w:rsid w:val="006231CA"/>
    <w:rsid w:val="00623371"/>
    <w:rsid w:val="006236AC"/>
    <w:rsid w:val="006239A3"/>
    <w:rsid w:val="006239D5"/>
    <w:rsid w:val="00623B1D"/>
    <w:rsid w:val="0062420D"/>
    <w:rsid w:val="00624213"/>
    <w:rsid w:val="00624A4A"/>
    <w:rsid w:val="00625358"/>
    <w:rsid w:val="00625FE3"/>
    <w:rsid w:val="00626934"/>
    <w:rsid w:val="00626D45"/>
    <w:rsid w:val="006277C2"/>
    <w:rsid w:val="006279A1"/>
    <w:rsid w:val="00627E32"/>
    <w:rsid w:val="00630243"/>
    <w:rsid w:val="00630601"/>
    <w:rsid w:val="0063077B"/>
    <w:rsid w:val="00630B62"/>
    <w:rsid w:val="0063157D"/>
    <w:rsid w:val="00631C4A"/>
    <w:rsid w:val="006320E1"/>
    <w:rsid w:val="00632360"/>
    <w:rsid w:val="006326E6"/>
    <w:rsid w:val="00632FBF"/>
    <w:rsid w:val="00633028"/>
    <w:rsid w:val="006332E7"/>
    <w:rsid w:val="006334A7"/>
    <w:rsid w:val="0063425E"/>
    <w:rsid w:val="00634375"/>
    <w:rsid w:val="006345B9"/>
    <w:rsid w:val="0063520C"/>
    <w:rsid w:val="006353F0"/>
    <w:rsid w:val="006358EF"/>
    <w:rsid w:val="006358F7"/>
    <w:rsid w:val="00635D34"/>
    <w:rsid w:val="00636368"/>
    <w:rsid w:val="00637467"/>
    <w:rsid w:val="0063772A"/>
    <w:rsid w:val="0063775E"/>
    <w:rsid w:val="00640B01"/>
    <w:rsid w:val="00641052"/>
    <w:rsid w:val="00641474"/>
    <w:rsid w:val="00641957"/>
    <w:rsid w:val="00641EC4"/>
    <w:rsid w:val="00642792"/>
    <w:rsid w:val="00642BAA"/>
    <w:rsid w:val="00643471"/>
    <w:rsid w:val="0064347A"/>
    <w:rsid w:val="006435B6"/>
    <w:rsid w:val="006442DA"/>
    <w:rsid w:val="00645389"/>
    <w:rsid w:val="00645777"/>
    <w:rsid w:val="00645A06"/>
    <w:rsid w:val="00645BE4"/>
    <w:rsid w:val="00646401"/>
    <w:rsid w:val="00646634"/>
    <w:rsid w:val="00646E7B"/>
    <w:rsid w:val="00647240"/>
    <w:rsid w:val="00647490"/>
    <w:rsid w:val="006479C4"/>
    <w:rsid w:val="00647D73"/>
    <w:rsid w:val="00650BB9"/>
    <w:rsid w:val="00651078"/>
    <w:rsid w:val="00651670"/>
    <w:rsid w:val="00652060"/>
    <w:rsid w:val="0065216C"/>
    <w:rsid w:val="0065249D"/>
    <w:rsid w:val="0065277D"/>
    <w:rsid w:val="00652C58"/>
    <w:rsid w:val="00653019"/>
    <w:rsid w:val="006537E1"/>
    <w:rsid w:val="00653E0C"/>
    <w:rsid w:val="006540A4"/>
    <w:rsid w:val="00654674"/>
    <w:rsid w:val="00654680"/>
    <w:rsid w:val="006550C1"/>
    <w:rsid w:val="0065567B"/>
    <w:rsid w:val="00655802"/>
    <w:rsid w:val="006571A3"/>
    <w:rsid w:val="00657B6B"/>
    <w:rsid w:val="0066055F"/>
    <w:rsid w:val="006607A6"/>
    <w:rsid w:val="00660C39"/>
    <w:rsid w:val="006615E4"/>
    <w:rsid w:val="006616F0"/>
    <w:rsid w:val="0066182F"/>
    <w:rsid w:val="00661961"/>
    <w:rsid w:val="00661F7B"/>
    <w:rsid w:val="0066257C"/>
    <w:rsid w:val="00662724"/>
    <w:rsid w:val="0066276D"/>
    <w:rsid w:val="006627F1"/>
    <w:rsid w:val="00662C03"/>
    <w:rsid w:val="00662D2E"/>
    <w:rsid w:val="00662DE2"/>
    <w:rsid w:val="0066324B"/>
    <w:rsid w:val="00663654"/>
    <w:rsid w:val="00663AAC"/>
    <w:rsid w:val="006642CF"/>
    <w:rsid w:val="00664622"/>
    <w:rsid w:val="006665B7"/>
    <w:rsid w:val="006665D3"/>
    <w:rsid w:val="006667E3"/>
    <w:rsid w:val="00666D1B"/>
    <w:rsid w:val="00667083"/>
    <w:rsid w:val="00667157"/>
    <w:rsid w:val="00670632"/>
    <w:rsid w:val="00670863"/>
    <w:rsid w:val="00670B93"/>
    <w:rsid w:val="00671CBB"/>
    <w:rsid w:val="00671DC5"/>
    <w:rsid w:val="00672273"/>
    <w:rsid w:val="00672ADB"/>
    <w:rsid w:val="00672B19"/>
    <w:rsid w:val="0067331F"/>
    <w:rsid w:val="00673B03"/>
    <w:rsid w:val="006743FD"/>
    <w:rsid w:val="006745FE"/>
    <w:rsid w:val="00675135"/>
    <w:rsid w:val="00676437"/>
    <w:rsid w:val="006765C8"/>
    <w:rsid w:val="00676DB0"/>
    <w:rsid w:val="00676EA3"/>
    <w:rsid w:val="00677356"/>
    <w:rsid w:val="006777C7"/>
    <w:rsid w:val="00680429"/>
    <w:rsid w:val="006805D9"/>
    <w:rsid w:val="00680C05"/>
    <w:rsid w:val="006816FB"/>
    <w:rsid w:val="00681DAE"/>
    <w:rsid w:val="00682918"/>
    <w:rsid w:val="006830C5"/>
    <w:rsid w:val="00683CF5"/>
    <w:rsid w:val="00683DB4"/>
    <w:rsid w:val="0068478F"/>
    <w:rsid w:val="00684A49"/>
    <w:rsid w:val="00684E68"/>
    <w:rsid w:val="00684F43"/>
    <w:rsid w:val="0068503E"/>
    <w:rsid w:val="00685F75"/>
    <w:rsid w:val="0068604A"/>
    <w:rsid w:val="00686C91"/>
    <w:rsid w:val="0068734E"/>
    <w:rsid w:val="00687643"/>
    <w:rsid w:val="00687AD2"/>
    <w:rsid w:val="00687B78"/>
    <w:rsid w:val="00687E0A"/>
    <w:rsid w:val="00687E86"/>
    <w:rsid w:val="00690110"/>
    <w:rsid w:val="00691013"/>
    <w:rsid w:val="00691FCD"/>
    <w:rsid w:val="00692443"/>
    <w:rsid w:val="00692767"/>
    <w:rsid w:val="006939FF"/>
    <w:rsid w:val="00693E45"/>
    <w:rsid w:val="00694A3B"/>
    <w:rsid w:val="00694A52"/>
    <w:rsid w:val="00694C58"/>
    <w:rsid w:val="00694EBD"/>
    <w:rsid w:val="006952E4"/>
    <w:rsid w:val="0069541B"/>
    <w:rsid w:val="00695745"/>
    <w:rsid w:val="00695B7A"/>
    <w:rsid w:val="00695CD8"/>
    <w:rsid w:val="00695EDA"/>
    <w:rsid w:val="006965E8"/>
    <w:rsid w:val="0069662E"/>
    <w:rsid w:val="00697013"/>
    <w:rsid w:val="00697E28"/>
    <w:rsid w:val="006A04F2"/>
    <w:rsid w:val="006A071C"/>
    <w:rsid w:val="006A0D56"/>
    <w:rsid w:val="006A0E6C"/>
    <w:rsid w:val="006A1440"/>
    <w:rsid w:val="006A1B3E"/>
    <w:rsid w:val="006A2027"/>
    <w:rsid w:val="006A280A"/>
    <w:rsid w:val="006A2C3B"/>
    <w:rsid w:val="006A33D9"/>
    <w:rsid w:val="006A38B1"/>
    <w:rsid w:val="006A40C6"/>
    <w:rsid w:val="006A41D2"/>
    <w:rsid w:val="006A472D"/>
    <w:rsid w:val="006A51AD"/>
    <w:rsid w:val="006A54A6"/>
    <w:rsid w:val="006A5DF7"/>
    <w:rsid w:val="006A5F73"/>
    <w:rsid w:val="006A64C0"/>
    <w:rsid w:val="006A66C6"/>
    <w:rsid w:val="006A6D46"/>
    <w:rsid w:val="006A763D"/>
    <w:rsid w:val="006B157A"/>
    <w:rsid w:val="006B2052"/>
    <w:rsid w:val="006B2086"/>
    <w:rsid w:val="006B22D0"/>
    <w:rsid w:val="006B2451"/>
    <w:rsid w:val="006B2476"/>
    <w:rsid w:val="006B29DE"/>
    <w:rsid w:val="006B2EB2"/>
    <w:rsid w:val="006B36C5"/>
    <w:rsid w:val="006B3A2F"/>
    <w:rsid w:val="006B4DD5"/>
    <w:rsid w:val="006B57EE"/>
    <w:rsid w:val="006B5885"/>
    <w:rsid w:val="006B6088"/>
    <w:rsid w:val="006B61EE"/>
    <w:rsid w:val="006B6918"/>
    <w:rsid w:val="006B7AE1"/>
    <w:rsid w:val="006C00DE"/>
    <w:rsid w:val="006C0177"/>
    <w:rsid w:val="006C027F"/>
    <w:rsid w:val="006C0760"/>
    <w:rsid w:val="006C141B"/>
    <w:rsid w:val="006C195D"/>
    <w:rsid w:val="006C1B36"/>
    <w:rsid w:val="006C1D34"/>
    <w:rsid w:val="006C1FB6"/>
    <w:rsid w:val="006C2329"/>
    <w:rsid w:val="006C24C7"/>
    <w:rsid w:val="006C29E5"/>
    <w:rsid w:val="006C304D"/>
    <w:rsid w:val="006C32A8"/>
    <w:rsid w:val="006C3563"/>
    <w:rsid w:val="006C427C"/>
    <w:rsid w:val="006C506E"/>
    <w:rsid w:val="006C534C"/>
    <w:rsid w:val="006C578B"/>
    <w:rsid w:val="006C6AEC"/>
    <w:rsid w:val="006C6F8C"/>
    <w:rsid w:val="006C70EC"/>
    <w:rsid w:val="006C71B4"/>
    <w:rsid w:val="006C790C"/>
    <w:rsid w:val="006D0682"/>
    <w:rsid w:val="006D0D00"/>
    <w:rsid w:val="006D0DE8"/>
    <w:rsid w:val="006D1705"/>
    <w:rsid w:val="006D1D61"/>
    <w:rsid w:val="006D22DC"/>
    <w:rsid w:val="006D30CA"/>
    <w:rsid w:val="006D4BDF"/>
    <w:rsid w:val="006D4D02"/>
    <w:rsid w:val="006D4F14"/>
    <w:rsid w:val="006D4F30"/>
    <w:rsid w:val="006D5021"/>
    <w:rsid w:val="006D7493"/>
    <w:rsid w:val="006D7862"/>
    <w:rsid w:val="006E002F"/>
    <w:rsid w:val="006E0369"/>
    <w:rsid w:val="006E056D"/>
    <w:rsid w:val="006E0BC9"/>
    <w:rsid w:val="006E188F"/>
    <w:rsid w:val="006E1FD1"/>
    <w:rsid w:val="006E2A41"/>
    <w:rsid w:val="006E38A0"/>
    <w:rsid w:val="006E39E9"/>
    <w:rsid w:val="006E3DEA"/>
    <w:rsid w:val="006E3ED2"/>
    <w:rsid w:val="006E42DD"/>
    <w:rsid w:val="006E45E9"/>
    <w:rsid w:val="006E47A0"/>
    <w:rsid w:val="006E5187"/>
    <w:rsid w:val="006E54B1"/>
    <w:rsid w:val="006E5BF3"/>
    <w:rsid w:val="006E6A0C"/>
    <w:rsid w:val="006E7159"/>
    <w:rsid w:val="006E76C7"/>
    <w:rsid w:val="006E7D3C"/>
    <w:rsid w:val="006F0962"/>
    <w:rsid w:val="006F09E9"/>
    <w:rsid w:val="006F10A5"/>
    <w:rsid w:val="006F1711"/>
    <w:rsid w:val="006F182B"/>
    <w:rsid w:val="006F1CDD"/>
    <w:rsid w:val="006F2056"/>
    <w:rsid w:val="006F22B1"/>
    <w:rsid w:val="006F24AE"/>
    <w:rsid w:val="006F289D"/>
    <w:rsid w:val="006F301B"/>
    <w:rsid w:val="006F3443"/>
    <w:rsid w:val="006F3643"/>
    <w:rsid w:val="006F38A5"/>
    <w:rsid w:val="006F3BDF"/>
    <w:rsid w:val="006F4251"/>
    <w:rsid w:val="006F443F"/>
    <w:rsid w:val="006F449E"/>
    <w:rsid w:val="006F47CF"/>
    <w:rsid w:val="006F47ED"/>
    <w:rsid w:val="006F4A2B"/>
    <w:rsid w:val="006F5047"/>
    <w:rsid w:val="006F53E0"/>
    <w:rsid w:val="006F552C"/>
    <w:rsid w:val="006F5A19"/>
    <w:rsid w:val="006F61B0"/>
    <w:rsid w:val="006F61CA"/>
    <w:rsid w:val="006F627C"/>
    <w:rsid w:val="006F70F3"/>
    <w:rsid w:val="006F7630"/>
    <w:rsid w:val="006F7B62"/>
    <w:rsid w:val="006F7EF4"/>
    <w:rsid w:val="00700862"/>
    <w:rsid w:val="00701886"/>
    <w:rsid w:val="00701D94"/>
    <w:rsid w:val="00703AB4"/>
    <w:rsid w:val="00704406"/>
    <w:rsid w:val="0070476B"/>
    <w:rsid w:val="007054A6"/>
    <w:rsid w:val="00705563"/>
    <w:rsid w:val="00705A0C"/>
    <w:rsid w:val="00706E58"/>
    <w:rsid w:val="0070764E"/>
    <w:rsid w:val="00707780"/>
    <w:rsid w:val="00707C09"/>
    <w:rsid w:val="00710E57"/>
    <w:rsid w:val="0071153B"/>
    <w:rsid w:val="007116C9"/>
    <w:rsid w:val="007117BA"/>
    <w:rsid w:val="007121E0"/>
    <w:rsid w:val="00712770"/>
    <w:rsid w:val="00712963"/>
    <w:rsid w:val="00712B15"/>
    <w:rsid w:val="00713C95"/>
    <w:rsid w:val="007143BA"/>
    <w:rsid w:val="007148F0"/>
    <w:rsid w:val="00714B4F"/>
    <w:rsid w:val="00714C38"/>
    <w:rsid w:val="007151A3"/>
    <w:rsid w:val="0071573E"/>
    <w:rsid w:val="00715CC8"/>
    <w:rsid w:val="007163D1"/>
    <w:rsid w:val="00716B31"/>
    <w:rsid w:val="00716BBB"/>
    <w:rsid w:val="00716E2D"/>
    <w:rsid w:val="0072079F"/>
    <w:rsid w:val="007208DA"/>
    <w:rsid w:val="00721177"/>
    <w:rsid w:val="00721423"/>
    <w:rsid w:val="00721674"/>
    <w:rsid w:val="0072168F"/>
    <w:rsid w:val="0072239E"/>
    <w:rsid w:val="007231F4"/>
    <w:rsid w:val="00723F35"/>
    <w:rsid w:val="00723FF5"/>
    <w:rsid w:val="00724428"/>
    <w:rsid w:val="00724C3C"/>
    <w:rsid w:val="007250E6"/>
    <w:rsid w:val="007257DF"/>
    <w:rsid w:val="00725E90"/>
    <w:rsid w:val="00725F24"/>
    <w:rsid w:val="00726C28"/>
    <w:rsid w:val="00726EC3"/>
    <w:rsid w:val="00726F95"/>
    <w:rsid w:val="00727B24"/>
    <w:rsid w:val="00727F70"/>
    <w:rsid w:val="0073004D"/>
    <w:rsid w:val="007302A0"/>
    <w:rsid w:val="00730BC8"/>
    <w:rsid w:val="0073128D"/>
    <w:rsid w:val="00731531"/>
    <w:rsid w:val="00731560"/>
    <w:rsid w:val="00731CAE"/>
    <w:rsid w:val="007320A5"/>
    <w:rsid w:val="007320FB"/>
    <w:rsid w:val="00732675"/>
    <w:rsid w:val="0073314D"/>
    <w:rsid w:val="007334CB"/>
    <w:rsid w:val="007337EB"/>
    <w:rsid w:val="00733A2D"/>
    <w:rsid w:val="00733C42"/>
    <w:rsid w:val="00733C8F"/>
    <w:rsid w:val="00734111"/>
    <w:rsid w:val="00734137"/>
    <w:rsid w:val="007348F1"/>
    <w:rsid w:val="007352A2"/>
    <w:rsid w:val="0073594F"/>
    <w:rsid w:val="00735A03"/>
    <w:rsid w:val="00735A87"/>
    <w:rsid w:val="00735DF2"/>
    <w:rsid w:val="00735F3C"/>
    <w:rsid w:val="00736F5B"/>
    <w:rsid w:val="00737675"/>
    <w:rsid w:val="007379B6"/>
    <w:rsid w:val="00737D47"/>
    <w:rsid w:val="00737D66"/>
    <w:rsid w:val="0074084C"/>
    <w:rsid w:val="007418C9"/>
    <w:rsid w:val="00743140"/>
    <w:rsid w:val="00744722"/>
    <w:rsid w:val="00744FE0"/>
    <w:rsid w:val="007451C9"/>
    <w:rsid w:val="007451D3"/>
    <w:rsid w:val="00745B51"/>
    <w:rsid w:val="0074607D"/>
    <w:rsid w:val="007460A0"/>
    <w:rsid w:val="0074632B"/>
    <w:rsid w:val="007463AB"/>
    <w:rsid w:val="00746BB0"/>
    <w:rsid w:val="00746C76"/>
    <w:rsid w:val="00746D02"/>
    <w:rsid w:val="00746F4D"/>
    <w:rsid w:val="007472E4"/>
    <w:rsid w:val="0074758F"/>
    <w:rsid w:val="00747BFF"/>
    <w:rsid w:val="0075024E"/>
    <w:rsid w:val="007502F0"/>
    <w:rsid w:val="0075070E"/>
    <w:rsid w:val="00751330"/>
    <w:rsid w:val="007515AC"/>
    <w:rsid w:val="00751994"/>
    <w:rsid w:val="00751A72"/>
    <w:rsid w:val="00751AF3"/>
    <w:rsid w:val="00751D90"/>
    <w:rsid w:val="007524D1"/>
    <w:rsid w:val="00752CA9"/>
    <w:rsid w:val="00753375"/>
    <w:rsid w:val="007534F5"/>
    <w:rsid w:val="00755007"/>
    <w:rsid w:val="00755056"/>
    <w:rsid w:val="007553CB"/>
    <w:rsid w:val="00755754"/>
    <w:rsid w:val="00755F54"/>
    <w:rsid w:val="0075654C"/>
    <w:rsid w:val="00756780"/>
    <w:rsid w:val="00756B38"/>
    <w:rsid w:val="00756D8A"/>
    <w:rsid w:val="00757853"/>
    <w:rsid w:val="00757A2A"/>
    <w:rsid w:val="00761AF2"/>
    <w:rsid w:val="00761C78"/>
    <w:rsid w:val="0076250A"/>
    <w:rsid w:val="00762909"/>
    <w:rsid w:val="00762945"/>
    <w:rsid w:val="00762D42"/>
    <w:rsid w:val="00763164"/>
    <w:rsid w:val="00763C7E"/>
    <w:rsid w:val="00763E7B"/>
    <w:rsid w:val="00763F9A"/>
    <w:rsid w:val="007640F5"/>
    <w:rsid w:val="007643DD"/>
    <w:rsid w:val="0076549D"/>
    <w:rsid w:val="00765506"/>
    <w:rsid w:val="00766262"/>
    <w:rsid w:val="0076686F"/>
    <w:rsid w:val="00766B17"/>
    <w:rsid w:val="00767369"/>
    <w:rsid w:val="00767CDE"/>
    <w:rsid w:val="00770631"/>
    <w:rsid w:val="00770CEA"/>
    <w:rsid w:val="00770D4E"/>
    <w:rsid w:val="00771722"/>
    <w:rsid w:val="0077179A"/>
    <w:rsid w:val="00771D10"/>
    <w:rsid w:val="00771D2A"/>
    <w:rsid w:val="007724A2"/>
    <w:rsid w:val="00773446"/>
    <w:rsid w:val="00773D41"/>
    <w:rsid w:val="00773E40"/>
    <w:rsid w:val="007744E0"/>
    <w:rsid w:val="00774577"/>
    <w:rsid w:val="00774940"/>
    <w:rsid w:val="007752E9"/>
    <w:rsid w:val="0077541E"/>
    <w:rsid w:val="007755AA"/>
    <w:rsid w:val="00775AF2"/>
    <w:rsid w:val="00776CAD"/>
    <w:rsid w:val="00776E2C"/>
    <w:rsid w:val="00777418"/>
    <w:rsid w:val="00777476"/>
    <w:rsid w:val="007778A6"/>
    <w:rsid w:val="00780BFF"/>
    <w:rsid w:val="0078110B"/>
    <w:rsid w:val="007815D6"/>
    <w:rsid w:val="00781820"/>
    <w:rsid w:val="00781909"/>
    <w:rsid w:val="00781941"/>
    <w:rsid w:val="007819F1"/>
    <w:rsid w:val="00781EC0"/>
    <w:rsid w:val="00781F59"/>
    <w:rsid w:val="007826DF"/>
    <w:rsid w:val="00782946"/>
    <w:rsid w:val="00783261"/>
    <w:rsid w:val="007834AA"/>
    <w:rsid w:val="0078384C"/>
    <w:rsid w:val="00783A80"/>
    <w:rsid w:val="00783F50"/>
    <w:rsid w:val="0078465D"/>
    <w:rsid w:val="00784BC7"/>
    <w:rsid w:val="007853F6"/>
    <w:rsid w:val="00785D10"/>
    <w:rsid w:val="00786275"/>
    <w:rsid w:val="00786438"/>
    <w:rsid w:val="0078765F"/>
    <w:rsid w:val="00787DA5"/>
    <w:rsid w:val="007904F1"/>
    <w:rsid w:val="007908EA"/>
    <w:rsid w:val="00790A86"/>
    <w:rsid w:val="00790F45"/>
    <w:rsid w:val="007911F3"/>
    <w:rsid w:val="007918D4"/>
    <w:rsid w:val="007919CE"/>
    <w:rsid w:val="00791C38"/>
    <w:rsid w:val="0079205C"/>
    <w:rsid w:val="007924A8"/>
    <w:rsid w:val="007929F4"/>
    <w:rsid w:val="00793B68"/>
    <w:rsid w:val="00793F7A"/>
    <w:rsid w:val="0079448E"/>
    <w:rsid w:val="0079449D"/>
    <w:rsid w:val="007944FF"/>
    <w:rsid w:val="007945E9"/>
    <w:rsid w:val="007947F5"/>
    <w:rsid w:val="007948AA"/>
    <w:rsid w:val="00794989"/>
    <w:rsid w:val="00794B00"/>
    <w:rsid w:val="00794C97"/>
    <w:rsid w:val="007954EA"/>
    <w:rsid w:val="0079572D"/>
    <w:rsid w:val="00795E60"/>
    <w:rsid w:val="007963FF"/>
    <w:rsid w:val="007972DA"/>
    <w:rsid w:val="00797771"/>
    <w:rsid w:val="007A035A"/>
    <w:rsid w:val="007A04CF"/>
    <w:rsid w:val="007A0FDD"/>
    <w:rsid w:val="007A19C6"/>
    <w:rsid w:val="007A2AC1"/>
    <w:rsid w:val="007A3AB7"/>
    <w:rsid w:val="007A3DD9"/>
    <w:rsid w:val="007A4404"/>
    <w:rsid w:val="007A4775"/>
    <w:rsid w:val="007A4879"/>
    <w:rsid w:val="007A56FA"/>
    <w:rsid w:val="007A5D1F"/>
    <w:rsid w:val="007A5F49"/>
    <w:rsid w:val="007A5FB3"/>
    <w:rsid w:val="007A61E3"/>
    <w:rsid w:val="007A75BA"/>
    <w:rsid w:val="007A78D7"/>
    <w:rsid w:val="007A7E65"/>
    <w:rsid w:val="007A7ED3"/>
    <w:rsid w:val="007B013E"/>
    <w:rsid w:val="007B05B1"/>
    <w:rsid w:val="007B0E85"/>
    <w:rsid w:val="007B10B5"/>
    <w:rsid w:val="007B1198"/>
    <w:rsid w:val="007B11F7"/>
    <w:rsid w:val="007B1B28"/>
    <w:rsid w:val="007B216E"/>
    <w:rsid w:val="007B2AF4"/>
    <w:rsid w:val="007B2DAD"/>
    <w:rsid w:val="007B2EBD"/>
    <w:rsid w:val="007B2F26"/>
    <w:rsid w:val="007B316C"/>
    <w:rsid w:val="007B39B4"/>
    <w:rsid w:val="007B4429"/>
    <w:rsid w:val="007B4822"/>
    <w:rsid w:val="007B4C73"/>
    <w:rsid w:val="007B4CFC"/>
    <w:rsid w:val="007B4F30"/>
    <w:rsid w:val="007B5206"/>
    <w:rsid w:val="007B6169"/>
    <w:rsid w:val="007B657B"/>
    <w:rsid w:val="007B6CD7"/>
    <w:rsid w:val="007B7DA0"/>
    <w:rsid w:val="007C033F"/>
    <w:rsid w:val="007C18E9"/>
    <w:rsid w:val="007C1DB3"/>
    <w:rsid w:val="007C2827"/>
    <w:rsid w:val="007C2E38"/>
    <w:rsid w:val="007C32AC"/>
    <w:rsid w:val="007C36B1"/>
    <w:rsid w:val="007C3CAA"/>
    <w:rsid w:val="007C3D0B"/>
    <w:rsid w:val="007C4859"/>
    <w:rsid w:val="007C5861"/>
    <w:rsid w:val="007C5F94"/>
    <w:rsid w:val="007C65C1"/>
    <w:rsid w:val="007C6C76"/>
    <w:rsid w:val="007C745C"/>
    <w:rsid w:val="007C74CF"/>
    <w:rsid w:val="007D03A9"/>
    <w:rsid w:val="007D082F"/>
    <w:rsid w:val="007D0942"/>
    <w:rsid w:val="007D0FBA"/>
    <w:rsid w:val="007D11C0"/>
    <w:rsid w:val="007D1C45"/>
    <w:rsid w:val="007D21E7"/>
    <w:rsid w:val="007D25F1"/>
    <w:rsid w:val="007D280C"/>
    <w:rsid w:val="007D3143"/>
    <w:rsid w:val="007D327A"/>
    <w:rsid w:val="007D352B"/>
    <w:rsid w:val="007D3EA3"/>
    <w:rsid w:val="007D4879"/>
    <w:rsid w:val="007D4ACD"/>
    <w:rsid w:val="007E0711"/>
    <w:rsid w:val="007E0771"/>
    <w:rsid w:val="007E0C30"/>
    <w:rsid w:val="007E1203"/>
    <w:rsid w:val="007E16B9"/>
    <w:rsid w:val="007E17D5"/>
    <w:rsid w:val="007E1EF0"/>
    <w:rsid w:val="007E2630"/>
    <w:rsid w:val="007E2A40"/>
    <w:rsid w:val="007E4B4E"/>
    <w:rsid w:val="007E5345"/>
    <w:rsid w:val="007E5519"/>
    <w:rsid w:val="007E5542"/>
    <w:rsid w:val="007E7164"/>
    <w:rsid w:val="007E7AE5"/>
    <w:rsid w:val="007F077C"/>
    <w:rsid w:val="007F0C81"/>
    <w:rsid w:val="007F11BE"/>
    <w:rsid w:val="007F1662"/>
    <w:rsid w:val="007F1669"/>
    <w:rsid w:val="007F17F0"/>
    <w:rsid w:val="007F1A3A"/>
    <w:rsid w:val="007F1E16"/>
    <w:rsid w:val="007F22AB"/>
    <w:rsid w:val="007F2D61"/>
    <w:rsid w:val="007F2DBF"/>
    <w:rsid w:val="007F319B"/>
    <w:rsid w:val="007F3C2E"/>
    <w:rsid w:val="007F3C32"/>
    <w:rsid w:val="007F4A62"/>
    <w:rsid w:val="007F4E53"/>
    <w:rsid w:val="007F5B4B"/>
    <w:rsid w:val="007F698B"/>
    <w:rsid w:val="007F7441"/>
    <w:rsid w:val="007F74BB"/>
    <w:rsid w:val="00800A0B"/>
    <w:rsid w:val="00800D6E"/>
    <w:rsid w:val="00800E8E"/>
    <w:rsid w:val="00801407"/>
    <w:rsid w:val="008025B0"/>
    <w:rsid w:val="008030AE"/>
    <w:rsid w:val="00803463"/>
    <w:rsid w:val="00804556"/>
    <w:rsid w:val="0080464D"/>
    <w:rsid w:val="0080473E"/>
    <w:rsid w:val="008048CC"/>
    <w:rsid w:val="00804DDF"/>
    <w:rsid w:val="008053AC"/>
    <w:rsid w:val="00805468"/>
    <w:rsid w:val="00805671"/>
    <w:rsid w:val="00805AFB"/>
    <w:rsid w:val="00806526"/>
    <w:rsid w:val="0080661A"/>
    <w:rsid w:val="0080662C"/>
    <w:rsid w:val="00806D4D"/>
    <w:rsid w:val="0080735F"/>
    <w:rsid w:val="008073CB"/>
    <w:rsid w:val="00807D7A"/>
    <w:rsid w:val="008103E5"/>
    <w:rsid w:val="0081074F"/>
    <w:rsid w:val="00810949"/>
    <w:rsid w:val="00810A61"/>
    <w:rsid w:val="0081122B"/>
    <w:rsid w:val="00811DBF"/>
    <w:rsid w:val="00811EDD"/>
    <w:rsid w:val="00812D23"/>
    <w:rsid w:val="00813D8E"/>
    <w:rsid w:val="00813EF3"/>
    <w:rsid w:val="0081441B"/>
    <w:rsid w:val="00814968"/>
    <w:rsid w:val="0081542F"/>
    <w:rsid w:val="008154F2"/>
    <w:rsid w:val="00815FF5"/>
    <w:rsid w:val="008161B6"/>
    <w:rsid w:val="008168FB"/>
    <w:rsid w:val="00816C22"/>
    <w:rsid w:val="00816DAF"/>
    <w:rsid w:val="00817728"/>
    <w:rsid w:val="0081780E"/>
    <w:rsid w:val="00817B2E"/>
    <w:rsid w:val="0082007F"/>
    <w:rsid w:val="008207CD"/>
    <w:rsid w:val="00820A38"/>
    <w:rsid w:val="00821A8E"/>
    <w:rsid w:val="0082241D"/>
    <w:rsid w:val="00823674"/>
    <w:rsid w:val="00823920"/>
    <w:rsid w:val="00823E17"/>
    <w:rsid w:val="00823F53"/>
    <w:rsid w:val="0082501C"/>
    <w:rsid w:val="0082610E"/>
    <w:rsid w:val="00826D09"/>
    <w:rsid w:val="0082759B"/>
    <w:rsid w:val="008277FC"/>
    <w:rsid w:val="00827AE0"/>
    <w:rsid w:val="00827BBB"/>
    <w:rsid w:val="00830788"/>
    <w:rsid w:val="00830FC1"/>
    <w:rsid w:val="00831933"/>
    <w:rsid w:val="00831BA0"/>
    <w:rsid w:val="00832621"/>
    <w:rsid w:val="00833474"/>
    <w:rsid w:val="00833E1B"/>
    <w:rsid w:val="00834236"/>
    <w:rsid w:val="0083440E"/>
    <w:rsid w:val="00834557"/>
    <w:rsid w:val="00834842"/>
    <w:rsid w:val="008353A7"/>
    <w:rsid w:val="00835DD9"/>
    <w:rsid w:val="00835E81"/>
    <w:rsid w:val="00835E90"/>
    <w:rsid w:val="00835ED8"/>
    <w:rsid w:val="0083608B"/>
    <w:rsid w:val="008362F3"/>
    <w:rsid w:val="008368A2"/>
    <w:rsid w:val="00836D19"/>
    <w:rsid w:val="00837771"/>
    <w:rsid w:val="00840C70"/>
    <w:rsid w:val="00841752"/>
    <w:rsid w:val="00841905"/>
    <w:rsid w:val="0084193C"/>
    <w:rsid w:val="00841B09"/>
    <w:rsid w:val="0084205A"/>
    <w:rsid w:val="00842094"/>
    <w:rsid w:val="008423A2"/>
    <w:rsid w:val="00842581"/>
    <w:rsid w:val="00842D47"/>
    <w:rsid w:val="00842FD1"/>
    <w:rsid w:val="0084309D"/>
    <w:rsid w:val="008457A8"/>
    <w:rsid w:val="00845972"/>
    <w:rsid w:val="00845F84"/>
    <w:rsid w:val="00846BE7"/>
    <w:rsid w:val="00846CE4"/>
    <w:rsid w:val="00847601"/>
    <w:rsid w:val="00847AB5"/>
    <w:rsid w:val="00847BA8"/>
    <w:rsid w:val="00850C5D"/>
    <w:rsid w:val="008517C5"/>
    <w:rsid w:val="008518B5"/>
    <w:rsid w:val="00851D4B"/>
    <w:rsid w:val="008529C2"/>
    <w:rsid w:val="008529C3"/>
    <w:rsid w:val="0085319B"/>
    <w:rsid w:val="00853222"/>
    <w:rsid w:val="00853992"/>
    <w:rsid w:val="00853A78"/>
    <w:rsid w:val="00853D23"/>
    <w:rsid w:val="008542D8"/>
    <w:rsid w:val="00854D88"/>
    <w:rsid w:val="00854E87"/>
    <w:rsid w:val="00855D1F"/>
    <w:rsid w:val="008570AB"/>
    <w:rsid w:val="008571E7"/>
    <w:rsid w:val="008577E5"/>
    <w:rsid w:val="00857857"/>
    <w:rsid w:val="00860B9A"/>
    <w:rsid w:val="008611A3"/>
    <w:rsid w:val="008616EA"/>
    <w:rsid w:val="0086295B"/>
    <w:rsid w:val="00862E09"/>
    <w:rsid w:val="0086306F"/>
    <w:rsid w:val="0086438A"/>
    <w:rsid w:val="0086551D"/>
    <w:rsid w:val="0086589D"/>
    <w:rsid w:val="00866088"/>
    <w:rsid w:val="008660DD"/>
    <w:rsid w:val="00866D3C"/>
    <w:rsid w:val="00866E20"/>
    <w:rsid w:val="008675E9"/>
    <w:rsid w:val="00870003"/>
    <w:rsid w:val="00870009"/>
    <w:rsid w:val="008704E4"/>
    <w:rsid w:val="00870740"/>
    <w:rsid w:val="008707A6"/>
    <w:rsid w:val="008708CB"/>
    <w:rsid w:val="00870A04"/>
    <w:rsid w:val="00870BC9"/>
    <w:rsid w:val="00870DAC"/>
    <w:rsid w:val="00871324"/>
    <w:rsid w:val="0087140C"/>
    <w:rsid w:val="008714D8"/>
    <w:rsid w:val="00871A0D"/>
    <w:rsid w:val="00873199"/>
    <w:rsid w:val="00873234"/>
    <w:rsid w:val="00873B08"/>
    <w:rsid w:val="00873BFD"/>
    <w:rsid w:val="00873CE6"/>
    <w:rsid w:val="00874531"/>
    <w:rsid w:val="008757C6"/>
    <w:rsid w:val="00875D4A"/>
    <w:rsid w:val="00875F63"/>
    <w:rsid w:val="00876EB1"/>
    <w:rsid w:val="008770BF"/>
    <w:rsid w:val="008770DB"/>
    <w:rsid w:val="008775A6"/>
    <w:rsid w:val="00877DF5"/>
    <w:rsid w:val="00880E3C"/>
    <w:rsid w:val="008810CD"/>
    <w:rsid w:val="008811C2"/>
    <w:rsid w:val="008811EF"/>
    <w:rsid w:val="00881310"/>
    <w:rsid w:val="008818CF"/>
    <w:rsid w:val="0088243C"/>
    <w:rsid w:val="008824E8"/>
    <w:rsid w:val="00882B3C"/>
    <w:rsid w:val="00883D97"/>
    <w:rsid w:val="00883F3F"/>
    <w:rsid w:val="008840F1"/>
    <w:rsid w:val="00884193"/>
    <w:rsid w:val="00884272"/>
    <w:rsid w:val="00884353"/>
    <w:rsid w:val="0088448E"/>
    <w:rsid w:val="00884738"/>
    <w:rsid w:val="0088506D"/>
    <w:rsid w:val="00886801"/>
    <w:rsid w:val="00886989"/>
    <w:rsid w:val="00887279"/>
    <w:rsid w:val="00887287"/>
    <w:rsid w:val="00887415"/>
    <w:rsid w:val="008875BE"/>
    <w:rsid w:val="008903BD"/>
    <w:rsid w:val="00890535"/>
    <w:rsid w:val="008906D9"/>
    <w:rsid w:val="00890CA7"/>
    <w:rsid w:val="00890ED5"/>
    <w:rsid w:val="00891210"/>
    <w:rsid w:val="00891948"/>
    <w:rsid w:val="0089229F"/>
    <w:rsid w:val="008929D4"/>
    <w:rsid w:val="00893698"/>
    <w:rsid w:val="00893885"/>
    <w:rsid w:val="0089479A"/>
    <w:rsid w:val="00896111"/>
    <w:rsid w:val="00897261"/>
    <w:rsid w:val="0089742B"/>
    <w:rsid w:val="00897D08"/>
    <w:rsid w:val="00897D4A"/>
    <w:rsid w:val="008A072D"/>
    <w:rsid w:val="008A13EC"/>
    <w:rsid w:val="008A14CA"/>
    <w:rsid w:val="008A1787"/>
    <w:rsid w:val="008A1820"/>
    <w:rsid w:val="008A187D"/>
    <w:rsid w:val="008A19B7"/>
    <w:rsid w:val="008A2318"/>
    <w:rsid w:val="008A2A44"/>
    <w:rsid w:val="008A2E16"/>
    <w:rsid w:val="008A32B8"/>
    <w:rsid w:val="008A3BA5"/>
    <w:rsid w:val="008A4946"/>
    <w:rsid w:val="008A4955"/>
    <w:rsid w:val="008A4FE9"/>
    <w:rsid w:val="008A5939"/>
    <w:rsid w:val="008A5AFD"/>
    <w:rsid w:val="008A5B92"/>
    <w:rsid w:val="008A62F1"/>
    <w:rsid w:val="008A682C"/>
    <w:rsid w:val="008A6A12"/>
    <w:rsid w:val="008A7035"/>
    <w:rsid w:val="008A70DE"/>
    <w:rsid w:val="008A76AE"/>
    <w:rsid w:val="008A7A2B"/>
    <w:rsid w:val="008A7C09"/>
    <w:rsid w:val="008B00F3"/>
    <w:rsid w:val="008B02F8"/>
    <w:rsid w:val="008B05D6"/>
    <w:rsid w:val="008B0613"/>
    <w:rsid w:val="008B0B1B"/>
    <w:rsid w:val="008B0B27"/>
    <w:rsid w:val="008B0E76"/>
    <w:rsid w:val="008B13E2"/>
    <w:rsid w:val="008B1666"/>
    <w:rsid w:val="008B2091"/>
    <w:rsid w:val="008B20C2"/>
    <w:rsid w:val="008B252E"/>
    <w:rsid w:val="008B2590"/>
    <w:rsid w:val="008B2710"/>
    <w:rsid w:val="008B27B0"/>
    <w:rsid w:val="008B29AC"/>
    <w:rsid w:val="008B3024"/>
    <w:rsid w:val="008B3E04"/>
    <w:rsid w:val="008B4208"/>
    <w:rsid w:val="008B4A2D"/>
    <w:rsid w:val="008B5D14"/>
    <w:rsid w:val="008B61B7"/>
    <w:rsid w:val="008B6204"/>
    <w:rsid w:val="008B6BCA"/>
    <w:rsid w:val="008B6DF7"/>
    <w:rsid w:val="008B7E38"/>
    <w:rsid w:val="008C0034"/>
    <w:rsid w:val="008C025F"/>
    <w:rsid w:val="008C1195"/>
    <w:rsid w:val="008C1D3E"/>
    <w:rsid w:val="008C1E41"/>
    <w:rsid w:val="008C2BDB"/>
    <w:rsid w:val="008C367B"/>
    <w:rsid w:val="008C3F5C"/>
    <w:rsid w:val="008C4452"/>
    <w:rsid w:val="008C4ED8"/>
    <w:rsid w:val="008C5505"/>
    <w:rsid w:val="008C5CE9"/>
    <w:rsid w:val="008C5F6B"/>
    <w:rsid w:val="008C621C"/>
    <w:rsid w:val="008C6C60"/>
    <w:rsid w:val="008C6CDA"/>
    <w:rsid w:val="008C6D58"/>
    <w:rsid w:val="008C7200"/>
    <w:rsid w:val="008D03EB"/>
    <w:rsid w:val="008D0A2A"/>
    <w:rsid w:val="008D14BA"/>
    <w:rsid w:val="008D19E0"/>
    <w:rsid w:val="008D1C4A"/>
    <w:rsid w:val="008D1F6B"/>
    <w:rsid w:val="008D20B1"/>
    <w:rsid w:val="008D2126"/>
    <w:rsid w:val="008D2FBB"/>
    <w:rsid w:val="008D3C06"/>
    <w:rsid w:val="008D3E40"/>
    <w:rsid w:val="008D440C"/>
    <w:rsid w:val="008D468E"/>
    <w:rsid w:val="008D47DA"/>
    <w:rsid w:val="008D4A54"/>
    <w:rsid w:val="008D5858"/>
    <w:rsid w:val="008D5DD6"/>
    <w:rsid w:val="008D5EC8"/>
    <w:rsid w:val="008D601A"/>
    <w:rsid w:val="008D6BBA"/>
    <w:rsid w:val="008D6E26"/>
    <w:rsid w:val="008D6EDA"/>
    <w:rsid w:val="008D7081"/>
    <w:rsid w:val="008D71F6"/>
    <w:rsid w:val="008D7B12"/>
    <w:rsid w:val="008D7CE1"/>
    <w:rsid w:val="008D7E66"/>
    <w:rsid w:val="008E03DC"/>
    <w:rsid w:val="008E07A8"/>
    <w:rsid w:val="008E13FC"/>
    <w:rsid w:val="008E14A6"/>
    <w:rsid w:val="008E176A"/>
    <w:rsid w:val="008E24E0"/>
    <w:rsid w:val="008E3094"/>
    <w:rsid w:val="008E366F"/>
    <w:rsid w:val="008E3BDD"/>
    <w:rsid w:val="008E41C3"/>
    <w:rsid w:val="008E45C1"/>
    <w:rsid w:val="008E4835"/>
    <w:rsid w:val="008E496F"/>
    <w:rsid w:val="008E5929"/>
    <w:rsid w:val="008E5CF1"/>
    <w:rsid w:val="008E60BA"/>
    <w:rsid w:val="008E653E"/>
    <w:rsid w:val="008E6619"/>
    <w:rsid w:val="008E6692"/>
    <w:rsid w:val="008E674C"/>
    <w:rsid w:val="008E67E2"/>
    <w:rsid w:val="008E756F"/>
    <w:rsid w:val="008F0E0E"/>
    <w:rsid w:val="008F0F4F"/>
    <w:rsid w:val="008F125E"/>
    <w:rsid w:val="008F12B7"/>
    <w:rsid w:val="008F1EE6"/>
    <w:rsid w:val="008F2500"/>
    <w:rsid w:val="008F25BB"/>
    <w:rsid w:val="008F31D5"/>
    <w:rsid w:val="008F3288"/>
    <w:rsid w:val="008F32CE"/>
    <w:rsid w:val="008F3969"/>
    <w:rsid w:val="008F3A2A"/>
    <w:rsid w:val="008F3C33"/>
    <w:rsid w:val="008F48DB"/>
    <w:rsid w:val="008F4B98"/>
    <w:rsid w:val="008F53D8"/>
    <w:rsid w:val="008F5A47"/>
    <w:rsid w:val="008F5D36"/>
    <w:rsid w:val="008F70A6"/>
    <w:rsid w:val="008F70E2"/>
    <w:rsid w:val="008F77EE"/>
    <w:rsid w:val="009001E3"/>
    <w:rsid w:val="009011EA"/>
    <w:rsid w:val="009019F5"/>
    <w:rsid w:val="009023BA"/>
    <w:rsid w:val="00902834"/>
    <w:rsid w:val="00902AA6"/>
    <w:rsid w:val="00904097"/>
    <w:rsid w:val="009044B6"/>
    <w:rsid w:val="00904507"/>
    <w:rsid w:val="00905429"/>
    <w:rsid w:val="009054D4"/>
    <w:rsid w:val="00905866"/>
    <w:rsid w:val="00905B34"/>
    <w:rsid w:val="00906121"/>
    <w:rsid w:val="00906342"/>
    <w:rsid w:val="00906DC6"/>
    <w:rsid w:val="00910F5D"/>
    <w:rsid w:val="00911B8B"/>
    <w:rsid w:val="00911FF1"/>
    <w:rsid w:val="009132CC"/>
    <w:rsid w:val="009133E0"/>
    <w:rsid w:val="009133E7"/>
    <w:rsid w:val="00913B1A"/>
    <w:rsid w:val="00913DB5"/>
    <w:rsid w:val="00913FF7"/>
    <w:rsid w:val="00915489"/>
    <w:rsid w:val="00916C98"/>
    <w:rsid w:val="00916CF6"/>
    <w:rsid w:val="009170E4"/>
    <w:rsid w:val="0091795B"/>
    <w:rsid w:val="00917BF1"/>
    <w:rsid w:val="00920174"/>
    <w:rsid w:val="00920894"/>
    <w:rsid w:val="00920BE7"/>
    <w:rsid w:val="00921699"/>
    <w:rsid w:val="0092299D"/>
    <w:rsid w:val="00922B9B"/>
    <w:rsid w:val="00922CBA"/>
    <w:rsid w:val="00923390"/>
    <w:rsid w:val="009235E4"/>
    <w:rsid w:val="00923B24"/>
    <w:rsid w:val="00923D22"/>
    <w:rsid w:val="00923E9B"/>
    <w:rsid w:val="009246FC"/>
    <w:rsid w:val="00924828"/>
    <w:rsid w:val="00924C0C"/>
    <w:rsid w:val="00924CF3"/>
    <w:rsid w:val="00924CF4"/>
    <w:rsid w:val="00924F20"/>
    <w:rsid w:val="00925079"/>
    <w:rsid w:val="009256ED"/>
    <w:rsid w:val="0092652E"/>
    <w:rsid w:val="00926814"/>
    <w:rsid w:val="00931427"/>
    <w:rsid w:val="00931A52"/>
    <w:rsid w:val="009325AD"/>
    <w:rsid w:val="00932710"/>
    <w:rsid w:val="00932723"/>
    <w:rsid w:val="00932952"/>
    <w:rsid w:val="00932E10"/>
    <w:rsid w:val="00933742"/>
    <w:rsid w:val="00933F70"/>
    <w:rsid w:val="00933FBC"/>
    <w:rsid w:val="00934202"/>
    <w:rsid w:val="009342B8"/>
    <w:rsid w:val="0093540A"/>
    <w:rsid w:val="00935FA2"/>
    <w:rsid w:val="0093642B"/>
    <w:rsid w:val="0093688A"/>
    <w:rsid w:val="00936956"/>
    <w:rsid w:val="00936A7A"/>
    <w:rsid w:val="00936DC4"/>
    <w:rsid w:val="0093706B"/>
    <w:rsid w:val="0093718C"/>
    <w:rsid w:val="0093725B"/>
    <w:rsid w:val="009373D7"/>
    <w:rsid w:val="0094198D"/>
    <w:rsid w:val="00941FA8"/>
    <w:rsid w:val="00942BC5"/>
    <w:rsid w:val="00943060"/>
    <w:rsid w:val="009436A9"/>
    <w:rsid w:val="00943734"/>
    <w:rsid w:val="00943916"/>
    <w:rsid w:val="00943AE7"/>
    <w:rsid w:val="0094401A"/>
    <w:rsid w:val="009449CB"/>
    <w:rsid w:val="00944AC8"/>
    <w:rsid w:val="00945916"/>
    <w:rsid w:val="00946538"/>
    <w:rsid w:val="0094653F"/>
    <w:rsid w:val="0094728F"/>
    <w:rsid w:val="0094762A"/>
    <w:rsid w:val="0094766A"/>
    <w:rsid w:val="00947B7E"/>
    <w:rsid w:val="009507A7"/>
    <w:rsid w:val="0095171C"/>
    <w:rsid w:val="00951977"/>
    <w:rsid w:val="00952232"/>
    <w:rsid w:val="00952CA9"/>
    <w:rsid w:val="0095332C"/>
    <w:rsid w:val="009539B5"/>
    <w:rsid w:val="009542BC"/>
    <w:rsid w:val="00954509"/>
    <w:rsid w:val="00954DEA"/>
    <w:rsid w:val="0095500C"/>
    <w:rsid w:val="00955269"/>
    <w:rsid w:val="009554A4"/>
    <w:rsid w:val="00956534"/>
    <w:rsid w:val="00957040"/>
    <w:rsid w:val="00957289"/>
    <w:rsid w:val="00957B27"/>
    <w:rsid w:val="00960E7A"/>
    <w:rsid w:val="009618DE"/>
    <w:rsid w:val="00961936"/>
    <w:rsid w:val="00961A30"/>
    <w:rsid w:val="00961C22"/>
    <w:rsid w:val="00961E2D"/>
    <w:rsid w:val="00962367"/>
    <w:rsid w:val="009624A8"/>
    <w:rsid w:val="009629AB"/>
    <w:rsid w:val="00962EF0"/>
    <w:rsid w:val="009633DA"/>
    <w:rsid w:val="00963B73"/>
    <w:rsid w:val="00963C27"/>
    <w:rsid w:val="00963F80"/>
    <w:rsid w:val="0096422A"/>
    <w:rsid w:val="009648D0"/>
    <w:rsid w:val="0096520A"/>
    <w:rsid w:val="009656A6"/>
    <w:rsid w:val="009656CD"/>
    <w:rsid w:val="00965FBF"/>
    <w:rsid w:val="00966429"/>
    <w:rsid w:val="0096698A"/>
    <w:rsid w:val="00967A7F"/>
    <w:rsid w:val="00967EEB"/>
    <w:rsid w:val="00970531"/>
    <w:rsid w:val="0097076C"/>
    <w:rsid w:val="00970E56"/>
    <w:rsid w:val="00970E59"/>
    <w:rsid w:val="009716A6"/>
    <w:rsid w:val="0097170E"/>
    <w:rsid w:val="00971B0D"/>
    <w:rsid w:val="00971BF7"/>
    <w:rsid w:val="009724C0"/>
    <w:rsid w:val="00972C23"/>
    <w:rsid w:val="00972CA4"/>
    <w:rsid w:val="00972CC4"/>
    <w:rsid w:val="0097326D"/>
    <w:rsid w:val="0097358A"/>
    <w:rsid w:val="009735E8"/>
    <w:rsid w:val="009739CC"/>
    <w:rsid w:val="00973F94"/>
    <w:rsid w:val="009748A0"/>
    <w:rsid w:val="0097595D"/>
    <w:rsid w:val="009762C0"/>
    <w:rsid w:val="0097661B"/>
    <w:rsid w:val="009767F6"/>
    <w:rsid w:val="00976D2F"/>
    <w:rsid w:val="0098033A"/>
    <w:rsid w:val="00980928"/>
    <w:rsid w:val="00980D22"/>
    <w:rsid w:val="00981190"/>
    <w:rsid w:val="009823E9"/>
    <w:rsid w:val="00982788"/>
    <w:rsid w:val="0098394C"/>
    <w:rsid w:val="009841DB"/>
    <w:rsid w:val="00984C49"/>
    <w:rsid w:val="00984CF1"/>
    <w:rsid w:val="00985251"/>
    <w:rsid w:val="00985441"/>
    <w:rsid w:val="009855C5"/>
    <w:rsid w:val="0098582A"/>
    <w:rsid w:val="00985910"/>
    <w:rsid w:val="00985B77"/>
    <w:rsid w:val="00986108"/>
    <w:rsid w:val="009861C5"/>
    <w:rsid w:val="0098721C"/>
    <w:rsid w:val="00987D4F"/>
    <w:rsid w:val="00990BB8"/>
    <w:rsid w:val="00990BE9"/>
    <w:rsid w:val="00991557"/>
    <w:rsid w:val="0099162B"/>
    <w:rsid w:val="0099290E"/>
    <w:rsid w:val="0099315C"/>
    <w:rsid w:val="009934B3"/>
    <w:rsid w:val="00993680"/>
    <w:rsid w:val="009939B2"/>
    <w:rsid w:val="00993A63"/>
    <w:rsid w:val="00993F95"/>
    <w:rsid w:val="00994555"/>
    <w:rsid w:val="00995011"/>
    <w:rsid w:val="00995C75"/>
    <w:rsid w:val="0099659E"/>
    <w:rsid w:val="00996749"/>
    <w:rsid w:val="0099714D"/>
    <w:rsid w:val="009971D4"/>
    <w:rsid w:val="00997531"/>
    <w:rsid w:val="00997719"/>
    <w:rsid w:val="00997A0E"/>
    <w:rsid w:val="00997B70"/>
    <w:rsid w:val="009A0AC0"/>
    <w:rsid w:val="009A3229"/>
    <w:rsid w:val="009A33A6"/>
    <w:rsid w:val="009A35BB"/>
    <w:rsid w:val="009A4064"/>
    <w:rsid w:val="009A4280"/>
    <w:rsid w:val="009A4553"/>
    <w:rsid w:val="009A45CF"/>
    <w:rsid w:val="009A4839"/>
    <w:rsid w:val="009A4D00"/>
    <w:rsid w:val="009A54AA"/>
    <w:rsid w:val="009A6125"/>
    <w:rsid w:val="009A668C"/>
    <w:rsid w:val="009A6A9F"/>
    <w:rsid w:val="009A6E5A"/>
    <w:rsid w:val="009A75EF"/>
    <w:rsid w:val="009A7B06"/>
    <w:rsid w:val="009A7CCB"/>
    <w:rsid w:val="009A7D9A"/>
    <w:rsid w:val="009A7E2C"/>
    <w:rsid w:val="009B0286"/>
    <w:rsid w:val="009B0AC3"/>
    <w:rsid w:val="009B10CD"/>
    <w:rsid w:val="009B11F7"/>
    <w:rsid w:val="009B18D1"/>
    <w:rsid w:val="009B1CC1"/>
    <w:rsid w:val="009B2141"/>
    <w:rsid w:val="009B26C1"/>
    <w:rsid w:val="009B3348"/>
    <w:rsid w:val="009B3A17"/>
    <w:rsid w:val="009B6334"/>
    <w:rsid w:val="009B6406"/>
    <w:rsid w:val="009B6527"/>
    <w:rsid w:val="009B6ACC"/>
    <w:rsid w:val="009B6EAE"/>
    <w:rsid w:val="009B7722"/>
    <w:rsid w:val="009B77D2"/>
    <w:rsid w:val="009B79F7"/>
    <w:rsid w:val="009B7A4B"/>
    <w:rsid w:val="009B7A54"/>
    <w:rsid w:val="009C062F"/>
    <w:rsid w:val="009C0D06"/>
    <w:rsid w:val="009C10D9"/>
    <w:rsid w:val="009C2023"/>
    <w:rsid w:val="009C228A"/>
    <w:rsid w:val="009C2385"/>
    <w:rsid w:val="009C2AAD"/>
    <w:rsid w:val="009C2D71"/>
    <w:rsid w:val="009C2EF0"/>
    <w:rsid w:val="009C37DF"/>
    <w:rsid w:val="009C3C1C"/>
    <w:rsid w:val="009C47E8"/>
    <w:rsid w:val="009C49A6"/>
    <w:rsid w:val="009C5FEB"/>
    <w:rsid w:val="009C6A42"/>
    <w:rsid w:val="009D0EB1"/>
    <w:rsid w:val="009D0ECF"/>
    <w:rsid w:val="009D0EFB"/>
    <w:rsid w:val="009D1330"/>
    <w:rsid w:val="009D1340"/>
    <w:rsid w:val="009D1BC9"/>
    <w:rsid w:val="009D1E4F"/>
    <w:rsid w:val="009D2756"/>
    <w:rsid w:val="009D2B01"/>
    <w:rsid w:val="009D2B99"/>
    <w:rsid w:val="009D2EB5"/>
    <w:rsid w:val="009D33E6"/>
    <w:rsid w:val="009D371E"/>
    <w:rsid w:val="009D3BA4"/>
    <w:rsid w:val="009D3C8B"/>
    <w:rsid w:val="009D3D07"/>
    <w:rsid w:val="009D42DE"/>
    <w:rsid w:val="009D4532"/>
    <w:rsid w:val="009D5783"/>
    <w:rsid w:val="009D5862"/>
    <w:rsid w:val="009D636F"/>
    <w:rsid w:val="009D64EB"/>
    <w:rsid w:val="009D6957"/>
    <w:rsid w:val="009D707F"/>
    <w:rsid w:val="009D7AAA"/>
    <w:rsid w:val="009D7C96"/>
    <w:rsid w:val="009E07DA"/>
    <w:rsid w:val="009E0B87"/>
    <w:rsid w:val="009E0F9E"/>
    <w:rsid w:val="009E1818"/>
    <w:rsid w:val="009E2011"/>
    <w:rsid w:val="009E271B"/>
    <w:rsid w:val="009E29FE"/>
    <w:rsid w:val="009E2DB5"/>
    <w:rsid w:val="009E3278"/>
    <w:rsid w:val="009E3B87"/>
    <w:rsid w:val="009E401A"/>
    <w:rsid w:val="009E40D3"/>
    <w:rsid w:val="009E4102"/>
    <w:rsid w:val="009E48BB"/>
    <w:rsid w:val="009E4E51"/>
    <w:rsid w:val="009E5137"/>
    <w:rsid w:val="009E59A7"/>
    <w:rsid w:val="009E702F"/>
    <w:rsid w:val="009E7448"/>
    <w:rsid w:val="009E74A1"/>
    <w:rsid w:val="009E7EA2"/>
    <w:rsid w:val="009F0707"/>
    <w:rsid w:val="009F120B"/>
    <w:rsid w:val="009F224C"/>
    <w:rsid w:val="009F2B66"/>
    <w:rsid w:val="009F2F09"/>
    <w:rsid w:val="009F37E4"/>
    <w:rsid w:val="009F42EA"/>
    <w:rsid w:val="009F4C92"/>
    <w:rsid w:val="009F56D2"/>
    <w:rsid w:val="009F5845"/>
    <w:rsid w:val="009F620B"/>
    <w:rsid w:val="009F6AFF"/>
    <w:rsid w:val="009F6F04"/>
    <w:rsid w:val="009F7078"/>
    <w:rsid w:val="009F70D9"/>
    <w:rsid w:val="009F73A8"/>
    <w:rsid w:val="009F7F05"/>
    <w:rsid w:val="00A00193"/>
    <w:rsid w:val="00A004E6"/>
    <w:rsid w:val="00A00808"/>
    <w:rsid w:val="00A00DF1"/>
    <w:rsid w:val="00A01576"/>
    <w:rsid w:val="00A019E9"/>
    <w:rsid w:val="00A01A4F"/>
    <w:rsid w:val="00A023B2"/>
    <w:rsid w:val="00A0243D"/>
    <w:rsid w:val="00A02619"/>
    <w:rsid w:val="00A0279F"/>
    <w:rsid w:val="00A02B5D"/>
    <w:rsid w:val="00A02CBA"/>
    <w:rsid w:val="00A02F32"/>
    <w:rsid w:val="00A031D4"/>
    <w:rsid w:val="00A038D6"/>
    <w:rsid w:val="00A03FD3"/>
    <w:rsid w:val="00A054EC"/>
    <w:rsid w:val="00A05536"/>
    <w:rsid w:val="00A0599A"/>
    <w:rsid w:val="00A05CD6"/>
    <w:rsid w:val="00A062DC"/>
    <w:rsid w:val="00A06A93"/>
    <w:rsid w:val="00A07F9A"/>
    <w:rsid w:val="00A10042"/>
    <w:rsid w:val="00A10A38"/>
    <w:rsid w:val="00A10C83"/>
    <w:rsid w:val="00A10CB2"/>
    <w:rsid w:val="00A112ED"/>
    <w:rsid w:val="00A11557"/>
    <w:rsid w:val="00A121EF"/>
    <w:rsid w:val="00A127BD"/>
    <w:rsid w:val="00A129B2"/>
    <w:rsid w:val="00A12E1E"/>
    <w:rsid w:val="00A13505"/>
    <w:rsid w:val="00A1354B"/>
    <w:rsid w:val="00A13662"/>
    <w:rsid w:val="00A143B7"/>
    <w:rsid w:val="00A1440B"/>
    <w:rsid w:val="00A14A9B"/>
    <w:rsid w:val="00A1522A"/>
    <w:rsid w:val="00A15650"/>
    <w:rsid w:val="00A158B9"/>
    <w:rsid w:val="00A15B42"/>
    <w:rsid w:val="00A15EA2"/>
    <w:rsid w:val="00A161FD"/>
    <w:rsid w:val="00A164C8"/>
    <w:rsid w:val="00A166D9"/>
    <w:rsid w:val="00A166F1"/>
    <w:rsid w:val="00A168CB"/>
    <w:rsid w:val="00A16CDE"/>
    <w:rsid w:val="00A17157"/>
    <w:rsid w:val="00A2055A"/>
    <w:rsid w:val="00A207B8"/>
    <w:rsid w:val="00A2095F"/>
    <w:rsid w:val="00A20FB0"/>
    <w:rsid w:val="00A2134A"/>
    <w:rsid w:val="00A21471"/>
    <w:rsid w:val="00A21770"/>
    <w:rsid w:val="00A22B4A"/>
    <w:rsid w:val="00A22E32"/>
    <w:rsid w:val="00A23DAE"/>
    <w:rsid w:val="00A243F7"/>
    <w:rsid w:val="00A24EE0"/>
    <w:rsid w:val="00A2534D"/>
    <w:rsid w:val="00A2657F"/>
    <w:rsid w:val="00A26D82"/>
    <w:rsid w:val="00A270EC"/>
    <w:rsid w:val="00A27321"/>
    <w:rsid w:val="00A27A0B"/>
    <w:rsid w:val="00A27B06"/>
    <w:rsid w:val="00A27C15"/>
    <w:rsid w:val="00A27F98"/>
    <w:rsid w:val="00A30330"/>
    <w:rsid w:val="00A305DB"/>
    <w:rsid w:val="00A30E8A"/>
    <w:rsid w:val="00A312B9"/>
    <w:rsid w:val="00A321BC"/>
    <w:rsid w:val="00A321DA"/>
    <w:rsid w:val="00A3227E"/>
    <w:rsid w:val="00A3272A"/>
    <w:rsid w:val="00A32D8E"/>
    <w:rsid w:val="00A33316"/>
    <w:rsid w:val="00A333FF"/>
    <w:rsid w:val="00A33446"/>
    <w:rsid w:val="00A3369D"/>
    <w:rsid w:val="00A33CB4"/>
    <w:rsid w:val="00A34447"/>
    <w:rsid w:val="00A34EE7"/>
    <w:rsid w:val="00A35526"/>
    <w:rsid w:val="00A35DC4"/>
    <w:rsid w:val="00A36C4E"/>
    <w:rsid w:val="00A3725E"/>
    <w:rsid w:val="00A404E0"/>
    <w:rsid w:val="00A40DD9"/>
    <w:rsid w:val="00A42B58"/>
    <w:rsid w:val="00A438ED"/>
    <w:rsid w:val="00A438F2"/>
    <w:rsid w:val="00A4390F"/>
    <w:rsid w:val="00A4438E"/>
    <w:rsid w:val="00A44E7D"/>
    <w:rsid w:val="00A44E91"/>
    <w:rsid w:val="00A453A8"/>
    <w:rsid w:val="00A45981"/>
    <w:rsid w:val="00A46148"/>
    <w:rsid w:val="00A46EB5"/>
    <w:rsid w:val="00A50333"/>
    <w:rsid w:val="00A5076B"/>
    <w:rsid w:val="00A51180"/>
    <w:rsid w:val="00A51B7A"/>
    <w:rsid w:val="00A51E85"/>
    <w:rsid w:val="00A52096"/>
    <w:rsid w:val="00A522DD"/>
    <w:rsid w:val="00A52B7B"/>
    <w:rsid w:val="00A52F80"/>
    <w:rsid w:val="00A53794"/>
    <w:rsid w:val="00A54540"/>
    <w:rsid w:val="00A54A2F"/>
    <w:rsid w:val="00A54F71"/>
    <w:rsid w:val="00A560B2"/>
    <w:rsid w:val="00A5626A"/>
    <w:rsid w:val="00A5778C"/>
    <w:rsid w:val="00A57A1D"/>
    <w:rsid w:val="00A57B96"/>
    <w:rsid w:val="00A57D4D"/>
    <w:rsid w:val="00A60497"/>
    <w:rsid w:val="00A604D3"/>
    <w:rsid w:val="00A605AA"/>
    <w:rsid w:val="00A61088"/>
    <w:rsid w:val="00A612C3"/>
    <w:rsid w:val="00A613D3"/>
    <w:rsid w:val="00A61645"/>
    <w:rsid w:val="00A63CEB"/>
    <w:rsid w:val="00A64828"/>
    <w:rsid w:val="00A655E9"/>
    <w:rsid w:val="00A65AFF"/>
    <w:rsid w:val="00A66072"/>
    <w:rsid w:val="00A660DF"/>
    <w:rsid w:val="00A66961"/>
    <w:rsid w:val="00A66972"/>
    <w:rsid w:val="00A674DB"/>
    <w:rsid w:val="00A67B78"/>
    <w:rsid w:val="00A67DB3"/>
    <w:rsid w:val="00A70196"/>
    <w:rsid w:val="00A70584"/>
    <w:rsid w:val="00A706AA"/>
    <w:rsid w:val="00A70E2D"/>
    <w:rsid w:val="00A712D5"/>
    <w:rsid w:val="00A71687"/>
    <w:rsid w:val="00A71B95"/>
    <w:rsid w:val="00A71C48"/>
    <w:rsid w:val="00A72602"/>
    <w:rsid w:val="00A72BB2"/>
    <w:rsid w:val="00A73BFF"/>
    <w:rsid w:val="00A74174"/>
    <w:rsid w:val="00A743B1"/>
    <w:rsid w:val="00A7466A"/>
    <w:rsid w:val="00A752C5"/>
    <w:rsid w:val="00A75A40"/>
    <w:rsid w:val="00A75FEF"/>
    <w:rsid w:val="00A7650F"/>
    <w:rsid w:val="00A767D8"/>
    <w:rsid w:val="00A77009"/>
    <w:rsid w:val="00A7702B"/>
    <w:rsid w:val="00A81029"/>
    <w:rsid w:val="00A81C6B"/>
    <w:rsid w:val="00A82893"/>
    <w:rsid w:val="00A82FCD"/>
    <w:rsid w:val="00A83725"/>
    <w:rsid w:val="00A83D56"/>
    <w:rsid w:val="00A83F78"/>
    <w:rsid w:val="00A849C6"/>
    <w:rsid w:val="00A84F9E"/>
    <w:rsid w:val="00A850B4"/>
    <w:rsid w:val="00A851A5"/>
    <w:rsid w:val="00A853C1"/>
    <w:rsid w:val="00A85989"/>
    <w:rsid w:val="00A859FF"/>
    <w:rsid w:val="00A86438"/>
    <w:rsid w:val="00A86BE5"/>
    <w:rsid w:val="00A874EA"/>
    <w:rsid w:val="00A879AD"/>
    <w:rsid w:val="00A87FE0"/>
    <w:rsid w:val="00A90248"/>
    <w:rsid w:val="00A902C7"/>
    <w:rsid w:val="00A904ED"/>
    <w:rsid w:val="00A9098E"/>
    <w:rsid w:val="00A90D88"/>
    <w:rsid w:val="00A91133"/>
    <w:rsid w:val="00A91444"/>
    <w:rsid w:val="00A91920"/>
    <w:rsid w:val="00A91D48"/>
    <w:rsid w:val="00A91F0C"/>
    <w:rsid w:val="00A9214D"/>
    <w:rsid w:val="00A923D1"/>
    <w:rsid w:val="00A92582"/>
    <w:rsid w:val="00A92B54"/>
    <w:rsid w:val="00A92C40"/>
    <w:rsid w:val="00A9390D"/>
    <w:rsid w:val="00A939E3"/>
    <w:rsid w:val="00A93DC1"/>
    <w:rsid w:val="00A943A0"/>
    <w:rsid w:val="00A94AFD"/>
    <w:rsid w:val="00A95740"/>
    <w:rsid w:val="00A95BCD"/>
    <w:rsid w:val="00A964FC"/>
    <w:rsid w:val="00A96666"/>
    <w:rsid w:val="00A9689D"/>
    <w:rsid w:val="00A975B8"/>
    <w:rsid w:val="00A978D4"/>
    <w:rsid w:val="00A97EE1"/>
    <w:rsid w:val="00AA079F"/>
    <w:rsid w:val="00AA0BD7"/>
    <w:rsid w:val="00AA10D0"/>
    <w:rsid w:val="00AA16D1"/>
    <w:rsid w:val="00AA170F"/>
    <w:rsid w:val="00AA1799"/>
    <w:rsid w:val="00AA27FC"/>
    <w:rsid w:val="00AA2A51"/>
    <w:rsid w:val="00AA2C9A"/>
    <w:rsid w:val="00AA3E26"/>
    <w:rsid w:val="00AA4A9D"/>
    <w:rsid w:val="00AA5517"/>
    <w:rsid w:val="00AA60D4"/>
    <w:rsid w:val="00AA6BF6"/>
    <w:rsid w:val="00AA6DE6"/>
    <w:rsid w:val="00AA76FA"/>
    <w:rsid w:val="00AB0D4C"/>
    <w:rsid w:val="00AB12A7"/>
    <w:rsid w:val="00AB19A0"/>
    <w:rsid w:val="00AB2000"/>
    <w:rsid w:val="00AB234E"/>
    <w:rsid w:val="00AB2751"/>
    <w:rsid w:val="00AB3FCC"/>
    <w:rsid w:val="00AB44E6"/>
    <w:rsid w:val="00AB4D34"/>
    <w:rsid w:val="00AB5272"/>
    <w:rsid w:val="00AB52FD"/>
    <w:rsid w:val="00AB53A0"/>
    <w:rsid w:val="00AB5677"/>
    <w:rsid w:val="00AB5CDE"/>
    <w:rsid w:val="00AB64F3"/>
    <w:rsid w:val="00AB6B46"/>
    <w:rsid w:val="00AB6C6B"/>
    <w:rsid w:val="00AB6D04"/>
    <w:rsid w:val="00AB6D21"/>
    <w:rsid w:val="00AB700C"/>
    <w:rsid w:val="00AB75D7"/>
    <w:rsid w:val="00AB7C04"/>
    <w:rsid w:val="00AB7C27"/>
    <w:rsid w:val="00AB7F10"/>
    <w:rsid w:val="00AC1592"/>
    <w:rsid w:val="00AC1618"/>
    <w:rsid w:val="00AC4063"/>
    <w:rsid w:val="00AC42A7"/>
    <w:rsid w:val="00AC47EE"/>
    <w:rsid w:val="00AC4A14"/>
    <w:rsid w:val="00AC4BCE"/>
    <w:rsid w:val="00AC53AA"/>
    <w:rsid w:val="00AC563B"/>
    <w:rsid w:val="00AC581B"/>
    <w:rsid w:val="00AC6178"/>
    <w:rsid w:val="00AC61C9"/>
    <w:rsid w:val="00AC6C6D"/>
    <w:rsid w:val="00AC6FC3"/>
    <w:rsid w:val="00AC70FE"/>
    <w:rsid w:val="00AC73EA"/>
    <w:rsid w:val="00AC7577"/>
    <w:rsid w:val="00AC76E8"/>
    <w:rsid w:val="00AC7C66"/>
    <w:rsid w:val="00AD0542"/>
    <w:rsid w:val="00AD1B48"/>
    <w:rsid w:val="00AD299F"/>
    <w:rsid w:val="00AD3963"/>
    <w:rsid w:val="00AD3C59"/>
    <w:rsid w:val="00AD3EDB"/>
    <w:rsid w:val="00AD4089"/>
    <w:rsid w:val="00AD4389"/>
    <w:rsid w:val="00AD43E5"/>
    <w:rsid w:val="00AD4E42"/>
    <w:rsid w:val="00AD5722"/>
    <w:rsid w:val="00AD6054"/>
    <w:rsid w:val="00AD616E"/>
    <w:rsid w:val="00AD6779"/>
    <w:rsid w:val="00AD721C"/>
    <w:rsid w:val="00AD7258"/>
    <w:rsid w:val="00AD7988"/>
    <w:rsid w:val="00AE00B8"/>
    <w:rsid w:val="00AE0177"/>
    <w:rsid w:val="00AE0FE3"/>
    <w:rsid w:val="00AE12E3"/>
    <w:rsid w:val="00AE1D15"/>
    <w:rsid w:val="00AE4145"/>
    <w:rsid w:val="00AE43AB"/>
    <w:rsid w:val="00AE46F4"/>
    <w:rsid w:val="00AE4CB3"/>
    <w:rsid w:val="00AE4F61"/>
    <w:rsid w:val="00AE5665"/>
    <w:rsid w:val="00AE64A5"/>
    <w:rsid w:val="00AE73FF"/>
    <w:rsid w:val="00AE7A0E"/>
    <w:rsid w:val="00AF0353"/>
    <w:rsid w:val="00AF05CE"/>
    <w:rsid w:val="00AF0C8B"/>
    <w:rsid w:val="00AF0E09"/>
    <w:rsid w:val="00AF1489"/>
    <w:rsid w:val="00AF1E22"/>
    <w:rsid w:val="00AF2BBA"/>
    <w:rsid w:val="00AF30EB"/>
    <w:rsid w:val="00AF3513"/>
    <w:rsid w:val="00AF3C30"/>
    <w:rsid w:val="00AF4F68"/>
    <w:rsid w:val="00AF5534"/>
    <w:rsid w:val="00AF5712"/>
    <w:rsid w:val="00AF59F3"/>
    <w:rsid w:val="00AF66F8"/>
    <w:rsid w:val="00AF6732"/>
    <w:rsid w:val="00AF6764"/>
    <w:rsid w:val="00AF7FC6"/>
    <w:rsid w:val="00B007DE"/>
    <w:rsid w:val="00B00BAC"/>
    <w:rsid w:val="00B00CB4"/>
    <w:rsid w:val="00B00DF6"/>
    <w:rsid w:val="00B01347"/>
    <w:rsid w:val="00B017EB"/>
    <w:rsid w:val="00B01E7A"/>
    <w:rsid w:val="00B0201F"/>
    <w:rsid w:val="00B0241D"/>
    <w:rsid w:val="00B02BCB"/>
    <w:rsid w:val="00B031AD"/>
    <w:rsid w:val="00B03CDC"/>
    <w:rsid w:val="00B03F7E"/>
    <w:rsid w:val="00B04772"/>
    <w:rsid w:val="00B04A5C"/>
    <w:rsid w:val="00B0610F"/>
    <w:rsid w:val="00B079E5"/>
    <w:rsid w:val="00B1024D"/>
    <w:rsid w:val="00B10442"/>
    <w:rsid w:val="00B10534"/>
    <w:rsid w:val="00B11957"/>
    <w:rsid w:val="00B11EEF"/>
    <w:rsid w:val="00B11F00"/>
    <w:rsid w:val="00B1200E"/>
    <w:rsid w:val="00B12225"/>
    <w:rsid w:val="00B122A6"/>
    <w:rsid w:val="00B124B8"/>
    <w:rsid w:val="00B14545"/>
    <w:rsid w:val="00B1491D"/>
    <w:rsid w:val="00B14AD4"/>
    <w:rsid w:val="00B14B7D"/>
    <w:rsid w:val="00B14F36"/>
    <w:rsid w:val="00B16067"/>
    <w:rsid w:val="00B16580"/>
    <w:rsid w:val="00B174FE"/>
    <w:rsid w:val="00B179ED"/>
    <w:rsid w:val="00B207EB"/>
    <w:rsid w:val="00B207FB"/>
    <w:rsid w:val="00B209B7"/>
    <w:rsid w:val="00B21030"/>
    <w:rsid w:val="00B21802"/>
    <w:rsid w:val="00B21D0E"/>
    <w:rsid w:val="00B225D4"/>
    <w:rsid w:val="00B22B3F"/>
    <w:rsid w:val="00B22D4C"/>
    <w:rsid w:val="00B22F37"/>
    <w:rsid w:val="00B22FFD"/>
    <w:rsid w:val="00B235A9"/>
    <w:rsid w:val="00B23E8F"/>
    <w:rsid w:val="00B240CF"/>
    <w:rsid w:val="00B2523A"/>
    <w:rsid w:val="00B25A55"/>
    <w:rsid w:val="00B25B14"/>
    <w:rsid w:val="00B26222"/>
    <w:rsid w:val="00B26D0D"/>
    <w:rsid w:val="00B27C7E"/>
    <w:rsid w:val="00B27ECA"/>
    <w:rsid w:val="00B27FB1"/>
    <w:rsid w:val="00B30E12"/>
    <w:rsid w:val="00B30FB0"/>
    <w:rsid w:val="00B3166C"/>
    <w:rsid w:val="00B31EFE"/>
    <w:rsid w:val="00B31FB9"/>
    <w:rsid w:val="00B3272A"/>
    <w:rsid w:val="00B32767"/>
    <w:rsid w:val="00B32AE9"/>
    <w:rsid w:val="00B32B13"/>
    <w:rsid w:val="00B32D48"/>
    <w:rsid w:val="00B34520"/>
    <w:rsid w:val="00B34682"/>
    <w:rsid w:val="00B346EA"/>
    <w:rsid w:val="00B3485F"/>
    <w:rsid w:val="00B34AAD"/>
    <w:rsid w:val="00B357D6"/>
    <w:rsid w:val="00B35961"/>
    <w:rsid w:val="00B359A5"/>
    <w:rsid w:val="00B3606A"/>
    <w:rsid w:val="00B36A2B"/>
    <w:rsid w:val="00B37311"/>
    <w:rsid w:val="00B37DDC"/>
    <w:rsid w:val="00B40A22"/>
    <w:rsid w:val="00B40BEA"/>
    <w:rsid w:val="00B40FAD"/>
    <w:rsid w:val="00B4140B"/>
    <w:rsid w:val="00B41A64"/>
    <w:rsid w:val="00B41B5C"/>
    <w:rsid w:val="00B42D73"/>
    <w:rsid w:val="00B4309F"/>
    <w:rsid w:val="00B433B1"/>
    <w:rsid w:val="00B434D3"/>
    <w:rsid w:val="00B438C7"/>
    <w:rsid w:val="00B43BC4"/>
    <w:rsid w:val="00B43CBF"/>
    <w:rsid w:val="00B43EC3"/>
    <w:rsid w:val="00B447BE"/>
    <w:rsid w:val="00B449F0"/>
    <w:rsid w:val="00B458FD"/>
    <w:rsid w:val="00B4643D"/>
    <w:rsid w:val="00B46AE7"/>
    <w:rsid w:val="00B46BB0"/>
    <w:rsid w:val="00B46C7E"/>
    <w:rsid w:val="00B46D14"/>
    <w:rsid w:val="00B47D11"/>
    <w:rsid w:val="00B47E24"/>
    <w:rsid w:val="00B47FA1"/>
    <w:rsid w:val="00B502BD"/>
    <w:rsid w:val="00B508C9"/>
    <w:rsid w:val="00B50CD5"/>
    <w:rsid w:val="00B51189"/>
    <w:rsid w:val="00B515AC"/>
    <w:rsid w:val="00B515BC"/>
    <w:rsid w:val="00B5204F"/>
    <w:rsid w:val="00B522E5"/>
    <w:rsid w:val="00B5263E"/>
    <w:rsid w:val="00B526A0"/>
    <w:rsid w:val="00B52963"/>
    <w:rsid w:val="00B52A47"/>
    <w:rsid w:val="00B52B40"/>
    <w:rsid w:val="00B52C61"/>
    <w:rsid w:val="00B52D92"/>
    <w:rsid w:val="00B52EF4"/>
    <w:rsid w:val="00B5334D"/>
    <w:rsid w:val="00B53569"/>
    <w:rsid w:val="00B537E5"/>
    <w:rsid w:val="00B53C70"/>
    <w:rsid w:val="00B54302"/>
    <w:rsid w:val="00B54453"/>
    <w:rsid w:val="00B5450F"/>
    <w:rsid w:val="00B54926"/>
    <w:rsid w:val="00B54FAE"/>
    <w:rsid w:val="00B55360"/>
    <w:rsid w:val="00B55451"/>
    <w:rsid w:val="00B5568D"/>
    <w:rsid w:val="00B55E57"/>
    <w:rsid w:val="00B571E0"/>
    <w:rsid w:val="00B57860"/>
    <w:rsid w:val="00B60D11"/>
    <w:rsid w:val="00B61BC3"/>
    <w:rsid w:val="00B6220E"/>
    <w:rsid w:val="00B625D7"/>
    <w:rsid w:val="00B628A2"/>
    <w:rsid w:val="00B62AD8"/>
    <w:rsid w:val="00B63ADF"/>
    <w:rsid w:val="00B63C70"/>
    <w:rsid w:val="00B63CC4"/>
    <w:rsid w:val="00B651B2"/>
    <w:rsid w:val="00B65259"/>
    <w:rsid w:val="00B65A35"/>
    <w:rsid w:val="00B666DC"/>
    <w:rsid w:val="00B669A6"/>
    <w:rsid w:val="00B6710F"/>
    <w:rsid w:val="00B676AB"/>
    <w:rsid w:val="00B67EAD"/>
    <w:rsid w:val="00B67ED7"/>
    <w:rsid w:val="00B700F1"/>
    <w:rsid w:val="00B707C2"/>
    <w:rsid w:val="00B70893"/>
    <w:rsid w:val="00B70AC3"/>
    <w:rsid w:val="00B71568"/>
    <w:rsid w:val="00B718D9"/>
    <w:rsid w:val="00B721D5"/>
    <w:rsid w:val="00B738F0"/>
    <w:rsid w:val="00B7405F"/>
    <w:rsid w:val="00B74581"/>
    <w:rsid w:val="00B74AFA"/>
    <w:rsid w:val="00B74EF3"/>
    <w:rsid w:val="00B751BC"/>
    <w:rsid w:val="00B75652"/>
    <w:rsid w:val="00B7576A"/>
    <w:rsid w:val="00B760C3"/>
    <w:rsid w:val="00B761FF"/>
    <w:rsid w:val="00B76244"/>
    <w:rsid w:val="00B7705F"/>
    <w:rsid w:val="00B776A1"/>
    <w:rsid w:val="00B77F18"/>
    <w:rsid w:val="00B80DA6"/>
    <w:rsid w:val="00B811DB"/>
    <w:rsid w:val="00B81528"/>
    <w:rsid w:val="00B81CF9"/>
    <w:rsid w:val="00B81F44"/>
    <w:rsid w:val="00B82B8B"/>
    <w:rsid w:val="00B82FF6"/>
    <w:rsid w:val="00B837BE"/>
    <w:rsid w:val="00B83AF5"/>
    <w:rsid w:val="00B8409A"/>
    <w:rsid w:val="00B84160"/>
    <w:rsid w:val="00B8431B"/>
    <w:rsid w:val="00B84406"/>
    <w:rsid w:val="00B8460C"/>
    <w:rsid w:val="00B848DD"/>
    <w:rsid w:val="00B856A9"/>
    <w:rsid w:val="00B85EE2"/>
    <w:rsid w:val="00B86336"/>
    <w:rsid w:val="00B87026"/>
    <w:rsid w:val="00B8759D"/>
    <w:rsid w:val="00B87766"/>
    <w:rsid w:val="00B87D07"/>
    <w:rsid w:val="00B90146"/>
    <w:rsid w:val="00B90539"/>
    <w:rsid w:val="00B90805"/>
    <w:rsid w:val="00B908D5"/>
    <w:rsid w:val="00B910A2"/>
    <w:rsid w:val="00B91492"/>
    <w:rsid w:val="00B91C9B"/>
    <w:rsid w:val="00B925FF"/>
    <w:rsid w:val="00B92EA7"/>
    <w:rsid w:val="00B93BFC"/>
    <w:rsid w:val="00B9419D"/>
    <w:rsid w:val="00B94C2F"/>
    <w:rsid w:val="00B95728"/>
    <w:rsid w:val="00B95993"/>
    <w:rsid w:val="00B95BE0"/>
    <w:rsid w:val="00B96254"/>
    <w:rsid w:val="00B96266"/>
    <w:rsid w:val="00B974F5"/>
    <w:rsid w:val="00B97ADC"/>
    <w:rsid w:val="00B97BB7"/>
    <w:rsid w:val="00BA03DE"/>
    <w:rsid w:val="00BA0CA4"/>
    <w:rsid w:val="00BA0DB7"/>
    <w:rsid w:val="00BA14FD"/>
    <w:rsid w:val="00BA1554"/>
    <w:rsid w:val="00BA174D"/>
    <w:rsid w:val="00BA1886"/>
    <w:rsid w:val="00BA18F3"/>
    <w:rsid w:val="00BA1A75"/>
    <w:rsid w:val="00BA1B96"/>
    <w:rsid w:val="00BA27F6"/>
    <w:rsid w:val="00BA315C"/>
    <w:rsid w:val="00BA45F4"/>
    <w:rsid w:val="00BA575F"/>
    <w:rsid w:val="00BA6309"/>
    <w:rsid w:val="00BA69E6"/>
    <w:rsid w:val="00BA71A9"/>
    <w:rsid w:val="00BA71C1"/>
    <w:rsid w:val="00BA71E5"/>
    <w:rsid w:val="00BA74E7"/>
    <w:rsid w:val="00BA77C2"/>
    <w:rsid w:val="00BA7CC6"/>
    <w:rsid w:val="00BA7F69"/>
    <w:rsid w:val="00BB0B65"/>
    <w:rsid w:val="00BB0FDA"/>
    <w:rsid w:val="00BB1283"/>
    <w:rsid w:val="00BB1F08"/>
    <w:rsid w:val="00BB20BA"/>
    <w:rsid w:val="00BB33C6"/>
    <w:rsid w:val="00BB3A49"/>
    <w:rsid w:val="00BB3A69"/>
    <w:rsid w:val="00BB3FB5"/>
    <w:rsid w:val="00BB4715"/>
    <w:rsid w:val="00BB51F7"/>
    <w:rsid w:val="00BB59BB"/>
    <w:rsid w:val="00BB5CFF"/>
    <w:rsid w:val="00BB5DD6"/>
    <w:rsid w:val="00BB6146"/>
    <w:rsid w:val="00BB6E41"/>
    <w:rsid w:val="00BB736D"/>
    <w:rsid w:val="00BB7473"/>
    <w:rsid w:val="00BB751C"/>
    <w:rsid w:val="00BB7AD5"/>
    <w:rsid w:val="00BC007A"/>
    <w:rsid w:val="00BC056E"/>
    <w:rsid w:val="00BC0778"/>
    <w:rsid w:val="00BC0878"/>
    <w:rsid w:val="00BC0BC4"/>
    <w:rsid w:val="00BC0CD5"/>
    <w:rsid w:val="00BC1D53"/>
    <w:rsid w:val="00BC1D85"/>
    <w:rsid w:val="00BC1FC2"/>
    <w:rsid w:val="00BC23A1"/>
    <w:rsid w:val="00BC2B2C"/>
    <w:rsid w:val="00BC2CC4"/>
    <w:rsid w:val="00BC3647"/>
    <w:rsid w:val="00BC3B4F"/>
    <w:rsid w:val="00BC421C"/>
    <w:rsid w:val="00BC4615"/>
    <w:rsid w:val="00BC519A"/>
    <w:rsid w:val="00BC5483"/>
    <w:rsid w:val="00BC5AF1"/>
    <w:rsid w:val="00BC6E1F"/>
    <w:rsid w:val="00BC7220"/>
    <w:rsid w:val="00BD02E4"/>
    <w:rsid w:val="00BD1681"/>
    <w:rsid w:val="00BD16D9"/>
    <w:rsid w:val="00BD1BA6"/>
    <w:rsid w:val="00BD1D17"/>
    <w:rsid w:val="00BD2500"/>
    <w:rsid w:val="00BD28D4"/>
    <w:rsid w:val="00BD3D27"/>
    <w:rsid w:val="00BD47D5"/>
    <w:rsid w:val="00BD60CB"/>
    <w:rsid w:val="00BD6435"/>
    <w:rsid w:val="00BD706C"/>
    <w:rsid w:val="00BD735D"/>
    <w:rsid w:val="00BD77D0"/>
    <w:rsid w:val="00BD7E0E"/>
    <w:rsid w:val="00BE01DF"/>
    <w:rsid w:val="00BE0491"/>
    <w:rsid w:val="00BE0547"/>
    <w:rsid w:val="00BE0D4D"/>
    <w:rsid w:val="00BE0D7D"/>
    <w:rsid w:val="00BE10C1"/>
    <w:rsid w:val="00BE16A7"/>
    <w:rsid w:val="00BE2EAE"/>
    <w:rsid w:val="00BE31EC"/>
    <w:rsid w:val="00BE33D8"/>
    <w:rsid w:val="00BE3962"/>
    <w:rsid w:val="00BE3AE2"/>
    <w:rsid w:val="00BE3C62"/>
    <w:rsid w:val="00BE3DA6"/>
    <w:rsid w:val="00BE48AA"/>
    <w:rsid w:val="00BE4CC8"/>
    <w:rsid w:val="00BE54C0"/>
    <w:rsid w:val="00BE5787"/>
    <w:rsid w:val="00BE58D1"/>
    <w:rsid w:val="00BE68E3"/>
    <w:rsid w:val="00BE68F7"/>
    <w:rsid w:val="00BE7149"/>
    <w:rsid w:val="00BE7312"/>
    <w:rsid w:val="00BE7A26"/>
    <w:rsid w:val="00BE7F85"/>
    <w:rsid w:val="00BF07BF"/>
    <w:rsid w:val="00BF0D9A"/>
    <w:rsid w:val="00BF1189"/>
    <w:rsid w:val="00BF13F4"/>
    <w:rsid w:val="00BF1939"/>
    <w:rsid w:val="00BF226D"/>
    <w:rsid w:val="00BF2407"/>
    <w:rsid w:val="00BF2D12"/>
    <w:rsid w:val="00BF2FA8"/>
    <w:rsid w:val="00BF3161"/>
    <w:rsid w:val="00BF32DF"/>
    <w:rsid w:val="00BF4A38"/>
    <w:rsid w:val="00BF579F"/>
    <w:rsid w:val="00BF5C82"/>
    <w:rsid w:val="00BF69AB"/>
    <w:rsid w:val="00BF6E0D"/>
    <w:rsid w:val="00C0076A"/>
    <w:rsid w:val="00C00826"/>
    <w:rsid w:val="00C00C81"/>
    <w:rsid w:val="00C01214"/>
    <w:rsid w:val="00C016F1"/>
    <w:rsid w:val="00C01DE6"/>
    <w:rsid w:val="00C039BD"/>
    <w:rsid w:val="00C0557D"/>
    <w:rsid w:val="00C05A6D"/>
    <w:rsid w:val="00C062AC"/>
    <w:rsid w:val="00C06747"/>
    <w:rsid w:val="00C071E5"/>
    <w:rsid w:val="00C0757B"/>
    <w:rsid w:val="00C077A6"/>
    <w:rsid w:val="00C10AEA"/>
    <w:rsid w:val="00C11284"/>
    <w:rsid w:val="00C113DF"/>
    <w:rsid w:val="00C115EE"/>
    <w:rsid w:val="00C119D6"/>
    <w:rsid w:val="00C11CDA"/>
    <w:rsid w:val="00C12494"/>
    <w:rsid w:val="00C1264C"/>
    <w:rsid w:val="00C12CD8"/>
    <w:rsid w:val="00C12CEF"/>
    <w:rsid w:val="00C12DAE"/>
    <w:rsid w:val="00C138C0"/>
    <w:rsid w:val="00C13B00"/>
    <w:rsid w:val="00C15282"/>
    <w:rsid w:val="00C152C1"/>
    <w:rsid w:val="00C15886"/>
    <w:rsid w:val="00C15B8A"/>
    <w:rsid w:val="00C16518"/>
    <w:rsid w:val="00C16728"/>
    <w:rsid w:val="00C169B3"/>
    <w:rsid w:val="00C17A08"/>
    <w:rsid w:val="00C17E45"/>
    <w:rsid w:val="00C17FDA"/>
    <w:rsid w:val="00C206AE"/>
    <w:rsid w:val="00C208CE"/>
    <w:rsid w:val="00C21B5C"/>
    <w:rsid w:val="00C21F50"/>
    <w:rsid w:val="00C22452"/>
    <w:rsid w:val="00C22CFA"/>
    <w:rsid w:val="00C2317D"/>
    <w:rsid w:val="00C23DF7"/>
    <w:rsid w:val="00C23F17"/>
    <w:rsid w:val="00C249C1"/>
    <w:rsid w:val="00C24C72"/>
    <w:rsid w:val="00C253E8"/>
    <w:rsid w:val="00C255EB"/>
    <w:rsid w:val="00C2592F"/>
    <w:rsid w:val="00C25FFF"/>
    <w:rsid w:val="00C2632D"/>
    <w:rsid w:val="00C270F7"/>
    <w:rsid w:val="00C2718A"/>
    <w:rsid w:val="00C27FF9"/>
    <w:rsid w:val="00C3073B"/>
    <w:rsid w:val="00C30A2F"/>
    <w:rsid w:val="00C30FDF"/>
    <w:rsid w:val="00C30FE7"/>
    <w:rsid w:val="00C313A8"/>
    <w:rsid w:val="00C31BE5"/>
    <w:rsid w:val="00C32093"/>
    <w:rsid w:val="00C320FC"/>
    <w:rsid w:val="00C324AE"/>
    <w:rsid w:val="00C32CA2"/>
    <w:rsid w:val="00C33310"/>
    <w:rsid w:val="00C3342D"/>
    <w:rsid w:val="00C33A09"/>
    <w:rsid w:val="00C340D2"/>
    <w:rsid w:val="00C342CB"/>
    <w:rsid w:val="00C34B6A"/>
    <w:rsid w:val="00C34E94"/>
    <w:rsid w:val="00C354B5"/>
    <w:rsid w:val="00C36192"/>
    <w:rsid w:val="00C36C8D"/>
    <w:rsid w:val="00C374BC"/>
    <w:rsid w:val="00C37527"/>
    <w:rsid w:val="00C37D7C"/>
    <w:rsid w:val="00C417EB"/>
    <w:rsid w:val="00C41E87"/>
    <w:rsid w:val="00C4203C"/>
    <w:rsid w:val="00C4228B"/>
    <w:rsid w:val="00C42938"/>
    <w:rsid w:val="00C42990"/>
    <w:rsid w:val="00C4341E"/>
    <w:rsid w:val="00C4399E"/>
    <w:rsid w:val="00C439DE"/>
    <w:rsid w:val="00C43A1D"/>
    <w:rsid w:val="00C44600"/>
    <w:rsid w:val="00C45506"/>
    <w:rsid w:val="00C45520"/>
    <w:rsid w:val="00C4662B"/>
    <w:rsid w:val="00C4676D"/>
    <w:rsid w:val="00C46AE4"/>
    <w:rsid w:val="00C46C54"/>
    <w:rsid w:val="00C50264"/>
    <w:rsid w:val="00C5058D"/>
    <w:rsid w:val="00C50AED"/>
    <w:rsid w:val="00C50DA1"/>
    <w:rsid w:val="00C516BB"/>
    <w:rsid w:val="00C51DB8"/>
    <w:rsid w:val="00C52C66"/>
    <w:rsid w:val="00C52DB9"/>
    <w:rsid w:val="00C52F48"/>
    <w:rsid w:val="00C53875"/>
    <w:rsid w:val="00C53DEA"/>
    <w:rsid w:val="00C541B2"/>
    <w:rsid w:val="00C545BD"/>
    <w:rsid w:val="00C54B7C"/>
    <w:rsid w:val="00C54FE3"/>
    <w:rsid w:val="00C5510E"/>
    <w:rsid w:val="00C55464"/>
    <w:rsid w:val="00C55968"/>
    <w:rsid w:val="00C55E04"/>
    <w:rsid w:val="00C567CD"/>
    <w:rsid w:val="00C5696F"/>
    <w:rsid w:val="00C56E4D"/>
    <w:rsid w:val="00C56FE7"/>
    <w:rsid w:val="00C57937"/>
    <w:rsid w:val="00C615F9"/>
    <w:rsid w:val="00C6176D"/>
    <w:rsid w:val="00C62238"/>
    <w:rsid w:val="00C62247"/>
    <w:rsid w:val="00C62601"/>
    <w:rsid w:val="00C62AAD"/>
    <w:rsid w:val="00C63252"/>
    <w:rsid w:val="00C63D90"/>
    <w:rsid w:val="00C64984"/>
    <w:rsid w:val="00C64B10"/>
    <w:rsid w:val="00C654D5"/>
    <w:rsid w:val="00C65733"/>
    <w:rsid w:val="00C65BBC"/>
    <w:rsid w:val="00C66DF3"/>
    <w:rsid w:val="00C66F34"/>
    <w:rsid w:val="00C6752F"/>
    <w:rsid w:val="00C677DB"/>
    <w:rsid w:val="00C70378"/>
    <w:rsid w:val="00C7126C"/>
    <w:rsid w:val="00C7136D"/>
    <w:rsid w:val="00C71664"/>
    <w:rsid w:val="00C71CDB"/>
    <w:rsid w:val="00C71E8D"/>
    <w:rsid w:val="00C7205B"/>
    <w:rsid w:val="00C72701"/>
    <w:rsid w:val="00C73477"/>
    <w:rsid w:val="00C738F1"/>
    <w:rsid w:val="00C7392A"/>
    <w:rsid w:val="00C73E2F"/>
    <w:rsid w:val="00C73FA9"/>
    <w:rsid w:val="00C74120"/>
    <w:rsid w:val="00C75476"/>
    <w:rsid w:val="00C75560"/>
    <w:rsid w:val="00C75D50"/>
    <w:rsid w:val="00C75E6B"/>
    <w:rsid w:val="00C760BD"/>
    <w:rsid w:val="00C773E4"/>
    <w:rsid w:val="00C779E5"/>
    <w:rsid w:val="00C80D0A"/>
    <w:rsid w:val="00C80F85"/>
    <w:rsid w:val="00C815A4"/>
    <w:rsid w:val="00C81AED"/>
    <w:rsid w:val="00C82118"/>
    <w:rsid w:val="00C8221E"/>
    <w:rsid w:val="00C82B62"/>
    <w:rsid w:val="00C8312E"/>
    <w:rsid w:val="00C833C9"/>
    <w:rsid w:val="00C834FB"/>
    <w:rsid w:val="00C835F5"/>
    <w:rsid w:val="00C84C88"/>
    <w:rsid w:val="00C85233"/>
    <w:rsid w:val="00C85397"/>
    <w:rsid w:val="00C85A5E"/>
    <w:rsid w:val="00C86481"/>
    <w:rsid w:val="00C86877"/>
    <w:rsid w:val="00C87790"/>
    <w:rsid w:val="00C87C6C"/>
    <w:rsid w:val="00C87E09"/>
    <w:rsid w:val="00C907EB"/>
    <w:rsid w:val="00C91E9A"/>
    <w:rsid w:val="00C91F9A"/>
    <w:rsid w:val="00C9287D"/>
    <w:rsid w:val="00C93A3F"/>
    <w:rsid w:val="00C93D1E"/>
    <w:rsid w:val="00C93E70"/>
    <w:rsid w:val="00C94CE9"/>
    <w:rsid w:val="00C94D59"/>
    <w:rsid w:val="00C959F6"/>
    <w:rsid w:val="00C97C24"/>
    <w:rsid w:val="00C97DDE"/>
    <w:rsid w:val="00CA008E"/>
    <w:rsid w:val="00CA1503"/>
    <w:rsid w:val="00CA150D"/>
    <w:rsid w:val="00CA23C7"/>
    <w:rsid w:val="00CA26FD"/>
    <w:rsid w:val="00CA272E"/>
    <w:rsid w:val="00CA3183"/>
    <w:rsid w:val="00CA3D0E"/>
    <w:rsid w:val="00CA53D4"/>
    <w:rsid w:val="00CA5EAD"/>
    <w:rsid w:val="00CA6E91"/>
    <w:rsid w:val="00CA6ED8"/>
    <w:rsid w:val="00CA7263"/>
    <w:rsid w:val="00CA768B"/>
    <w:rsid w:val="00CA7BE4"/>
    <w:rsid w:val="00CB00C5"/>
    <w:rsid w:val="00CB02FB"/>
    <w:rsid w:val="00CB069C"/>
    <w:rsid w:val="00CB0889"/>
    <w:rsid w:val="00CB0CEA"/>
    <w:rsid w:val="00CB1A78"/>
    <w:rsid w:val="00CB1BBC"/>
    <w:rsid w:val="00CB1E13"/>
    <w:rsid w:val="00CB20E4"/>
    <w:rsid w:val="00CB23D8"/>
    <w:rsid w:val="00CB2B10"/>
    <w:rsid w:val="00CB3641"/>
    <w:rsid w:val="00CB38C0"/>
    <w:rsid w:val="00CB39D8"/>
    <w:rsid w:val="00CB3BC3"/>
    <w:rsid w:val="00CB3E35"/>
    <w:rsid w:val="00CB4644"/>
    <w:rsid w:val="00CB4A94"/>
    <w:rsid w:val="00CB5134"/>
    <w:rsid w:val="00CB6148"/>
    <w:rsid w:val="00CB6733"/>
    <w:rsid w:val="00CB6910"/>
    <w:rsid w:val="00CB6D1D"/>
    <w:rsid w:val="00CB79E7"/>
    <w:rsid w:val="00CB7FF2"/>
    <w:rsid w:val="00CC009D"/>
    <w:rsid w:val="00CC04F6"/>
    <w:rsid w:val="00CC0EA0"/>
    <w:rsid w:val="00CC1556"/>
    <w:rsid w:val="00CC1B68"/>
    <w:rsid w:val="00CC1D03"/>
    <w:rsid w:val="00CC1F2B"/>
    <w:rsid w:val="00CC24A0"/>
    <w:rsid w:val="00CC281E"/>
    <w:rsid w:val="00CC326F"/>
    <w:rsid w:val="00CC34BF"/>
    <w:rsid w:val="00CC3CED"/>
    <w:rsid w:val="00CC4C50"/>
    <w:rsid w:val="00CC5CD9"/>
    <w:rsid w:val="00CC5FA7"/>
    <w:rsid w:val="00CC6494"/>
    <w:rsid w:val="00CC693A"/>
    <w:rsid w:val="00CC6F41"/>
    <w:rsid w:val="00CC7084"/>
    <w:rsid w:val="00CC70AF"/>
    <w:rsid w:val="00CC7535"/>
    <w:rsid w:val="00CC767A"/>
    <w:rsid w:val="00CC7754"/>
    <w:rsid w:val="00CC7775"/>
    <w:rsid w:val="00CD002B"/>
    <w:rsid w:val="00CD0417"/>
    <w:rsid w:val="00CD1A69"/>
    <w:rsid w:val="00CD1D7C"/>
    <w:rsid w:val="00CD2A1A"/>
    <w:rsid w:val="00CD2DA6"/>
    <w:rsid w:val="00CD4CF4"/>
    <w:rsid w:val="00CD50B5"/>
    <w:rsid w:val="00CD5C71"/>
    <w:rsid w:val="00CD61AC"/>
    <w:rsid w:val="00CD655B"/>
    <w:rsid w:val="00CD6A21"/>
    <w:rsid w:val="00CE10FA"/>
    <w:rsid w:val="00CE121A"/>
    <w:rsid w:val="00CE167D"/>
    <w:rsid w:val="00CE300B"/>
    <w:rsid w:val="00CE33B7"/>
    <w:rsid w:val="00CE3A29"/>
    <w:rsid w:val="00CE4629"/>
    <w:rsid w:val="00CE48C8"/>
    <w:rsid w:val="00CE4CBF"/>
    <w:rsid w:val="00CE5242"/>
    <w:rsid w:val="00CE538E"/>
    <w:rsid w:val="00CE55AF"/>
    <w:rsid w:val="00CE6A3B"/>
    <w:rsid w:val="00CE72C3"/>
    <w:rsid w:val="00CE75EA"/>
    <w:rsid w:val="00CE77C0"/>
    <w:rsid w:val="00CE79AF"/>
    <w:rsid w:val="00CE7B1B"/>
    <w:rsid w:val="00CF03A8"/>
    <w:rsid w:val="00CF0D90"/>
    <w:rsid w:val="00CF0F43"/>
    <w:rsid w:val="00CF2796"/>
    <w:rsid w:val="00CF2D7D"/>
    <w:rsid w:val="00CF3253"/>
    <w:rsid w:val="00CF3AF9"/>
    <w:rsid w:val="00CF3BFA"/>
    <w:rsid w:val="00CF4257"/>
    <w:rsid w:val="00CF4595"/>
    <w:rsid w:val="00CF476F"/>
    <w:rsid w:val="00CF573A"/>
    <w:rsid w:val="00CF6099"/>
    <w:rsid w:val="00CF64DE"/>
    <w:rsid w:val="00CF6CC4"/>
    <w:rsid w:val="00CF7225"/>
    <w:rsid w:val="00CF7573"/>
    <w:rsid w:val="00D003D8"/>
    <w:rsid w:val="00D003E0"/>
    <w:rsid w:val="00D00644"/>
    <w:rsid w:val="00D0123C"/>
    <w:rsid w:val="00D013B7"/>
    <w:rsid w:val="00D014FD"/>
    <w:rsid w:val="00D017DE"/>
    <w:rsid w:val="00D02641"/>
    <w:rsid w:val="00D028D4"/>
    <w:rsid w:val="00D029F2"/>
    <w:rsid w:val="00D02AF7"/>
    <w:rsid w:val="00D03CDA"/>
    <w:rsid w:val="00D03D80"/>
    <w:rsid w:val="00D0412E"/>
    <w:rsid w:val="00D04DA4"/>
    <w:rsid w:val="00D05263"/>
    <w:rsid w:val="00D06556"/>
    <w:rsid w:val="00D06FA8"/>
    <w:rsid w:val="00D0706B"/>
    <w:rsid w:val="00D0707E"/>
    <w:rsid w:val="00D0779D"/>
    <w:rsid w:val="00D101CB"/>
    <w:rsid w:val="00D10458"/>
    <w:rsid w:val="00D10E87"/>
    <w:rsid w:val="00D116A9"/>
    <w:rsid w:val="00D116ED"/>
    <w:rsid w:val="00D11C27"/>
    <w:rsid w:val="00D11D30"/>
    <w:rsid w:val="00D1217A"/>
    <w:rsid w:val="00D12798"/>
    <w:rsid w:val="00D13406"/>
    <w:rsid w:val="00D137AA"/>
    <w:rsid w:val="00D13C7F"/>
    <w:rsid w:val="00D14D3C"/>
    <w:rsid w:val="00D1536C"/>
    <w:rsid w:val="00D15566"/>
    <w:rsid w:val="00D166A3"/>
    <w:rsid w:val="00D168E0"/>
    <w:rsid w:val="00D16AD0"/>
    <w:rsid w:val="00D17186"/>
    <w:rsid w:val="00D1750E"/>
    <w:rsid w:val="00D175E2"/>
    <w:rsid w:val="00D179D5"/>
    <w:rsid w:val="00D17A3A"/>
    <w:rsid w:val="00D17FE5"/>
    <w:rsid w:val="00D200A4"/>
    <w:rsid w:val="00D207D3"/>
    <w:rsid w:val="00D21B4E"/>
    <w:rsid w:val="00D21BD2"/>
    <w:rsid w:val="00D21FAB"/>
    <w:rsid w:val="00D22442"/>
    <w:rsid w:val="00D22451"/>
    <w:rsid w:val="00D22C6D"/>
    <w:rsid w:val="00D2359C"/>
    <w:rsid w:val="00D24418"/>
    <w:rsid w:val="00D2460C"/>
    <w:rsid w:val="00D25244"/>
    <w:rsid w:val="00D25276"/>
    <w:rsid w:val="00D26200"/>
    <w:rsid w:val="00D271A0"/>
    <w:rsid w:val="00D30F7F"/>
    <w:rsid w:val="00D31668"/>
    <w:rsid w:val="00D31F1A"/>
    <w:rsid w:val="00D327A2"/>
    <w:rsid w:val="00D3302E"/>
    <w:rsid w:val="00D334C4"/>
    <w:rsid w:val="00D336BB"/>
    <w:rsid w:val="00D34221"/>
    <w:rsid w:val="00D345BF"/>
    <w:rsid w:val="00D34B84"/>
    <w:rsid w:val="00D35297"/>
    <w:rsid w:val="00D355E1"/>
    <w:rsid w:val="00D364BC"/>
    <w:rsid w:val="00D36F0D"/>
    <w:rsid w:val="00D36F51"/>
    <w:rsid w:val="00D37083"/>
    <w:rsid w:val="00D370C2"/>
    <w:rsid w:val="00D378F9"/>
    <w:rsid w:val="00D40F3E"/>
    <w:rsid w:val="00D4117F"/>
    <w:rsid w:val="00D4132B"/>
    <w:rsid w:val="00D417DA"/>
    <w:rsid w:val="00D41E77"/>
    <w:rsid w:val="00D41F48"/>
    <w:rsid w:val="00D41FB9"/>
    <w:rsid w:val="00D42170"/>
    <w:rsid w:val="00D424DA"/>
    <w:rsid w:val="00D42753"/>
    <w:rsid w:val="00D4290A"/>
    <w:rsid w:val="00D42A56"/>
    <w:rsid w:val="00D42F3B"/>
    <w:rsid w:val="00D43DEA"/>
    <w:rsid w:val="00D44575"/>
    <w:rsid w:val="00D449F3"/>
    <w:rsid w:val="00D44E9F"/>
    <w:rsid w:val="00D44F28"/>
    <w:rsid w:val="00D45533"/>
    <w:rsid w:val="00D458D6"/>
    <w:rsid w:val="00D4615D"/>
    <w:rsid w:val="00D462BE"/>
    <w:rsid w:val="00D4642C"/>
    <w:rsid w:val="00D464B4"/>
    <w:rsid w:val="00D47120"/>
    <w:rsid w:val="00D50190"/>
    <w:rsid w:val="00D50614"/>
    <w:rsid w:val="00D5071E"/>
    <w:rsid w:val="00D5072F"/>
    <w:rsid w:val="00D5162F"/>
    <w:rsid w:val="00D51646"/>
    <w:rsid w:val="00D52050"/>
    <w:rsid w:val="00D52935"/>
    <w:rsid w:val="00D52B10"/>
    <w:rsid w:val="00D53778"/>
    <w:rsid w:val="00D53B62"/>
    <w:rsid w:val="00D53ECE"/>
    <w:rsid w:val="00D54420"/>
    <w:rsid w:val="00D54C2E"/>
    <w:rsid w:val="00D55535"/>
    <w:rsid w:val="00D55544"/>
    <w:rsid w:val="00D56043"/>
    <w:rsid w:val="00D560CD"/>
    <w:rsid w:val="00D56D31"/>
    <w:rsid w:val="00D57B14"/>
    <w:rsid w:val="00D57C3B"/>
    <w:rsid w:val="00D57C48"/>
    <w:rsid w:val="00D60ED4"/>
    <w:rsid w:val="00D60EDE"/>
    <w:rsid w:val="00D61319"/>
    <w:rsid w:val="00D614EA"/>
    <w:rsid w:val="00D6175D"/>
    <w:rsid w:val="00D61998"/>
    <w:rsid w:val="00D62BE0"/>
    <w:rsid w:val="00D6364F"/>
    <w:rsid w:val="00D64482"/>
    <w:rsid w:val="00D64BD3"/>
    <w:rsid w:val="00D64FFA"/>
    <w:rsid w:val="00D6585D"/>
    <w:rsid w:val="00D66861"/>
    <w:rsid w:val="00D66C22"/>
    <w:rsid w:val="00D66C49"/>
    <w:rsid w:val="00D66C84"/>
    <w:rsid w:val="00D678B9"/>
    <w:rsid w:val="00D67AAE"/>
    <w:rsid w:val="00D67B9E"/>
    <w:rsid w:val="00D70157"/>
    <w:rsid w:val="00D701DD"/>
    <w:rsid w:val="00D7037C"/>
    <w:rsid w:val="00D71413"/>
    <w:rsid w:val="00D71431"/>
    <w:rsid w:val="00D7161C"/>
    <w:rsid w:val="00D717EA"/>
    <w:rsid w:val="00D71E41"/>
    <w:rsid w:val="00D71F6B"/>
    <w:rsid w:val="00D71FF8"/>
    <w:rsid w:val="00D72035"/>
    <w:rsid w:val="00D721C9"/>
    <w:rsid w:val="00D73856"/>
    <w:rsid w:val="00D739DE"/>
    <w:rsid w:val="00D73AA3"/>
    <w:rsid w:val="00D73B8D"/>
    <w:rsid w:val="00D73BCA"/>
    <w:rsid w:val="00D74224"/>
    <w:rsid w:val="00D74D3B"/>
    <w:rsid w:val="00D74E51"/>
    <w:rsid w:val="00D74EB6"/>
    <w:rsid w:val="00D7536F"/>
    <w:rsid w:val="00D75430"/>
    <w:rsid w:val="00D75F13"/>
    <w:rsid w:val="00D76017"/>
    <w:rsid w:val="00D7610F"/>
    <w:rsid w:val="00D76609"/>
    <w:rsid w:val="00D76B2F"/>
    <w:rsid w:val="00D76D9E"/>
    <w:rsid w:val="00D77122"/>
    <w:rsid w:val="00D7796B"/>
    <w:rsid w:val="00D804F2"/>
    <w:rsid w:val="00D80547"/>
    <w:rsid w:val="00D809E2"/>
    <w:rsid w:val="00D80A7A"/>
    <w:rsid w:val="00D810FE"/>
    <w:rsid w:val="00D812DF"/>
    <w:rsid w:val="00D825C6"/>
    <w:rsid w:val="00D82E3C"/>
    <w:rsid w:val="00D82FB1"/>
    <w:rsid w:val="00D832BF"/>
    <w:rsid w:val="00D8334B"/>
    <w:rsid w:val="00D837F9"/>
    <w:rsid w:val="00D83830"/>
    <w:rsid w:val="00D8412D"/>
    <w:rsid w:val="00D845A4"/>
    <w:rsid w:val="00D84DE9"/>
    <w:rsid w:val="00D86909"/>
    <w:rsid w:val="00D86D4B"/>
    <w:rsid w:val="00D874AE"/>
    <w:rsid w:val="00D876A0"/>
    <w:rsid w:val="00D879C2"/>
    <w:rsid w:val="00D9008D"/>
    <w:rsid w:val="00D9012C"/>
    <w:rsid w:val="00D905E0"/>
    <w:rsid w:val="00D91777"/>
    <w:rsid w:val="00D91A92"/>
    <w:rsid w:val="00D921CE"/>
    <w:rsid w:val="00D9292F"/>
    <w:rsid w:val="00D92DAE"/>
    <w:rsid w:val="00D93052"/>
    <w:rsid w:val="00D93D15"/>
    <w:rsid w:val="00D94073"/>
    <w:rsid w:val="00D94440"/>
    <w:rsid w:val="00D94707"/>
    <w:rsid w:val="00D94E2E"/>
    <w:rsid w:val="00D95360"/>
    <w:rsid w:val="00D95AD2"/>
    <w:rsid w:val="00D95B8D"/>
    <w:rsid w:val="00D95D34"/>
    <w:rsid w:val="00D960EE"/>
    <w:rsid w:val="00D97A47"/>
    <w:rsid w:val="00D97B28"/>
    <w:rsid w:val="00D97EE5"/>
    <w:rsid w:val="00DA09E2"/>
    <w:rsid w:val="00DA0E16"/>
    <w:rsid w:val="00DA12AC"/>
    <w:rsid w:val="00DA1C78"/>
    <w:rsid w:val="00DA1EA4"/>
    <w:rsid w:val="00DA2140"/>
    <w:rsid w:val="00DA317B"/>
    <w:rsid w:val="00DA34A9"/>
    <w:rsid w:val="00DA3E67"/>
    <w:rsid w:val="00DA3FCC"/>
    <w:rsid w:val="00DA4A77"/>
    <w:rsid w:val="00DA4AAA"/>
    <w:rsid w:val="00DA5451"/>
    <w:rsid w:val="00DA571F"/>
    <w:rsid w:val="00DA5A5C"/>
    <w:rsid w:val="00DA62F0"/>
    <w:rsid w:val="00DA639C"/>
    <w:rsid w:val="00DA6C1B"/>
    <w:rsid w:val="00DA702B"/>
    <w:rsid w:val="00DB0AE5"/>
    <w:rsid w:val="00DB0D97"/>
    <w:rsid w:val="00DB2248"/>
    <w:rsid w:val="00DB5253"/>
    <w:rsid w:val="00DB53A9"/>
    <w:rsid w:val="00DB562D"/>
    <w:rsid w:val="00DB5FA4"/>
    <w:rsid w:val="00DB670F"/>
    <w:rsid w:val="00DB6E14"/>
    <w:rsid w:val="00DB74AD"/>
    <w:rsid w:val="00DB7C35"/>
    <w:rsid w:val="00DC0527"/>
    <w:rsid w:val="00DC10F7"/>
    <w:rsid w:val="00DC12B8"/>
    <w:rsid w:val="00DC1AD3"/>
    <w:rsid w:val="00DC1D99"/>
    <w:rsid w:val="00DC1EFF"/>
    <w:rsid w:val="00DC22B1"/>
    <w:rsid w:val="00DC2539"/>
    <w:rsid w:val="00DC280F"/>
    <w:rsid w:val="00DC288B"/>
    <w:rsid w:val="00DC2B52"/>
    <w:rsid w:val="00DC2F04"/>
    <w:rsid w:val="00DC2FC8"/>
    <w:rsid w:val="00DC3104"/>
    <w:rsid w:val="00DC3CFF"/>
    <w:rsid w:val="00DC4AB3"/>
    <w:rsid w:val="00DC51DA"/>
    <w:rsid w:val="00DC533D"/>
    <w:rsid w:val="00DC54AF"/>
    <w:rsid w:val="00DC586B"/>
    <w:rsid w:val="00DC5D83"/>
    <w:rsid w:val="00DC6C3B"/>
    <w:rsid w:val="00DC6E50"/>
    <w:rsid w:val="00DC78F5"/>
    <w:rsid w:val="00DD145B"/>
    <w:rsid w:val="00DD1956"/>
    <w:rsid w:val="00DD267D"/>
    <w:rsid w:val="00DD2807"/>
    <w:rsid w:val="00DD2B03"/>
    <w:rsid w:val="00DD329D"/>
    <w:rsid w:val="00DD3629"/>
    <w:rsid w:val="00DD3768"/>
    <w:rsid w:val="00DD379E"/>
    <w:rsid w:val="00DD3C9E"/>
    <w:rsid w:val="00DD451E"/>
    <w:rsid w:val="00DD4E2E"/>
    <w:rsid w:val="00DD4E52"/>
    <w:rsid w:val="00DD5AE1"/>
    <w:rsid w:val="00DD6090"/>
    <w:rsid w:val="00DD65D8"/>
    <w:rsid w:val="00DD6945"/>
    <w:rsid w:val="00DD6BE4"/>
    <w:rsid w:val="00DD6C22"/>
    <w:rsid w:val="00DD70F4"/>
    <w:rsid w:val="00DD7149"/>
    <w:rsid w:val="00DD7947"/>
    <w:rsid w:val="00DD7DD7"/>
    <w:rsid w:val="00DE04FB"/>
    <w:rsid w:val="00DE06AD"/>
    <w:rsid w:val="00DE0A30"/>
    <w:rsid w:val="00DE15F9"/>
    <w:rsid w:val="00DE161C"/>
    <w:rsid w:val="00DE19BD"/>
    <w:rsid w:val="00DE1DC7"/>
    <w:rsid w:val="00DE2117"/>
    <w:rsid w:val="00DE2299"/>
    <w:rsid w:val="00DE28B7"/>
    <w:rsid w:val="00DE3A4F"/>
    <w:rsid w:val="00DE44A9"/>
    <w:rsid w:val="00DE5F05"/>
    <w:rsid w:val="00DE6523"/>
    <w:rsid w:val="00DE74E9"/>
    <w:rsid w:val="00DE7C9C"/>
    <w:rsid w:val="00DF0367"/>
    <w:rsid w:val="00DF0F7F"/>
    <w:rsid w:val="00DF11A6"/>
    <w:rsid w:val="00DF19A8"/>
    <w:rsid w:val="00DF1CF6"/>
    <w:rsid w:val="00DF1E96"/>
    <w:rsid w:val="00DF3719"/>
    <w:rsid w:val="00DF3B9C"/>
    <w:rsid w:val="00DF4ACF"/>
    <w:rsid w:val="00DF4C04"/>
    <w:rsid w:val="00DF532D"/>
    <w:rsid w:val="00DF5643"/>
    <w:rsid w:val="00DF5ED1"/>
    <w:rsid w:val="00DF6A76"/>
    <w:rsid w:val="00DF7146"/>
    <w:rsid w:val="00DF738A"/>
    <w:rsid w:val="00DF7884"/>
    <w:rsid w:val="00DF7BFD"/>
    <w:rsid w:val="00E00606"/>
    <w:rsid w:val="00E0061E"/>
    <w:rsid w:val="00E00F7D"/>
    <w:rsid w:val="00E01288"/>
    <w:rsid w:val="00E015D7"/>
    <w:rsid w:val="00E0247B"/>
    <w:rsid w:val="00E02727"/>
    <w:rsid w:val="00E02ACA"/>
    <w:rsid w:val="00E02DE5"/>
    <w:rsid w:val="00E039BB"/>
    <w:rsid w:val="00E042FA"/>
    <w:rsid w:val="00E05D90"/>
    <w:rsid w:val="00E05DEF"/>
    <w:rsid w:val="00E05E4B"/>
    <w:rsid w:val="00E06197"/>
    <w:rsid w:val="00E06D9C"/>
    <w:rsid w:val="00E06EBB"/>
    <w:rsid w:val="00E06F50"/>
    <w:rsid w:val="00E07633"/>
    <w:rsid w:val="00E0765C"/>
    <w:rsid w:val="00E07979"/>
    <w:rsid w:val="00E07BC5"/>
    <w:rsid w:val="00E10554"/>
    <w:rsid w:val="00E10659"/>
    <w:rsid w:val="00E107BA"/>
    <w:rsid w:val="00E10A63"/>
    <w:rsid w:val="00E10E1F"/>
    <w:rsid w:val="00E10F93"/>
    <w:rsid w:val="00E11160"/>
    <w:rsid w:val="00E11392"/>
    <w:rsid w:val="00E1171D"/>
    <w:rsid w:val="00E11D7A"/>
    <w:rsid w:val="00E11DB4"/>
    <w:rsid w:val="00E128FB"/>
    <w:rsid w:val="00E12DA9"/>
    <w:rsid w:val="00E13405"/>
    <w:rsid w:val="00E13A0A"/>
    <w:rsid w:val="00E145CB"/>
    <w:rsid w:val="00E14C3C"/>
    <w:rsid w:val="00E14CD0"/>
    <w:rsid w:val="00E14EFE"/>
    <w:rsid w:val="00E153DF"/>
    <w:rsid w:val="00E15753"/>
    <w:rsid w:val="00E15824"/>
    <w:rsid w:val="00E1669A"/>
    <w:rsid w:val="00E17113"/>
    <w:rsid w:val="00E202B3"/>
    <w:rsid w:val="00E202B4"/>
    <w:rsid w:val="00E20C75"/>
    <w:rsid w:val="00E212D2"/>
    <w:rsid w:val="00E21E63"/>
    <w:rsid w:val="00E21F02"/>
    <w:rsid w:val="00E2207E"/>
    <w:rsid w:val="00E22539"/>
    <w:rsid w:val="00E2259A"/>
    <w:rsid w:val="00E227F9"/>
    <w:rsid w:val="00E231AA"/>
    <w:rsid w:val="00E2405E"/>
    <w:rsid w:val="00E24288"/>
    <w:rsid w:val="00E2494C"/>
    <w:rsid w:val="00E24A50"/>
    <w:rsid w:val="00E25105"/>
    <w:rsid w:val="00E251EC"/>
    <w:rsid w:val="00E2607F"/>
    <w:rsid w:val="00E27340"/>
    <w:rsid w:val="00E273A8"/>
    <w:rsid w:val="00E27968"/>
    <w:rsid w:val="00E30739"/>
    <w:rsid w:val="00E307F9"/>
    <w:rsid w:val="00E30BF8"/>
    <w:rsid w:val="00E326D3"/>
    <w:rsid w:val="00E32A79"/>
    <w:rsid w:val="00E330F8"/>
    <w:rsid w:val="00E33189"/>
    <w:rsid w:val="00E335AD"/>
    <w:rsid w:val="00E337BF"/>
    <w:rsid w:val="00E34F7E"/>
    <w:rsid w:val="00E3507B"/>
    <w:rsid w:val="00E3561E"/>
    <w:rsid w:val="00E36323"/>
    <w:rsid w:val="00E36400"/>
    <w:rsid w:val="00E36C29"/>
    <w:rsid w:val="00E37240"/>
    <w:rsid w:val="00E375F6"/>
    <w:rsid w:val="00E37BF8"/>
    <w:rsid w:val="00E40248"/>
    <w:rsid w:val="00E40298"/>
    <w:rsid w:val="00E4054A"/>
    <w:rsid w:val="00E40C5A"/>
    <w:rsid w:val="00E4169E"/>
    <w:rsid w:val="00E41E81"/>
    <w:rsid w:val="00E4297E"/>
    <w:rsid w:val="00E42B81"/>
    <w:rsid w:val="00E42CF1"/>
    <w:rsid w:val="00E42DB0"/>
    <w:rsid w:val="00E42DFF"/>
    <w:rsid w:val="00E4308D"/>
    <w:rsid w:val="00E43372"/>
    <w:rsid w:val="00E4366E"/>
    <w:rsid w:val="00E437BC"/>
    <w:rsid w:val="00E43A65"/>
    <w:rsid w:val="00E43B90"/>
    <w:rsid w:val="00E441A9"/>
    <w:rsid w:val="00E442A9"/>
    <w:rsid w:val="00E44873"/>
    <w:rsid w:val="00E44A05"/>
    <w:rsid w:val="00E44AB5"/>
    <w:rsid w:val="00E4530D"/>
    <w:rsid w:val="00E462C8"/>
    <w:rsid w:val="00E4747E"/>
    <w:rsid w:val="00E47604"/>
    <w:rsid w:val="00E479D4"/>
    <w:rsid w:val="00E47F8F"/>
    <w:rsid w:val="00E501DB"/>
    <w:rsid w:val="00E50806"/>
    <w:rsid w:val="00E510B2"/>
    <w:rsid w:val="00E53816"/>
    <w:rsid w:val="00E53BE3"/>
    <w:rsid w:val="00E53C6B"/>
    <w:rsid w:val="00E53EAE"/>
    <w:rsid w:val="00E5447F"/>
    <w:rsid w:val="00E5468F"/>
    <w:rsid w:val="00E54948"/>
    <w:rsid w:val="00E55CB6"/>
    <w:rsid w:val="00E5612F"/>
    <w:rsid w:val="00E56456"/>
    <w:rsid w:val="00E56571"/>
    <w:rsid w:val="00E56BC7"/>
    <w:rsid w:val="00E56FCC"/>
    <w:rsid w:val="00E57C43"/>
    <w:rsid w:val="00E57F86"/>
    <w:rsid w:val="00E601E2"/>
    <w:rsid w:val="00E604BE"/>
    <w:rsid w:val="00E604DA"/>
    <w:rsid w:val="00E60D2A"/>
    <w:rsid w:val="00E61AB7"/>
    <w:rsid w:val="00E61AF1"/>
    <w:rsid w:val="00E61F7F"/>
    <w:rsid w:val="00E62109"/>
    <w:rsid w:val="00E626D2"/>
    <w:rsid w:val="00E628FF"/>
    <w:rsid w:val="00E633A3"/>
    <w:rsid w:val="00E63F0D"/>
    <w:rsid w:val="00E6412A"/>
    <w:rsid w:val="00E642B8"/>
    <w:rsid w:val="00E64621"/>
    <w:rsid w:val="00E64951"/>
    <w:rsid w:val="00E64CF9"/>
    <w:rsid w:val="00E65EEB"/>
    <w:rsid w:val="00E66770"/>
    <w:rsid w:val="00E670DE"/>
    <w:rsid w:val="00E674C4"/>
    <w:rsid w:val="00E71189"/>
    <w:rsid w:val="00E7168B"/>
    <w:rsid w:val="00E723EE"/>
    <w:rsid w:val="00E7269B"/>
    <w:rsid w:val="00E73217"/>
    <w:rsid w:val="00E73492"/>
    <w:rsid w:val="00E73827"/>
    <w:rsid w:val="00E73D55"/>
    <w:rsid w:val="00E73F5A"/>
    <w:rsid w:val="00E752E5"/>
    <w:rsid w:val="00E754C7"/>
    <w:rsid w:val="00E75AB3"/>
    <w:rsid w:val="00E771D3"/>
    <w:rsid w:val="00E80072"/>
    <w:rsid w:val="00E80519"/>
    <w:rsid w:val="00E816A4"/>
    <w:rsid w:val="00E8171F"/>
    <w:rsid w:val="00E81899"/>
    <w:rsid w:val="00E82064"/>
    <w:rsid w:val="00E82F9B"/>
    <w:rsid w:val="00E8316A"/>
    <w:rsid w:val="00E831F6"/>
    <w:rsid w:val="00E83F1C"/>
    <w:rsid w:val="00E84208"/>
    <w:rsid w:val="00E84293"/>
    <w:rsid w:val="00E846CF"/>
    <w:rsid w:val="00E84829"/>
    <w:rsid w:val="00E84ECC"/>
    <w:rsid w:val="00E8537D"/>
    <w:rsid w:val="00E85414"/>
    <w:rsid w:val="00E8575A"/>
    <w:rsid w:val="00E85C83"/>
    <w:rsid w:val="00E85DBA"/>
    <w:rsid w:val="00E86C2A"/>
    <w:rsid w:val="00E87606"/>
    <w:rsid w:val="00E906B0"/>
    <w:rsid w:val="00E906DD"/>
    <w:rsid w:val="00E90706"/>
    <w:rsid w:val="00E90F48"/>
    <w:rsid w:val="00E9119A"/>
    <w:rsid w:val="00E929D3"/>
    <w:rsid w:val="00E92BBF"/>
    <w:rsid w:val="00E92D8C"/>
    <w:rsid w:val="00E92E08"/>
    <w:rsid w:val="00E93278"/>
    <w:rsid w:val="00E93423"/>
    <w:rsid w:val="00E9351C"/>
    <w:rsid w:val="00E93D86"/>
    <w:rsid w:val="00E94320"/>
    <w:rsid w:val="00E944DA"/>
    <w:rsid w:val="00E94CF8"/>
    <w:rsid w:val="00E954CA"/>
    <w:rsid w:val="00E95A33"/>
    <w:rsid w:val="00E95A41"/>
    <w:rsid w:val="00E95C39"/>
    <w:rsid w:val="00E95D45"/>
    <w:rsid w:val="00E9722D"/>
    <w:rsid w:val="00EA0026"/>
    <w:rsid w:val="00EA00DC"/>
    <w:rsid w:val="00EA02AC"/>
    <w:rsid w:val="00EA03F1"/>
    <w:rsid w:val="00EA099C"/>
    <w:rsid w:val="00EA0C0D"/>
    <w:rsid w:val="00EA10CF"/>
    <w:rsid w:val="00EA1D57"/>
    <w:rsid w:val="00EA223F"/>
    <w:rsid w:val="00EA2CEC"/>
    <w:rsid w:val="00EA2FFB"/>
    <w:rsid w:val="00EA30D6"/>
    <w:rsid w:val="00EA392E"/>
    <w:rsid w:val="00EA4F57"/>
    <w:rsid w:val="00EA626A"/>
    <w:rsid w:val="00EA63D3"/>
    <w:rsid w:val="00EA6A13"/>
    <w:rsid w:val="00EA6BD4"/>
    <w:rsid w:val="00EA6D1F"/>
    <w:rsid w:val="00EA6D4E"/>
    <w:rsid w:val="00EA6D95"/>
    <w:rsid w:val="00EA6E4B"/>
    <w:rsid w:val="00EA75CA"/>
    <w:rsid w:val="00EA7643"/>
    <w:rsid w:val="00EA7773"/>
    <w:rsid w:val="00EA7920"/>
    <w:rsid w:val="00EB05B2"/>
    <w:rsid w:val="00EB0C26"/>
    <w:rsid w:val="00EB107E"/>
    <w:rsid w:val="00EB158E"/>
    <w:rsid w:val="00EB1B7E"/>
    <w:rsid w:val="00EB2443"/>
    <w:rsid w:val="00EB24AB"/>
    <w:rsid w:val="00EB334E"/>
    <w:rsid w:val="00EB39C6"/>
    <w:rsid w:val="00EB3B4F"/>
    <w:rsid w:val="00EB3BDB"/>
    <w:rsid w:val="00EB4150"/>
    <w:rsid w:val="00EB4190"/>
    <w:rsid w:val="00EB423F"/>
    <w:rsid w:val="00EB520B"/>
    <w:rsid w:val="00EB533A"/>
    <w:rsid w:val="00EB56F4"/>
    <w:rsid w:val="00EB5BD0"/>
    <w:rsid w:val="00EB63F7"/>
    <w:rsid w:val="00EB6884"/>
    <w:rsid w:val="00EB77FB"/>
    <w:rsid w:val="00EB7E11"/>
    <w:rsid w:val="00EC025F"/>
    <w:rsid w:val="00EC03CF"/>
    <w:rsid w:val="00EC0AF2"/>
    <w:rsid w:val="00EC1694"/>
    <w:rsid w:val="00EC19E9"/>
    <w:rsid w:val="00EC1C3C"/>
    <w:rsid w:val="00EC248B"/>
    <w:rsid w:val="00EC26FA"/>
    <w:rsid w:val="00EC2957"/>
    <w:rsid w:val="00EC3650"/>
    <w:rsid w:val="00EC3AFC"/>
    <w:rsid w:val="00EC3B13"/>
    <w:rsid w:val="00EC3EB0"/>
    <w:rsid w:val="00EC4A84"/>
    <w:rsid w:val="00EC4AA9"/>
    <w:rsid w:val="00EC4E8D"/>
    <w:rsid w:val="00EC5348"/>
    <w:rsid w:val="00EC5850"/>
    <w:rsid w:val="00EC6CBB"/>
    <w:rsid w:val="00EC6F66"/>
    <w:rsid w:val="00EC6FC7"/>
    <w:rsid w:val="00EC7178"/>
    <w:rsid w:val="00EC72AD"/>
    <w:rsid w:val="00EC7497"/>
    <w:rsid w:val="00EC7CAF"/>
    <w:rsid w:val="00ED0148"/>
    <w:rsid w:val="00ED0A86"/>
    <w:rsid w:val="00ED0B7E"/>
    <w:rsid w:val="00ED0EF9"/>
    <w:rsid w:val="00ED255F"/>
    <w:rsid w:val="00ED2A3E"/>
    <w:rsid w:val="00ED2CBB"/>
    <w:rsid w:val="00ED3203"/>
    <w:rsid w:val="00ED34CD"/>
    <w:rsid w:val="00ED35E3"/>
    <w:rsid w:val="00ED3786"/>
    <w:rsid w:val="00ED3A4B"/>
    <w:rsid w:val="00ED4330"/>
    <w:rsid w:val="00ED4BB1"/>
    <w:rsid w:val="00ED5897"/>
    <w:rsid w:val="00ED5A71"/>
    <w:rsid w:val="00ED6140"/>
    <w:rsid w:val="00ED674C"/>
    <w:rsid w:val="00ED68FF"/>
    <w:rsid w:val="00ED6AFD"/>
    <w:rsid w:val="00ED6B6C"/>
    <w:rsid w:val="00ED6DE2"/>
    <w:rsid w:val="00ED7263"/>
    <w:rsid w:val="00ED7EB5"/>
    <w:rsid w:val="00EE0537"/>
    <w:rsid w:val="00EE0918"/>
    <w:rsid w:val="00EE1156"/>
    <w:rsid w:val="00EE1922"/>
    <w:rsid w:val="00EE1FB2"/>
    <w:rsid w:val="00EE2945"/>
    <w:rsid w:val="00EE3116"/>
    <w:rsid w:val="00EE393F"/>
    <w:rsid w:val="00EE40EF"/>
    <w:rsid w:val="00EE41AE"/>
    <w:rsid w:val="00EE4A6B"/>
    <w:rsid w:val="00EE52C9"/>
    <w:rsid w:val="00EE5F17"/>
    <w:rsid w:val="00EE6241"/>
    <w:rsid w:val="00EE7E69"/>
    <w:rsid w:val="00EF0130"/>
    <w:rsid w:val="00EF016C"/>
    <w:rsid w:val="00EF02BB"/>
    <w:rsid w:val="00EF1147"/>
    <w:rsid w:val="00EF12C6"/>
    <w:rsid w:val="00EF1E2D"/>
    <w:rsid w:val="00EF26B5"/>
    <w:rsid w:val="00EF27B7"/>
    <w:rsid w:val="00EF27BF"/>
    <w:rsid w:val="00EF2808"/>
    <w:rsid w:val="00EF2878"/>
    <w:rsid w:val="00EF411B"/>
    <w:rsid w:val="00EF434D"/>
    <w:rsid w:val="00EF47FC"/>
    <w:rsid w:val="00EF4FEC"/>
    <w:rsid w:val="00EF5F9B"/>
    <w:rsid w:val="00EF6A0A"/>
    <w:rsid w:val="00EF6CDB"/>
    <w:rsid w:val="00EF710B"/>
    <w:rsid w:val="00EF726A"/>
    <w:rsid w:val="00EF73EE"/>
    <w:rsid w:val="00F00B8B"/>
    <w:rsid w:val="00F01201"/>
    <w:rsid w:val="00F015AF"/>
    <w:rsid w:val="00F01E8E"/>
    <w:rsid w:val="00F02150"/>
    <w:rsid w:val="00F03830"/>
    <w:rsid w:val="00F0399D"/>
    <w:rsid w:val="00F039B8"/>
    <w:rsid w:val="00F04D16"/>
    <w:rsid w:val="00F054A8"/>
    <w:rsid w:val="00F05E7C"/>
    <w:rsid w:val="00F06D32"/>
    <w:rsid w:val="00F075A0"/>
    <w:rsid w:val="00F101B9"/>
    <w:rsid w:val="00F104D0"/>
    <w:rsid w:val="00F10818"/>
    <w:rsid w:val="00F10F00"/>
    <w:rsid w:val="00F1103C"/>
    <w:rsid w:val="00F11CB8"/>
    <w:rsid w:val="00F121DC"/>
    <w:rsid w:val="00F1256A"/>
    <w:rsid w:val="00F12DE4"/>
    <w:rsid w:val="00F12DF3"/>
    <w:rsid w:val="00F135F7"/>
    <w:rsid w:val="00F13887"/>
    <w:rsid w:val="00F13A71"/>
    <w:rsid w:val="00F14748"/>
    <w:rsid w:val="00F149AF"/>
    <w:rsid w:val="00F1535B"/>
    <w:rsid w:val="00F1589D"/>
    <w:rsid w:val="00F1605F"/>
    <w:rsid w:val="00F16273"/>
    <w:rsid w:val="00F167BD"/>
    <w:rsid w:val="00F172F0"/>
    <w:rsid w:val="00F1786B"/>
    <w:rsid w:val="00F20AC8"/>
    <w:rsid w:val="00F20FFE"/>
    <w:rsid w:val="00F2189C"/>
    <w:rsid w:val="00F21BA1"/>
    <w:rsid w:val="00F21EDA"/>
    <w:rsid w:val="00F224D0"/>
    <w:rsid w:val="00F2414E"/>
    <w:rsid w:val="00F24269"/>
    <w:rsid w:val="00F24DC4"/>
    <w:rsid w:val="00F2535D"/>
    <w:rsid w:val="00F25523"/>
    <w:rsid w:val="00F2597F"/>
    <w:rsid w:val="00F263EB"/>
    <w:rsid w:val="00F266F4"/>
    <w:rsid w:val="00F26845"/>
    <w:rsid w:val="00F2710F"/>
    <w:rsid w:val="00F27345"/>
    <w:rsid w:val="00F276D2"/>
    <w:rsid w:val="00F27C27"/>
    <w:rsid w:val="00F30A81"/>
    <w:rsid w:val="00F31371"/>
    <w:rsid w:val="00F31B40"/>
    <w:rsid w:val="00F31C50"/>
    <w:rsid w:val="00F31CD9"/>
    <w:rsid w:val="00F323F0"/>
    <w:rsid w:val="00F32CA8"/>
    <w:rsid w:val="00F33551"/>
    <w:rsid w:val="00F33F88"/>
    <w:rsid w:val="00F34A59"/>
    <w:rsid w:val="00F34B42"/>
    <w:rsid w:val="00F34C87"/>
    <w:rsid w:val="00F34E72"/>
    <w:rsid w:val="00F35AEE"/>
    <w:rsid w:val="00F35FE2"/>
    <w:rsid w:val="00F3601E"/>
    <w:rsid w:val="00F36125"/>
    <w:rsid w:val="00F36130"/>
    <w:rsid w:val="00F3653D"/>
    <w:rsid w:val="00F36AC1"/>
    <w:rsid w:val="00F36FEF"/>
    <w:rsid w:val="00F37054"/>
    <w:rsid w:val="00F37573"/>
    <w:rsid w:val="00F379DE"/>
    <w:rsid w:val="00F37A3B"/>
    <w:rsid w:val="00F37CB4"/>
    <w:rsid w:val="00F40302"/>
    <w:rsid w:val="00F40755"/>
    <w:rsid w:val="00F40C5B"/>
    <w:rsid w:val="00F4119D"/>
    <w:rsid w:val="00F415E5"/>
    <w:rsid w:val="00F41E31"/>
    <w:rsid w:val="00F423FE"/>
    <w:rsid w:val="00F42B92"/>
    <w:rsid w:val="00F4304E"/>
    <w:rsid w:val="00F434F0"/>
    <w:rsid w:val="00F43758"/>
    <w:rsid w:val="00F43964"/>
    <w:rsid w:val="00F43E0E"/>
    <w:rsid w:val="00F44A9D"/>
    <w:rsid w:val="00F454B6"/>
    <w:rsid w:val="00F455FE"/>
    <w:rsid w:val="00F45618"/>
    <w:rsid w:val="00F45A20"/>
    <w:rsid w:val="00F47909"/>
    <w:rsid w:val="00F5061F"/>
    <w:rsid w:val="00F50C9A"/>
    <w:rsid w:val="00F516C7"/>
    <w:rsid w:val="00F518A5"/>
    <w:rsid w:val="00F51E18"/>
    <w:rsid w:val="00F52E09"/>
    <w:rsid w:val="00F535B9"/>
    <w:rsid w:val="00F53B1B"/>
    <w:rsid w:val="00F545AE"/>
    <w:rsid w:val="00F557DD"/>
    <w:rsid w:val="00F55B13"/>
    <w:rsid w:val="00F55DB4"/>
    <w:rsid w:val="00F55EA7"/>
    <w:rsid w:val="00F56028"/>
    <w:rsid w:val="00F56A5B"/>
    <w:rsid w:val="00F571FE"/>
    <w:rsid w:val="00F57849"/>
    <w:rsid w:val="00F57D7E"/>
    <w:rsid w:val="00F57F29"/>
    <w:rsid w:val="00F60C92"/>
    <w:rsid w:val="00F611C0"/>
    <w:rsid w:val="00F61A7A"/>
    <w:rsid w:val="00F61AD0"/>
    <w:rsid w:val="00F62430"/>
    <w:rsid w:val="00F6318E"/>
    <w:rsid w:val="00F635D7"/>
    <w:rsid w:val="00F63FE5"/>
    <w:rsid w:val="00F64249"/>
    <w:rsid w:val="00F64989"/>
    <w:rsid w:val="00F64DB7"/>
    <w:rsid w:val="00F6561B"/>
    <w:rsid w:val="00F659EE"/>
    <w:rsid w:val="00F65A31"/>
    <w:rsid w:val="00F66322"/>
    <w:rsid w:val="00F6656B"/>
    <w:rsid w:val="00F669D2"/>
    <w:rsid w:val="00F66DB2"/>
    <w:rsid w:val="00F66F63"/>
    <w:rsid w:val="00F6759C"/>
    <w:rsid w:val="00F67EE7"/>
    <w:rsid w:val="00F7056C"/>
    <w:rsid w:val="00F70C2D"/>
    <w:rsid w:val="00F710A4"/>
    <w:rsid w:val="00F71EE8"/>
    <w:rsid w:val="00F725DC"/>
    <w:rsid w:val="00F72DEC"/>
    <w:rsid w:val="00F72E30"/>
    <w:rsid w:val="00F72FF5"/>
    <w:rsid w:val="00F73774"/>
    <w:rsid w:val="00F74FDA"/>
    <w:rsid w:val="00F75D0B"/>
    <w:rsid w:val="00F769E7"/>
    <w:rsid w:val="00F77394"/>
    <w:rsid w:val="00F77A0C"/>
    <w:rsid w:val="00F800A8"/>
    <w:rsid w:val="00F804C3"/>
    <w:rsid w:val="00F80FC5"/>
    <w:rsid w:val="00F813EC"/>
    <w:rsid w:val="00F81BC1"/>
    <w:rsid w:val="00F826EA"/>
    <w:rsid w:val="00F84BE7"/>
    <w:rsid w:val="00F84F6D"/>
    <w:rsid w:val="00F84FD7"/>
    <w:rsid w:val="00F8508B"/>
    <w:rsid w:val="00F8548B"/>
    <w:rsid w:val="00F85DA8"/>
    <w:rsid w:val="00F85F60"/>
    <w:rsid w:val="00F86F2B"/>
    <w:rsid w:val="00F87B4A"/>
    <w:rsid w:val="00F90254"/>
    <w:rsid w:val="00F90B39"/>
    <w:rsid w:val="00F916CE"/>
    <w:rsid w:val="00F920F7"/>
    <w:rsid w:val="00F922A5"/>
    <w:rsid w:val="00F92A0D"/>
    <w:rsid w:val="00F92D16"/>
    <w:rsid w:val="00F93693"/>
    <w:rsid w:val="00F93789"/>
    <w:rsid w:val="00F938F5"/>
    <w:rsid w:val="00F93D4D"/>
    <w:rsid w:val="00F93FB9"/>
    <w:rsid w:val="00F95041"/>
    <w:rsid w:val="00F95669"/>
    <w:rsid w:val="00F95DD4"/>
    <w:rsid w:val="00F96736"/>
    <w:rsid w:val="00F96E89"/>
    <w:rsid w:val="00F96FC6"/>
    <w:rsid w:val="00F978A9"/>
    <w:rsid w:val="00F97906"/>
    <w:rsid w:val="00FA04BF"/>
    <w:rsid w:val="00FA076A"/>
    <w:rsid w:val="00FA077F"/>
    <w:rsid w:val="00FA0E7B"/>
    <w:rsid w:val="00FA100C"/>
    <w:rsid w:val="00FA16C3"/>
    <w:rsid w:val="00FA16D2"/>
    <w:rsid w:val="00FA21BE"/>
    <w:rsid w:val="00FA2347"/>
    <w:rsid w:val="00FA2AC4"/>
    <w:rsid w:val="00FA2EFE"/>
    <w:rsid w:val="00FA301D"/>
    <w:rsid w:val="00FA4AA3"/>
    <w:rsid w:val="00FA5BE5"/>
    <w:rsid w:val="00FA5C69"/>
    <w:rsid w:val="00FA5F61"/>
    <w:rsid w:val="00FA62B2"/>
    <w:rsid w:val="00FA66DE"/>
    <w:rsid w:val="00FA6ACC"/>
    <w:rsid w:val="00FA7257"/>
    <w:rsid w:val="00FA7B2E"/>
    <w:rsid w:val="00FB09E1"/>
    <w:rsid w:val="00FB0C5C"/>
    <w:rsid w:val="00FB0C90"/>
    <w:rsid w:val="00FB1805"/>
    <w:rsid w:val="00FB1917"/>
    <w:rsid w:val="00FB1C1B"/>
    <w:rsid w:val="00FB27B4"/>
    <w:rsid w:val="00FB2FF2"/>
    <w:rsid w:val="00FB3499"/>
    <w:rsid w:val="00FB34C8"/>
    <w:rsid w:val="00FB3F4D"/>
    <w:rsid w:val="00FB4A03"/>
    <w:rsid w:val="00FB4D6C"/>
    <w:rsid w:val="00FB4F88"/>
    <w:rsid w:val="00FB553E"/>
    <w:rsid w:val="00FB5B74"/>
    <w:rsid w:val="00FB5BDC"/>
    <w:rsid w:val="00FB6851"/>
    <w:rsid w:val="00FC00AC"/>
    <w:rsid w:val="00FC017D"/>
    <w:rsid w:val="00FC0AB7"/>
    <w:rsid w:val="00FC0CEF"/>
    <w:rsid w:val="00FC14ED"/>
    <w:rsid w:val="00FC1E99"/>
    <w:rsid w:val="00FC1EAE"/>
    <w:rsid w:val="00FC266A"/>
    <w:rsid w:val="00FC28C6"/>
    <w:rsid w:val="00FC2ABF"/>
    <w:rsid w:val="00FC2EAA"/>
    <w:rsid w:val="00FC31F1"/>
    <w:rsid w:val="00FC3282"/>
    <w:rsid w:val="00FC49F6"/>
    <w:rsid w:val="00FC5081"/>
    <w:rsid w:val="00FC5A09"/>
    <w:rsid w:val="00FC5A0F"/>
    <w:rsid w:val="00FC6860"/>
    <w:rsid w:val="00FC78F7"/>
    <w:rsid w:val="00FC7C83"/>
    <w:rsid w:val="00FC7D30"/>
    <w:rsid w:val="00FC7E20"/>
    <w:rsid w:val="00FD0014"/>
    <w:rsid w:val="00FD10B4"/>
    <w:rsid w:val="00FD1C9E"/>
    <w:rsid w:val="00FD1F2F"/>
    <w:rsid w:val="00FD1FB3"/>
    <w:rsid w:val="00FD2515"/>
    <w:rsid w:val="00FD2FE7"/>
    <w:rsid w:val="00FD3B03"/>
    <w:rsid w:val="00FD3F0C"/>
    <w:rsid w:val="00FD4194"/>
    <w:rsid w:val="00FD4AF1"/>
    <w:rsid w:val="00FD5226"/>
    <w:rsid w:val="00FD57E1"/>
    <w:rsid w:val="00FD64F0"/>
    <w:rsid w:val="00FD67B5"/>
    <w:rsid w:val="00FD682B"/>
    <w:rsid w:val="00FD71C7"/>
    <w:rsid w:val="00FD7332"/>
    <w:rsid w:val="00FD745E"/>
    <w:rsid w:val="00FE036B"/>
    <w:rsid w:val="00FE045C"/>
    <w:rsid w:val="00FE0C41"/>
    <w:rsid w:val="00FE0D55"/>
    <w:rsid w:val="00FE106D"/>
    <w:rsid w:val="00FE1755"/>
    <w:rsid w:val="00FE24D2"/>
    <w:rsid w:val="00FE28C1"/>
    <w:rsid w:val="00FE37B0"/>
    <w:rsid w:val="00FE38ED"/>
    <w:rsid w:val="00FE3EAA"/>
    <w:rsid w:val="00FE40D6"/>
    <w:rsid w:val="00FE4B82"/>
    <w:rsid w:val="00FE4B9A"/>
    <w:rsid w:val="00FE623B"/>
    <w:rsid w:val="00FE6A95"/>
    <w:rsid w:val="00FE7298"/>
    <w:rsid w:val="00FE7318"/>
    <w:rsid w:val="00FE790D"/>
    <w:rsid w:val="00FF01FB"/>
    <w:rsid w:val="00FF1B94"/>
    <w:rsid w:val="00FF2BA6"/>
    <w:rsid w:val="00FF3419"/>
    <w:rsid w:val="00FF3D85"/>
    <w:rsid w:val="00FF47FF"/>
    <w:rsid w:val="00FF49C4"/>
    <w:rsid w:val="00FF4ECA"/>
    <w:rsid w:val="00FF5D16"/>
    <w:rsid w:val="00FF64A8"/>
    <w:rsid w:val="00FF7697"/>
    <w:rsid w:val="01683CAC"/>
    <w:rsid w:val="016C63E5"/>
    <w:rsid w:val="0174407C"/>
    <w:rsid w:val="0179485F"/>
    <w:rsid w:val="01967843"/>
    <w:rsid w:val="025B7501"/>
    <w:rsid w:val="02D23EC5"/>
    <w:rsid w:val="02DF4027"/>
    <w:rsid w:val="02FE0ED4"/>
    <w:rsid w:val="032F7BA9"/>
    <w:rsid w:val="039F061E"/>
    <w:rsid w:val="03BC74E5"/>
    <w:rsid w:val="03D01339"/>
    <w:rsid w:val="03E878E8"/>
    <w:rsid w:val="04217AC4"/>
    <w:rsid w:val="042D6EDF"/>
    <w:rsid w:val="043403D7"/>
    <w:rsid w:val="04395A3E"/>
    <w:rsid w:val="047935B4"/>
    <w:rsid w:val="047F4768"/>
    <w:rsid w:val="04DF6C28"/>
    <w:rsid w:val="052311DB"/>
    <w:rsid w:val="054E7575"/>
    <w:rsid w:val="057F331E"/>
    <w:rsid w:val="058F1B2A"/>
    <w:rsid w:val="05BE0FAF"/>
    <w:rsid w:val="05D85263"/>
    <w:rsid w:val="05E338B3"/>
    <w:rsid w:val="06063FFB"/>
    <w:rsid w:val="061C0D76"/>
    <w:rsid w:val="06231D25"/>
    <w:rsid w:val="06656E7E"/>
    <w:rsid w:val="066B54D9"/>
    <w:rsid w:val="06C266C4"/>
    <w:rsid w:val="06D335F5"/>
    <w:rsid w:val="06FA7D85"/>
    <w:rsid w:val="073B375B"/>
    <w:rsid w:val="076D26F4"/>
    <w:rsid w:val="07C47846"/>
    <w:rsid w:val="07CF361E"/>
    <w:rsid w:val="08087622"/>
    <w:rsid w:val="085D7878"/>
    <w:rsid w:val="088365BA"/>
    <w:rsid w:val="09A37CAB"/>
    <w:rsid w:val="09BE5D1E"/>
    <w:rsid w:val="0A0C2AFC"/>
    <w:rsid w:val="0A783573"/>
    <w:rsid w:val="0AAF6858"/>
    <w:rsid w:val="0B005615"/>
    <w:rsid w:val="0B2756BB"/>
    <w:rsid w:val="0B277140"/>
    <w:rsid w:val="0B5034DA"/>
    <w:rsid w:val="0BB53BC8"/>
    <w:rsid w:val="0BB759E3"/>
    <w:rsid w:val="0BBD587C"/>
    <w:rsid w:val="0BC33683"/>
    <w:rsid w:val="0BFB2A78"/>
    <w:rsid w:val="0C015EC8"/>
    <w:rsid w:val="0C5A6A8F"/>
    <w:rsid w:val="0C5B66D3"/>
    <w:rsid w:val="0C8E07D0"/>
    <w:rsid w:val="0CD3414D"/>
    <w:rsid w:val="0D1A54AB"/>
    <w:rsid w:val="0D211A0F"/>
    <w:rsid w:val="0D45490D"/>
    <w:rsid w:val="0D7809CF"/>
    <w:rsid w:val="0D8B0ABD"/>
    <w:rsid w:val="0D8C64FE"/>
    <w:rsid w:val="0DB06955"/>
    <w:rsid w:val="0DB27EC2"/>
    <w:rsid w:val="0DB33C23"/>
    <w:rsid w:val="0E6C69E9"/>
    <w:rsid w:val="0F456143"/>
    <w:rsid w:val="0F7E22D7"/>
    <w:rsid w:val="0FB008BF"/>
    <w:rsid w:val="0FD022D5"/>
    <w:rsid w:val="0FF85691"/>
    <w:rsid w:val="104468E9"/>
    <w:rsid w:val="107F5FB5"/>
    <w:rsid w:val="115F662F"/>
    <w:rsid w:val="11A16155"/>
    <w:rsid w:val="11B67D49"/>
    <w:rsid w:val="11C0637C"/>
    <w:rsid w:val="11DC3906"/>
    <w:rsid w:val="11DE2741"/>
    <w:rsid w:val="11E92195"/>
    <w:rsid w:val="12055771"/>
    <w:rsid w:val="121B66EA"/>
    <w:rsid w:val="121B6E64"/>
    <w:rsid w:val="121D095E"/>
    <w:rsid w:val="12385257"/>
    <w:rsid w:val="126B3366"/>
    <w:rsid w:val="127B555B"/>
    <w:rsid w:val="12AD2D20"/>
    <w:rsid w:val="12C37332"/>
    <w:rsid w:val="12E613D8"/>
    <w:rsid w:val="12E84F85"/>
    <w:rsid w:val="139748D3"/>
    <w:rsid w:val="13BE542F"/>
    <w:rsid w:val="13D73169"/>
    <w:rsid w:val="14293BF0"/>
    <w:rsid w:val="149821CB"/>
    <w:rsid w:val="15081E35"/>
    <w:rsid w:val="152C4F4E"/>
    <w:rsid w:val="15317AFC"/>
    <w:rsid w:val="154079F6"/>
    <w:rsid w:val="15A53166"/>
    <w:rsid w:val="15F76A0C"/>
    <w:rsid w:val="15FF1B2B"/>
    <w:rsid w:val="160C36E5"/>
    <w:rsid w:val="16304F8A"/>
    <w:rsid w:val="16524CF3"/>
    <w:rsid w:val="168064D1"/>
    <w:rsid w:val="16974745"/>
    <w:rsid w:val="16AA59C3"/>
    <w:rsid w:val="171929E9"/>
    <w:rsid w:val="176F4C7A"/>
    <w:rsid w:val="17F2209B"/>
    <w:rsid w:val="182D3B1B"/>
    <w:rsid w:val="18DC1BF4"/>
    <w:rsid w:val="18F45740"/>
    <w:rsid w:val="192A71DD"/>
    <w:rsid w:val="194422F9"/>
    <w:rsid w:val="19B256D7"/>
    <w:rsid w:val="19B91E2A"/>
    <w:rsid w:val="19D90ED2"/>
    <w:rsid w:val="1A044FC4"/>
    <w:rsid w:val="1A803E61"/>
    <w:rsid w:val="1A891638"/>
    <w:rsid w:val="1AD376B4"/>
    <w:rsid w:val="1B0316EC"/>
    <w:rsid w:val="1B826AEF"/>
    <w:rsid w:val="1BF37364"/>
    <w:rsid w:val="1C022AC7"/>
    <w:rsid w:val="1C2263D1"/>
    <w:rsid w:val="1C887260"/>
    <w:rsid w:val="1C923299"/>
    <w:rsid w:val="1C9A7C14"/>
    <w:rsid w:val="1CE46AC8"/>
    <w:rsid w:val="1D4E65D8"/>
    <w:rsid w:val="1D9B1EA9"/>
    <w:rsid w:val="1DA53746"/>
    <w:rsid w:val="1DD45DED"/>
    <w:rsid w:val="1DD646DF"/>
    <w:rsid w:val="1DF32CF5"/>
    <w:rsid w:val="1E0500F8"/>
    <w:rsid w:val="1E1A1A76"/>
    <w:rsid w:val="1E2344ED"/>
    <w:rsid w:val="1E2450B9"/>
    <w:rsid w:val="1E3A4ECF"/>
    <w:rsid w:val="1E4975DA"/>
    <w:rsid w:val="1E5E39C3"/>
    <w:rsid w:val="1E942172"/>
    <w:rsid w:val="1EAA04B1"/>
    <w:rsid w:val="1EB452A5"/>
    <w:rsid w:val="1EE7599E"/>
    <w:rsid w:val="1EF96E73"/>
    <w:rsid w:val="1EFB231E"/>
    <w:rsid w:val="1F0E63B1"/>
    <w:rsid w:val="1F68623D"/>
    <w:rsid w:val="1FA244AC"/>
    <w:rsid w:val="1FA57362"/>
    <w:rsid w:val="1FF33195"/>
    <w:rsid w:val="20110326"/>
    <w:rsid w:val="201C2659"/>
    <w:rsid w:val="20402097"/>
    <w:rsid w:val="204F544A"/>
    <w:rsid w:val="2058610C"/>
    <w:rsid w:val="20592F5A"/>
    <w:rsid w:val="206975A1"/>
    <w:rsid w:val="207F62BD"/>
    <w:rsid w:val="208334F8"/>
    <w:rsid w:val="20A10F20"/>
    <w:rsid w:val="20AA2CD2"/>
    <w:rsid w:val="20BD1F69"/>
    <w:rsid w:val="21204854"/>
    <w:rsid w:val="2140147D"/>
    <w:rsid w:val="214214D3"/>
    <w:rsid w:val="219A755C"/>
    <w:rsid w:val="21CD743F"/>
    <w:rsid w:val="21F101C0"/>
    <w:rsid w:val="227A4C42"/>
    <w:rsid w:val="228E7738"/>
    <w:rsid w:val="229D62EF"/>
    <w:rsid w:val="22CB54CD"/>
    <w:rsid w:val="22DA7EF8"/>
    <w:rsid w:val="22F127E9"/>
    <w:rsid w:val="232601B9"/>
    <w:rsid w:val="236F3A9B"/>
    <w:rsid w:val="2372312B"/>
    <w:rsid w:val="23833905"/>
    <w:rsid w:val="24263446"/>
    <w:rsid w:val="24267652"/>
    <w:rsid w:val="24DA7BAF"/>
    <w:rsid w:val="24E6234F"/>
    <w:rsid w:val="24F3049F"/>
    <w:rsid w:val="25637428"/>
    <w:rsid w:val="25647787"/>
    <w:rsid w:val="25653F8C"/>
    <w:rsid w:val="256856B2"/>
    <w:rsid w:val="25943EB6"/>
    <w:rsid w:val="25966860"/>
    <w:rsid w:val="25AE3D85"/>
    <w:rsid w:val="25F14338"/>
    <w:rsid w:val="262B6E37"/>
    <w:rsid w:val="26875D75"/>
    <w:rsid w:val="26D77947"/>
    <w:rsid w:val="26DE4DFA"/>
    <w:rsid w:val="270040CA"/>
    <w:rsid w:val="270A05DC"/>
    <w:rsid w:val="27154DBA"/>
    <w:rsid w:val="27246868"/>
    <w:rsid w:val="272A52CB"/>
    <w:rsid w:val="277C2AB3"/>
    <w:rsid w:val="27851529"/>
    <w:rsid w:val="27B06DC4"/>
    <w:rsid w:val="27B16C46"/>
    <w:rsid w:val="27E231F6"/>
    <w:rsid w:val="27EC5C34"/>
    <w:rsid w:val="28355138"/>
    <w:rsid w:val="287B29A4"/>
    <w:rsid w:val="28D329C7"/>
    <w:rsid w:val="28EF0049"/>
    <w:rsid w:val="28F17F0E"/>
    <w:rsid w:val="28F42236"/>
    <w:rsid w:val="29103E76"/>
    <w:rsid w:val="291A73EF"/>
    <w:rsid w:val="29B12C0D"/>
    <w:rsid w:val="29C33B14"/>
    <w:rsid w:val="29D10DD3"/>
    <w:rsid w:val="29D92E54"/>
    <w:rsid w:val="2A0C3B5A"/>
    <w:rsid w:val="2A211785"/>
    <w:rsid w:val="2A271895"/>
    <w:rsid w:val="2A2F4A32"/>
    <w:rsid w:val="2A367028"/>
    <w:rsid w:val="2A6758CF"/>
    <w:rsid w:val="2A7240E5"/>
    <w:rsid w:val="2A8473F4"/>
    <w:rsid w:val="2AC54233"/>
    <w:rsid w:val="2ACB2FE8"/>
    <w:rsid w:val="2ADC3EB6"/>
    <w:rsid w:val="2B900481"/>
    <w:rsid w:val="2BA519C0"/>
    <w:rsid w:val="2BD2058A"/>
    <w:rsid w:val="2BDC3D0E"/>
    <w:rsid w:val="2BE53300"/>
    <w:rsid w:val="2BE71C80"/>
    <w:rsid w:val="2C0D70BA"/>
    <w:rsid w:val="2C2520CE"/>
    <w:rsid w:val="2C334097"/>
    <w:rsid w:val="2C650E90"/>
    <w:rsid w:val="2C7652A6"/>
    <w:rsid w:val="2C8435A9"/>
    <w:rsid w:val="2CD54FEE"/>
    <w:rsid w:val="2DD76917"/>
    <w:rsid w:val="2E126224"/>
    <w:rsid w:val="2E1C30DB"/>
    <w:rsid w:val="2E2549A2"/>
    <w:rsid w:val="2E97000A"/>
    <w:rsid w:val="2EBA1158"/>
    <w:rsid w:val="2EEB6531"/>
    <w:rsid w:val="2F240F6A"/>
    <w:rsid w:val="2F4A4F91"/>
    <w:rsid w:val="2F506D69"/>
    <w:rsid w:val="2F873ADD"/>
    <w:rsid w:val="2FA710AF"/>
    <w:rsid w:val="2FD32661"/>
    <w:rsid w:val="2FE93282"/>
    <w:rsid w:val="300E07DC"/>
    <w:rsid w:val="30466949"/>
    <w:rsid w:val="304A592D"/>
    <w:rsid w:val="304D2783"/>
    <w:rsid w:val="3068299C"/>
    <w:rsid w:val="30847C13"/>
    <w:rsid w:val="308B1442"/>
    <w:rsid w:val="30F0568C"/>
    <w:rsid w:val="31477C80"/>
    <w:rsid w:val="31750A0A"/>
    <w:rsid w:val="317B302F"/>
    <w:rsid w:val="31890CF4"/>
    <w:rsid w:val="31D37DDF"/>
    <w:rsid w:val="31DA1A34"/>
    <w:rsid w:val="31E140E9"/>
    <w:rsid w:val="320801F5"/>
    <w:rsid w:val="324509B5"/>
    <w:rsid w:val="324C77DC"/>
    <w:rsid w:val="32BB7752"/>
    <w:rsid w:val="32EB4A46"/>
    <w:rsid w:val="32FF0155"/>
    <w:rsid w:val="331D0468"/>
    <w:rsid w:val="3323442B"/>
    <w:rsid w:val="33251D84"/>
    <w:rsid w:val="333435E8"/>
    <w:rsid w:val="334C7609"/>
    <w:rsid w:val="3350468E"/>
    <w:rsid w:val="336C3D5F"/>
    <w:rsid w:val="33C65BC5"/>
    <w:rsid w:val="33FA1843"/>
    <w:rsid w:val="34182A0F"/>
    <w:rsid w:val="34231629"/>
    <w:rsid w:val="344F25D1"/>
    <w:rsid w:val="346311EC"/>
    <w:rsid w:val="34CA0F60"/>
    <w:rsid w:val="34EC2787"/>
    <w:rsid w:val="352E689A"/>
    <w:rsid w:val="353A1C9E"/>
    <w:rsid w:val="353E54AA"/>
    <w:rsid w:val="353F7648"/>
    <w:rsid w:val="355A235A"/>
    <w:rsid w:val="359E31BA"/>
    <w:rsid w:val="35BD5EF5"/>
    <w:rsid w:val="35EE7B40"/>
    <w:rsid w:val="35F624B5"/>
    <w:rsid w:val="35FF180D"/>
    <w:rsid w:val="36203785"/>
    <w:rsid w:val="364676F9"/>
    <w:rsid w:val="364E4F22"/>
    <w:rsid w:val="36F3257D"/>
    <w:rsid w:val="37257B37"/>
    <w:rsid w:val="373C5683"/>
    <w:rsid w:val="375501EA"/>
    <w:rsid w:val="378D2C88"/>
    <w:rsid w:val="37B0311E"/>
    <w:rsid w:val="37B86024"/>
    <w:rsid w:val="37E365F1"/>
    <w:rsid w:val="380060CD"/>
    <w:rsid w:val="381D61FF"/>
    <w:rsid w:val="383C46E5"/>
    <w:rsid w:val="38B17B4E"/>
    <w:rsid w:val="393D1E0A"/>
    <w:rsid w:val="393F607D"/>
    <w:rsid w:val="3960237B"/>
    <w:rsid w:val="397F65A6"/>
    <w:rsid w:val="39EA5BBB"/>
    <w:rsid w:val="39F51AB0"/>
    <w:rsid w:val="3A006852"/>
    <w:rsid w:val="3A1B6B5E"/>
    <w:rsid w:val="3A6821E7"/>
    <w:rsid w:val="3A785CED"/>
    <w:rsid w:val="3A9F758A"/>
    <w:rsid w:val="3ABD71A9"/>
    <w:rsid w:val="3B4F42FB"/>
    <w:rsid w:val="3B857F23"/>
    <w:rsid w:val="3B9472DE"/>
    <w:rsid w:val="3B9B0B5A"/>
    <w:rsid w:val="3BA3545F"/>
    <w:rsid w:val="3BA67160"/>
    <w:rsid w:val="3BCF02F9"/>
    <w:rsid w:val="3BEF2AA7"/>
    <w:rsid w:val="3BF600B7"/>
    <w:rsid w:val="3C232E05"/>
    <w:rsid w:val="3C3B5DFD"/>
    <w:rsid w:val="3C7736BD"/>
    <w:rsid w:val="3C8714AF"/>
    <w:rsid w:val="3CBB0F8A"/>
    <w:rsid w:val="3CD0777C"/>
    <w:rsid w:val="3CF152F7"/>
    <w:rsid w:val="3CF6420F"/>
    <w:rsid w:val="3D1D4C43"/>
    <w:rsid w:val="3D2D515D"/>
    <w:rsid w:val="3D3B36D9"/>
    <w:rsid w:val="3D57302B"/>
    <w:rsid w:val="3D674CE7"/>
    <w:rsid w:val="3D751F49"/>
    <w:rsid w:val="3D987336"/>
    <w:rsid w:val="3DAB5281"/>
    <w:rsid w:val="3DD47A64"/>
    <w:rsid w:val="3E37655A"/>
    <w:rsid w:val="3E711153"/>
    <w:rsid w:val="3E910BCE"/>
    <w:rsid w:val="3E916E9C"/>
    <w:rsid w:val="3EB024AF"/>
    <w:rsid w:val="3EFE2867"/>
    <w:rsid w:val="3F2C250D"/>
    <w:rsid w:val="3F4A386F"/>
    <w:rsid w:val="3F6F23AF"/>
    <w:rsid w:val="3F7838FA"/>
    <w:rsid w:val="3FF23883"/>
    <w:rsid w:val="400F31CE"/>
    <w:rsid w:val="401222E0"/>
    <w:rsid w:val="407B4317"/>
    <w:rsid w:val="409E5A77"/>
    <w:rsid w:val="40D24D2B"/>
    <w:rsid w:val="41177FFC"/>
    <w:rsid w:val="414118D0"/>
    <w:rsid w:val="414B7DFF"/>
    <w:rsid w:val="41545428"/>
    <w:rsid w:val="41CD15DA"/>
    <w:rsid w:val="41D0570E"/>
    <w:rsid w:val="420B0EB9"/>
    <w:rsid w:val="422E33D8"/>
    <w:rsid w:val="42504219"/>
    <w:rsid w:val="425C188B"/>
    <w:rsid w:val="43173DAE"/>
    <w:rsid w:val="4317782F"/>
    <w:rsid w:val="43EB390D"/>
    <w:rsid w:val="44500580"/>
    <w:rsid w:val="44821F62"/>
    <w:rsid w:val="44C65DBC"/>
    <w:rsid w:val="44C67074"/>
    <w:rsid w:val="44DC5DB1"/>
    <w:rsid w:val="453B4E34"/>
    <w:rsid w:val="455349AA"/>
    <w:rsid w:val="45BC3F0F"/>
    <w:rsid w:val="45F9291D"/>
    <w:rsid w:val="46037305"/>
    <w:rsid w:val="46100741"/>
    <w:rsid w:val="462A25F3"/>
    <w:rsid w:val="46356D25"/>
    <w:rsid w:val="4636568A"/>
    <w:rsid w:val="46413D7A"/>
    <w:rsid w:val="464F76FE"/>
    <w:rsid w:val="46573479"/>
    <w:rsid w:val="466A2076"/>
    <w:rsid w:val="466E1E74"/>
    <w:rsid w:val="46DC71D6"/>
    <w:rsid w:val="4757443E"/>
    <w:rsid w:val="47E05B8E"/>
    <w:rsid w:val="47E67F02"/>
    <w:rsid w:val="48142779"/>
    <w:rsid w:val="482E6144"/>
    <w:rsid w:val="4833216C"/>
    <w:rsid w:val="48413074"/>
    <w:rsid w:val="485A6F08"/>
    <w:rsid w:val="4874773E"/>
    <w:rsid w:val="48B90541"/>
    <w:rsid w:val="48E65692"/>
    <w:rsid w:val="49321EAA"/>
    <w:rsid w:val="49CA50CE"/>
    <w:rsid w:val="4A197A59"/>
    <w:rsid w:val="4A1B0660"/>
    <w:rsid w:val="4A884F6A"/>
    <w:rsid w:val="4A971216"/>
    <w:rsid w:val="4AAB3BC8"/>
    <w:rsid w:val="4AD41065"/>
    <w:rsid w:val="4B120D99"/>
    <w:rsid w:val="4B276EE3"/>
    <w:rsid w:val="4B3947C7"/>
    <w:rsid w:val="4B545408"/>
    <w:rsid w:val="4B5B6A63"/>
    <w:rsid w:val="4B881527"/>
    <w:rsid w:val="4BBD7FF3"/>
    <w:rsid w:val="4BCB7E09"/>
    <w:rsid w:val="4C036A99"/>
    <w:rsid w:val="4C2A0F65"/>
    <w:rsid w:val="4C2D4104"/>
    <w:rsid w:val="4C884FC9"/>
    <w:rsid w:val="4CB63C89"/>
    <w:rsid w:val="4D3474FE"/>
    <w:rsid w:val="4D44668C"/>
    <w:rsid w:val="4D9368E3"/>
    <w:rsid w:val="4DE10044"/>
    <w:rsid w:val="4E030F75"/>
    <w:rsid w:val="4E053879"/>
    <w:rsid w:val="4E376435"/>
    <w:rsid w:val="4E4E48E3"/>
    <w:rsid w:val="4E7B44FF"/>
    <w:rsid w:val="4E817CB4"/>
    <w:rsid w:val="4EB77453"/>
    <w:rsid w:val="4F500EC1"/>
    <w:rsid w:val="4F5C7BA8"/>
    <w:rsid w:val="4F5F61C0"/>
    <w:rsid w:val="4F6254EC"/>
    <w:rsid w:val="4F75358D"/>
    <w:rsid w:val="4FB81747"/>
    <w:rsid w:val="4FFB0D22"/>
    <w:rsid w:val="50027D73"/>
    <w:rsid w:val="50726672"/>
    <w:rsid w:val="50A56441"/>
    <w:rsid w:val="510F6402"/>
    <w:rsid w:val="51422145"/>
    <w:rsid w:val="5189186A"/>
    <w:rsid w:val="51AB2987"/>
    <w:rsid w:val="51C4389D"/>
    <w:rsid w:val="51CB40D5"/>
    <w:rsid w:val="51E05104"/>
    <w:rsid w:val="51FD22E5"/>
    <w:rsid w:val="52911D94"/>
    <w:rsid w:val="52A821E8"/>
    <w:rsid w:val="52B43690"/>
    <w:rsid w:val="52EA07DC"/>
    <w:rsid w:val="52FE04A2"/>
    <w:rsid w:val="533A1E24"/>
    <w:rsid w:val="538D2873"/>
    <w:rsid w:val="53CB4604"/>
    <w:rsid w:val="53E15831"/>
    <w:rsid w:val="53EA32E4"/>
    <w:rsid w:val="541E697C"/>
    <w:rsid w:val="544D52CB"/>
    <w:rsid w:val="54750800"/>
    <w:rsid w:val="54930547"/>
    <w:rsid w:val="54D16199"/>
    <w:rsid w:val="54D37EC9"/>
    <w:rsid w:val="54E96DD1"/>
    <w:rsid w:val="55486D8B"/>
    <w:rsid w:val="560146D1"/>
    <w:rsid w:val="560540EA"/>
    <w:rsid w:val="56286173"/>
    <w:rsid w:val="571D2CB6"/>
    <w:rsid w:val="57BB24AD"/>
    <w:rsid w:val="57F566E3"/>
    <w:rsid w:val="58204248"/>
    <w:rsid w:val="58534B2B"/>
    <w:rsid w:val="5853734A"/>
    <w:rsid w:val="58624B9E"/>
    <w:rsid w:val="587359BB"/>
    <w:rsid w:val="587400B7"/>
    <w:rsid w:val="589B5274"/>
    <w:rsid w:val="589F4644"/>
    <w:rsid w:val="58BA49CA"/>
    <w:rsid w:val="59123A31"/>
    <w:rsid w:val="592F3F60"/>
    <w:rsid w:val="5971560D"/>
    <w:rsid w:val="59C66956"/>
    <w:rsid w:val="59E171DA"/>
    <w:rsid w:val="59F471FC"/>
    <w:rsid w:val="5A971BFF"/>
    <w:rsid w:val="5A986DBA"/>
    <w:rsid w:val="5AA157AF"/>
    <w:rsid w:val="5ACF70BE"/>
    <w:rsid w:val="5AE42DDA"/>
    <w:rsid w:val="5B222846"/>
    <w:rsid w:val="5B42778E"/>
    <w:rsid w:val="5B4D0291"/>
    <w:rsid w:val="5B8F6ED0"/>
    <w:rsid w:val="5B996CC0"/>
    <w:rsid w:val="5BC020CB"/>
    <w:rsid w:val="5C4440C4"/>
    <w:rsid w:val="5CC56436"/>
    <w:rsid w:val="5D07243A"/>
    <w:rsid w:val="5D1F3647"/>
    <w:rsid w:val="5D261823"/>
    <w:rsid w:val="5D4346D7"/>
    <w:rsid w:val="5D48671B"/>
    <w:rsid w:val="5D4B2790"/>
    <w:rsid w:val="5DA41735"/>
    <w:rsid w:val="5DB73110"/>
    <w:rsid w:val="5DC070E6"/>
    <w:rsid w:val="5DF129E0"/>
    <w:rsid w:val="5E350E91"/>
    <w:rsid w:val="5E5D686A"/>
    <w:rsid w:val="5E6569A3"/>
    <w:rsid w:val="5E6B2D26"/>
    <w:rsid w:val="5EB416C8"/>
    <w:rsid w:val="5EBB1F76"/>
    <w:rsid w:val="5EC42840"/>
    <w:rsid w:val="5EC47456"/>
    <w:rsid w:val="5F011320"/>
    <w:rsid w:val="5F0F247B"/>
    <w:rsid w:val="5F484D07"/>
    <w:rsid w:val="5F77504D"/>
    <w:rsid w:val="5FC27C83"/>
    <w:rsid w:val="60105DCA"/>
    <w:rsid w:val="60330CBE"/>
    <w:rsid w:val="60687E3E"/>
    <w:rsid w:val="60795B5F"/>
    <w:rsid w:val="609B5714"/>
    <w:rsid w:val="60AE7724"/>
    <w:rsid w:val="60BB205E"/>
    <w:rsid w:val="60F36229"/>
    <w:rsid w:val="6107475B"/>
    <w:rsid w:val="61214334"/>
    <w:rsid w:val="618671E5"/>
    <w:rsid w:val="6196465A"/>
    <w:rsid w:val="619D5EF3"/>
    <w:rsid w:val="61B63539"/>
    <w:rsid w:val="62F8162E"/>
    <w:rsid w:val="630D5ED7"/>
    <w:rsid w:val="633178D0"/>
    <w:rsid w:val="636B228E"/>
    <w:rsid w:val="63D37CB4"/>
    <w:rsid w:val="648065B3"/>
    <w:rsid w:val="64A11080"/>
    <w:rsid w:val="64BB2051"/>
    <w:rsid w:val="64DB2E59"/>
    <w:rsid w:val="652C7FFF"/>
    <w:rsid w:val="653C3584"/>
    <w:rsid w:val="6572481C"/>
    <w:rsid w:val="65797C03"/>
    <w:rsid w:val="657C76EC"/>
    <w:rsid w:val="658529D1"/>
    <w:rsid w:val="65A96EF5"/>
    <w:rsid w:val="662010A1"/>
    <w:rsid w:val="66301EBF"/>
    <w:rsid w:val="669B4385"/>
    <w:rsid w:val="66EA7FFA"/>
    <w:rsid w:val="66F23740"/>
    <w:rsid w:val="67011BA9"/>
    <w:rsid w:val="670A353E"/>
    <w:rsid w:val="6712314D"/>
    <w:rsid w:val="677C3481"/>
    <w:rsid w:val="67E35444"/>
    <w:rsid w:val="68032728"/>
    <w:rsid w:val="6816327A"/>
    <w:rsid w:val="683A6EC4"/>
    <w:rsid w:val="68C445B2"/>
    <w:rsid w:val="68CF504B"/>
    <w:rsid w:val="694D38EC"/>
    <w:rsid w:val="695B163F"/>
    <w:rsid w:val="69CB6277"/>
    <w:rsid w:val="69F221A2"/>
    <w:rsid w:val="6A283614"/>
    <w:rsid w:val="6A2E7A51"/>
    <w:rsid w:val="6A5E054D"/>
    <w:rsid w:val="6A6C3CB6"/>
    <w:rsid w:val="6A9A52FE"/>
    <w:rsid w:val="6AA63089"/>
    <w:rsid w:val="6AC66440"/>
    <w:rsid w:val="6AE615E0"/>
    <w:rsid w:val="6B027027"/>
    <w:rsid w:val="6B4B4C4E"/>
    <w:rsid w:val="6B893D91"/>
    <w:rsid w:val="6B996DDD"/>
    <w:rsid w:val="6BFC2E69"/>
    <w:rsid w:val="6C666968"/>
    <w:rsid w:val="6CAB5A19"/>
    <w:rsid w:val="6CFB4C7E"/>
    <w:rsid w:val="6D2E2A1D"/>
    <w:rsid w:val="6D7D7D49"/>
    <w:rsid w:val="6D9508FF"/>
    <w:rsid w:val="6DCD37AC"/>
    <w:rsid w:val="6DCE72A4"/>
    <w:rsid w:val="6DDC1D21"/>
    <w:rsid w:val="6DDC32DA"/>
    <w:rsid w:val="6E1A3D02"/>
    <w:rsid w:val="6E237DF5"/>
    <w:rsid w:val="6EBA352E"/>
    <w:rsid w:val="6EBD3A60"/>
    <w:rsid w:val="6EC43932"/>
    <w:rsid w:val="6F125894"/>
    <w:rsid w:val="6F636436"/>
    <w:rsid w:val="6FD9358B"/>
    <w:rsid w:val="702F4F73"/>
    <w:rsid w:val="704429E2"/>
    <w:rsid w:val="70537F31"/>
    <w:rsid w:val="70786C80"/>
    <w:rsid w:val="708441AA"/>
    <w:rsid w:val="70895BE3"/>
    <w:rsid w:val="709E5841"/>
    <w:rsid w:val="70AD25E5"/>
    <w:rsid w:val="70ED1528"/>
    <w:rsid w:val="70F837A5"/>
    <w:rsid w:val="713F305E"/>
    <w:rsid w:val="71433AB9"/>
    <w:rsid w:val="7186554D"/>
    <w:rsid w:val="718D1C4B"/>
    <w:rsid w:val="71C26C4D"/>
    <w:rsid w:val="71CB76CA"/>
    <w:rsid w:val="71CF686B"/>
    <w:rsid w:val="71F559E4"/>
    <w:rsid w:val="725B4E21"/>
    <w:rsid w:val="72B87950"/>
    <w:rsid w:val="72C877FD"/>
    <w:rsid w:val="72D64F50"/>
    <w:rsid w:val="734D760C"/>
    <w:rsid w:val="735123F7"/>
    <w:rsid w:val="738628B0"/>
    <w:rsid w:val="73AE1577"/>
    <w:rsid w:val="73E7684F"/>
    <w:rsid w:val="745054F5"/>
    <w:rsid w:val="74895B6A"/>
    <w:rsid w:val="74FD28B6"/>
    <w:rsid w:val="74FF1D9F"/>
    <w:rsid w:val="75073EA0"/>
    <w:rsid w:val="754F6F9E"/>
    <w:rsid w:val="755A5DD5"/>
    <w:rsid w:val="755E7C49"/>
    <w:rsid w:val="758A2637"/>
    <w:rsid w:val="75AF0797"/>
    <w:rsid w:val="76801ACA"/>
    <w:rsid w:val="76CC7957"/>
    <w:rsid w:val="76E9349B"/>
    <w:rsid w:val="77392009"/>
    <w:rsid w:val="774503D7"/>
    <w:rsid w:val="776B59F4"/>
    <w:rsid w:val="77BD4647"/>
    <w:rsid w:val="77D447E9"/>
    <w:rsid w:val="77F00F6A"/>
    <w:rsid w:val="787A7CEA"/>
    <w:rsid w:val="78873B45"/>
    <w:rsid w:val="78881398"/>
    <w:rsid w:val="78A07E6C"/>
    <w:rsid w:val="78DF6413"/>
    <w:rsid w:val="78E00F4A"/>
    <w:rsid w:val="79144E0C"/>
    <w:rsid w:val="792E45D9"/>
    <w:rsid w:val="79335C91"/>
    <w:rsid w:val="793C2115"/>
    <w:rsid w:val="79691AF4"/>
    <w:rsid w:val="796B73F8"/>
    <w:rsid w:val="7989497E"/>
    <w:rsid w:val="799E5408"/>
    <w:rsid w:val="79C310D1"/>
    <w:rsid w:val="79D34C67"/>
    <w:rsid w:val="7A0B52F1"/>
    <w:rsid w:val="7A132118"/>
    <w:rsid w:val="7A2B2203"/>
    <w:rsid w:val="7A44385A"/>
    <w:rsid w:val="7A5A30C9"/>
    <w:rsid w:val="7A9E01A1"/>
    <w:rsid w:val="7AAC2218"/>
    <w:rsid w:val="7AC87EAD"/>
    <w:rsid w:val="7AF62AD9"/>
    <w:rsid w:val="7AFD064D"/>
    <w:rsid w:val="7AFD4F14"/>
    <w:rsid w:val="7AFD4F2C"/>
    <w:rsid w:val="7B262E72"/>
    <w:rsid w:val="7B503F29"/>
    <w:rsid w:val="7B827172"/>
    <w:rsid w:val="7BBB6ECA"/>
    <w:rsid w:val="7BCA6F32"/>
    <w:rsid w:val="7C271224"/>
    <w:rsid w:val="7CC57DAE"/>
    <w:rsid w:val="7CD25F65"/>
    <w:rsid w:val="7CD73911"/>
    <w:rsid w:val="7D6D7701"/>
    <w:rsid w:val="7D8C67D0"/>
    <w:rsid w:val="7DC623BF"/>
    <w:rsid w:val="7DCC10E8"/>
    <w:rsid w:val="7DE6658F"/>
    <w:rsid w:val="7E09506C"/>
    <w:rsid w:val="7E0B0492"/>
    <w:rsid w:val="7E3C4649"/>
    <w:rsid w:val="7E4D0944"/>
    <w:rsid w:val="7E5C3CEB"/>
    <w:rsid w:val="7EA10703"/>
    <w:rsid w:val="7EB0591F"/>
    <w:rsid w:val="7ED30A88"/>
    <w:rsid w:val="7F1F2941"/>
    <w:rsid w:val="7F3105B3"/>
    <w:rsid w:val="7F3C6C70"/>
    <w:rsid w:val="7F3D669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lang w:val="en-US" w:eastAsia="zh-CN" w:bidi="ar-SA"/>
    </w:rPr>
  </w:style>
  <w:style w:type="paragraph" w:styleId="2">
    <w:name w:val="heading 1"/>
    <w:basedOn w:val="1"/>
    <w:next w:val="1"/>
    <w:link w:val="34"/>
    <w:qFormat/>
    <w:uiPriority w:val="9"/>
    <w:pPr>
      <w:keepNext/>
      <w:keepLines/>
      <w:spacing w:before="200" w:after="200" w:line="480" w:lineRule="auto"/>
      <w:jc w:val="center"/>
      <w:outlineLvl w:val="0"/>
    </w:pPr>
    <w:rPr>
      <w:b/>
      <w:bCs/>
      <w:kern w:val="44"/>
      <w:sz w:val="44"/>
      <w:szCs w:val="44"/>
    </w:rPr>
  </w:style>
  <w:style w:type="paragraph" w:styleId="3">
    <w:name w:val="heading 2"/>
    <w:basedOn w:val="1"/>
    <w:next w:val="1"/>
    <w:link w:val="40"/>
    <w:unhideWhenUsed/>
    <w:qFormat/>
    <w:uiPriority w:val="9"/>
    <w:pPr>
      <w:keepNext/>
      <w:keepLines/>
      <w:spacing w:before="200" w:after="200" w:line="360" w:lineRule="auto"/>
      <w:jc w:val="left"/>
      <w:outlineLvl w:val="1"/>
    </w:pPr>
    <w:rPr>
      <w:rFonts w:cstheme="majorBidi"/>
      <w:b/>
      <w:bCs/>
      <w:sz w:val="32"/>
      <w:szCs w:val="32"/>
    </w:rPr>
  </w:style>
  <w:style w:type="paragraph" w:styleId="4">
    <w:name w:val="heading 3"/>
    <w:basedOn w:val="1"/>
    <w:next w:val="1"/>
    <w:link w:val="43"/>
    <w:unhideWhenUsed/>
    <w:qFormat/>
    <w:uiPriority w:val="9"/>
    <w:pPr>
      <w:keepNext/>
      <w:keepLines/>
      <w:spacing w:before="260" w:after="260" w:line="416" w:lineRule="auto"/>
      <w:outlineLvl w:val="2"/>
    </w:pPr>
    <w:rPr>
      <w:b/>
      <w:bCs/>
      <w:sz w:val="28"/>
      <w:szCs w:val="32"/>
    </w:rPr>
  </w:style>
  <w:style w:type="paragraph" w:styleId="5">
    <w:name w:val="heading 4"/>
    <w:basedOn w:val="1"/>
    <w:next w:val="1"/>
    <w:link w:val="44"/>
    <w:unhideWhenUsed/>
    <w:qFormat/>
    <w:uiPriority w:val="9"/>
    <w:pPr>
      <w:keepNext/>
      <w:keepLines/>
      <w:spacing w:before="280" w:after="290" w:line="376" w:lineRule="auto"/>
      <w:outlineLvl w:val="3"/>
    </w:pPr>
    <w:rPr>
      <w:rFonts w:asciiTheme="majorHAnsi" w:hAnsiTheme="majorHAnsi" w:eastAsiaTheme="majorEastAsia" w:cstheme="majorBidi"/>
      <w:b/>
      <w:bCs/>
      <w:sz w:val="24"/>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7">
    <w:name w:val="Document Map"/>
    <w:basedOn w:val="1"/>
    <w:link w:val="77"/>
    <w:semiHidden/>
    <w:unhideWhenUsed/>
    <w:qFormat/>
    <w:uiPriority w:val="99"/>
    <w:rPr>
      <w:rFonts w:ascii="宋体"/>
      <w:sz w:val="18"/>
      <w:szCs w:val="18"/>
    </w:rPr>
  </w:style>
  <w:style w:type="paragraph" w:styleId="8">
    <w:name w:val="annotation text"/>
    <w:basedOn w:val="1"/>
    <w:link w:val="35"/>
    <w:semiHidden/>
    <w:unhideWhenUsed/>
    <w:qFormat/>
    <w:uiPriority w:val="99"/>
    <w:pPr>
      <w:jc w:val="left"/>
    </w:pPr>
  </w:style>
  <w:style w:type="paragraph" w:styleId="9">
    <w:name w:val="Body Text"/>
    <w:basedOn w:val="1"/>
    <w:link w:val="79"/>
    <w:semiHidden/>
    <w:unhideWhenUsed/>
    <w:qFormat/>
    <w:uiPriority w:val="99"/>
    <w:pPr>
      <w:spacing w:after="120"/>
    </w:pPr>
  </w:style>
  <w:style w:type="paragraph" w:styleId="10">
    <w:name w:val="Body Text Indent"/>
    <w:basedOn w:val="1"/>
    <w:link w:val="64"/>
    <w:qFormat/>
    <w:uiPriority w:val="0"/>
    <w:pPr>
      <w:spacing w:after="120" w:line="360" w:lineRule="auto"/>
      <w:ind w:left="420" w:leftChars="200" w:firstLine="562" w:firstLineChars="200"/>
    </w:pPr>
    <w:rPr>
      <w:rFonts w:ascii="宋体" w:hAnsi="宋体" w:cs="宋体"/>
      <w:sz w:val="24"/>
      <w:szCs w:val="24"/>
    </w:rPr>
  </w:style>
  <w:style w:type="paragraph" w:styleId="11">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2">
    <w:name w:val="toc 3"/>
    <w:basedOn w:val="1"/>
    <w:next w:val="1"/>
    <w:unhideWhenUsed/>
    <w:qFormat/>
    <w:uiPriority w:val="39"/>
    <w:pPr>
      <w:ind w:left="840" w:leftChars="400"/>
    </w:pPr>
  </w:style>
  <w:style w:type="paragraph" w:styleId="13">
    <w:name w:val="Plain Text"/>
    <w:basedOn w:val="1"/>
    <w:link w:val="70"/>
    <w:qFormat/>
    <w:uiPriority w:val="99"/>
    <w:pPr>
      <w:spacing w:line="360" w:lineRule="auto"/>
      <w:ind w:firstLine="200" w:firstLineChars="200"/>
    </w:pPr>
    <w:rPr>
      <w:rFonts w:ascii="宋体" w:hAnsi="Courier New"/>
    </w:rPr>
  </w:style>
  <w:style w:type="paragraph" w:styleId="14">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5">
    <w:name w:val="Balloon Text"/>
    <w:basedOn w:val="1"/>
    <w:link w:val="37"/>
    <w:semiHidden/>
    <w:unhideWhenUsed/>
    <w:qFormat/>
    <w:uiPriority w:val="99"/>
    <w:rPr>
      <w:sz w:val="18"/>
      <w:szCs w:val="18"/>
    </w:rPr>
  </w:style>
  <w:style w:type="paragraph" w:styleId="16">
    <w:name w:val="footer"/>
    <w:basedOn w:val="1"/>
    <w:link w:val="39"/>
    <w:unhideWhenUsed/>
    <w:qFormat/>
    <w:uiPriority w:val="99"/>
    <w:pPr>
      <w:tabs>
        <w:tab w:val="center" w:pos="4153"/>
        <w:tab w:val="right" w:pos="8306"/>
      </w:tabs>
      <w:snapToGrid w:val="0"/>
      <w:jc w:val="left"/>
    </w:pPr>
    <w:rPr>
      <w:sz w:val="18"/>
      <w:szCs w:val="18"/>
    </w:rPr>
  </w:style>
  <w:style w:type="paragraph" w:styleId="17">
    <w:name w:val="header"/>
    <w:basedOn w:val="1"/>
    <w:link w:val="3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0">
    <w:name w:val="Subtitle"/>
    <w:basedOn w:val="1"/>
    <w:next w:val="1"/>
    <w:link w:val="42"/>
    <w:qFormat/>
    <w:uiPriority w:val="99"/>
    <w:pPr>
      <w:spacing w:before="200" w:after="200" w:line="360" w:lineRule="auto"/>
      <w:jc w:val="left"/>
      <w:outlineLvl w:val="1"/>
    </w:pPr>
    <w:rPr>
      <w:rFonts w:cstheme="majorBidi"/>
      <w:b/>
      <w:bCs/>
      <w:kern w:val="28"/>
      <w:sz w:val="24"/>
      <w:szCs w:val="32"/>
    </w:rPr>
  </w:style>
  <w:style w:type="paragraph" w:styleId="21">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2">
    <w:name w:val="toc 2"/>
    <w:basedOn w:val="1"/>
    <w:next w:val="1"/>
    <w:unhideWhenUsed/>
    <w:qFormat/>
    <w:uiPriority w:val="39"/>
    <w:pPr>
      <w:ind w:left="420" w:leftChars="200"/>
    </w:pPr>
  </w:style>
  <w:style w:type="paragraph" w:styleId="23">
    <w:name w:val="toc 9"/>
    <w:basedOn w:val="1"/>
    <w:next w:val="1"/>
    <w:unhideWhenUsed/>
    <w:qFormat/>
    <w:uiPriority w:val="39"/>
    <w:pPr>
      <w:ind w:left="3360" w:leftChars="1600"/>
    </w:pPr>
    <w:rPr>
      <w:rFonts w:asciiTheme="minorHAnsi" w:hAnsiTheme="minorHAnsi" w:eastAsiaTheme="minorEastAsia" w:cstheme="minorBidi"/>
      <w:sz w:val="21"/>
      <w:szCs w:val="22"/>
    </w:rPr>
  </w:style>
  <w:style w:type="paragraph" w:styleId="24">
    <w:name w:val="Normal (Web)"/>
    <w:basedOn w:val="1"/>
    <w:link w:val="61"/>
    <w:qFormat/>
    <w:uiPriority w:val="99"/>
    <w:pPr>
      <w:spacing w:line="360" w:lineRule="auto"/>
      <w:ind w:firstLine="562" w:firstLineChars="200"/>
      <w:jc w:val="left"/>
    </w:pPr>
    <w:rPr>
      <w:rFonts w:ascii="微软雅黑" w:hAnsi="微软雅黑" w:eastAsia="微软雅黑" w:cs="宋体"/>
      <w:color w:val="333333"/>
      <w:sz w:val="21"/>
      <w:szCs w:val="21"/>
    </w:rPr>
  </w:style>
  <w:style w:type="paragraph" w:styleId="25">
    <w:name w:val="Title"/>
    <w:basedOn w:val="1"/>
    <w:next w:val="1"/>
    <w:link w:val="41"/>
    <w:qFormat/>
    <w:uiPriority w:val="10"/>
    <w:pPr>
      <w:spacing w:before="200" w:after="200" w:line="360" w:lineRule="auto"/>
      <w:jc w:val="left"/>
      <w:outlineLvl w:val="0"/>
    </w:pPr>
    <w:rPr>
      <w:rFonts w:cstheme="majorBidi"/>
      <w:b/>
      <w:bCs/>
      <w:sz w:val="28"/>
      <w:szCs w:val="32"/>
    </w:rPr>
  </w:style>
  <w:style w:type="paragraph" w:styleId="26">
    <w:name w:val="annotation subject"/>
    <w:basedOn w:val="8"/>
    <w:next w:val="8"/>
    <w:link w:val="36"/>
    <w:semiHidden/>
    <w:unhideWhenUsed/>
    <w:qFormat/>
    <w:uiPriority w:val="99"/>
    <w:rPr>
      <w:b/>
      <w:bCs/>
    </w:rPr>
  </w:style>
  <w:style w:type="paragraph" w:styleId="27">
    <w:name w:val="Body Text First Indent"/>
    <w:basedOn w:val="9"/>
    <w:link w:val="80"/>
    <w:unhideWhenUsed/>
    <w:qFormat/>
    <w:uiPriority w:val="99"/>
    <w:pPr>
      <w:ind w:firstLine="420" w:firstLineChars="100"/>
    </w:p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FollowedHyperlink"/>
    <w:basedOn w:val="30"/>
    <w:semiHidden/>
    <w:unhideWhenUsed/>
    <w:qFormat/>
    <w:uiPriority w:val="99"/>
    <w:rPr>
      <w:color w:val="000000"/>
      <w:u w:val="none"/>
    </w:rPr>
  </w:style>
  <w:style w:type="character" w:styleId="32">
    <w:name w:val="Hyperlink"/>
    <w:basedOn w:val="30"/>
    <w:unhideWhenUsed/>
    <w:qFormat/>
    <w:uiPriority w:val="99"/>
    <w:rPr>
      <w:color w:val="0000FF" w:themeColor="hyperlink"/>
      <w:u w:val="single"/>
    </w:rPr>
  </w:style>
  <w:style w:type="character" w:styleId="33">
    <w:name w:val="annotation reference"/>
    <w:basedOn w:val="30"/>
    <w:unhideWhenUsed/>
    <w:qFormat/>
    <w:uiPriority w:val="0"/>
    <w:rPr>
      <w:sz w:val="21"/>
      <w:szCs w:val="21"/>
    </w:rPr>
  </w:style>
  <w:style w:type="character" w:customStyle="1" w:styleId="34">
    <w:name w:val="标题 1 Char"/>
    <w:basedOn w:val="30"/>
    <w:link w:val="2"/>
    <w:qFormat/>
    <w:uiPriority w:val="9"/>
    <w:rPr>
      <w:b/>
      <w:bCs/>
      <w:kern w:val="44"/>
      <w:sz w:val="44"/>
      <w:szCs w:val="44"/>
    </w:rPr>
  </w:style>
  <w:style w:type="character" w:customStyle="1" w:styleId="35">
    <w:name w:val="批注文字 Char"/>
    <w:basedOn w:val="30"/>
    <w:link w:val="8"/>
    <w:semiHidden/>
    <w:qFormat/>
    <w:uiPriority w:val="99"/>
  </w:style>
  <w:style w:type="character" w:customStyle="1" w:styleId="36">
    <w:name w:val="批注主题 Char"/>
    <w:basedOn w:val="35"/>
    <w:link w:val="26"/>
    <w:semiHidden/>
    <w:qFormat/>
    <w:uiPriority w:val="99"/>
    <w:rPr>
      <w:b/>
      <w:bCs/>
    </w:rPr>
  </w:style>
  <w:style w:type="character" w:customStyle="1" w:styleId="37">
    <w:name w:val="批注框文本 Char"/>
    <w:basedOn w:val="30"/>
    <w:link w:val="15"/>
    <w:semiHidden/>
    <w:qFormat/>
    <w:uiPriority w:val="99"/>
    <w:rPr>
      <w:sz w:val="18"/>
      <w:szCs w:val="18"/>
    </w:rPr>
  </w:style>
  <w:style w:type="character" w:customStyle="1" w:styleId="38">
    <w:name w:val="页眉 Char"/>
    <w:basedOn w:val="30"/>
    <w:link w:val="17"/>
    <w:semiHidden/>
    <w:qFormat/>
    <w:uiPriority w:val="99"/>
    <w:rPr>
      <w:sz w:val="18"/>
      <w:szCs w:val="18"/>
    </w:rPr>
  </w:style>
  <w:style w:type="character" w:customStyle="1" w:styleId="39">
    <w:name w:val="页脚 Char"/>
    <w:basedOn w:val="30"/>
    <w:link w:val="16"/>
    <w:qFormat/>
    <w:uiPriority w:val="99"/>
    <w:rPr>
      <w:sz w:val="18"/>
      <w:szCs w:val="18"/>
    </w:rPr>
  </w:style>
  <w:style w:type="character" w:customStyle="1" w:styleId="40">
    <w:name w:val="标题 2 Char"/>
    <w:basedOn w:val="30"/>
    <w:link w:val="3"/>
    <w:qFormat/>
    <w:uiPriority w:val="9"/>
    <w:rPr>
      <w:rFonts w:cstheme="majorBidi"/>
      <w:b/>
      <w:bCs/>
      <w:sz w:val="32"/>
      <w:szCs w:val="32"/>
    </w:rPr>
  </w:style>
  <w:style w:type="character" w:customStyle="1" w:styleId="41">
    <w:name w:val="标题 Char"/>
    <w:basedOn w:val="30"/>
    <w:link w:val="25"/>
    <w:qFormat/>
    <w:uiPriority w:val="10"/>
    <w:rPr>
      <w:rFonts w:cstheme="majorBidi"/>
      <w:b/>
      <w:bCs/>
      <w:sz w:val="28"/>
      <w:szCs w:val="32"/>
    </w:rPr>
  </w:style>
  <w:style w:type="character" w:customStyle="1" w:styleId="42">
    <w:name w:val="副标题 Char"/>
    <w:basedOn w:val="30"/>
    <w:link w:val="20"/>
    <w:qFormat/>
    <w:uiPriority w:val="99"/>
    <w:rPr>
      <w:rFonts w:cstheme="majorBidi"/>
      <w:b/>
      <w:bCs/>
      <w:kern w:val="28"/>
      <w:sz w:val="24"/>
      <w:szCs w:val="32"/>
    </w:rPr>
  </w:style>
  <w:style w:type="character" w:customStyle="1" w:styleId="43">
    <w:name w:val="标题 3 Char"/>
    <w:basedOn w:val="30"/>
    <w:link w:val="4"/>
    <w:qFormat/>
    <w:uiPriority w:val="9"/>
    <w:rPr>
      <w:b/>
      <w:bCs/>
      <w:sz w:val="28"/>
      <w:szCs w:val="32"/>
    </w:rPr>
  </w:style>
  <w:style w:type="character" w:customStyle="1" w:styleId="44">
    <w:name w:val="标题 4 Char"/>
    <w:basedOn w:val="30"/>
    <w:link w:val="5"/>
    <w:qFormat/>
    <w:uiPriority w:val="9"/>
    <w:rPr>
      <w:rFonts w:asciiTheme="majorHAnsi" w:hAnsiTheme="majorHAnsi" w:eastAsiaTheme="majorEastAsia" w:cstheme="majorBidi"/>
      <w:b/>
      <w:bCs/>
      <w:sz w:val="24"/>
      <w:szCs w:val="28"/>
    </w:rPr>
  </w:style>
  <w:style w:type="paragraph" w:customStyle="1" w:styleId="45">
    <w:name w:val="列出段落1"/>
    <w:basedOn w:val="1"/>
    <w:qFormat/>
    <w:uiPriority w:val="0"/>
    <w:pPr>
      <w:widowControl/>
      <w:jc w:val="center"/>
    </w:pPr>
    <w:rPr>
      <w:rFonts w:cs="宋体"/>
      <w:kern w:val="0"/>
      <w:sz w:val="24"/>
    </w:rPr>
  </w:style>
  <w:style w:type="paragraph" w:customStyle="1" w:styleId="46">
    <w:name w:val="表格文字样式"/>
    <w:basedOn w:val="1"/>
    <w:next w:val="1"/>
    <w:qFormat/>
    <w:uiPriority w:val="0"/>
    <w:pPr>
      <w:spacing w:line="360" w:lineRule="auto"/>
      <w:ind w:firstLine="200" w:firstLineChars="200"/>
      <w:jc w:val="center"/>
    </w:pPr>
    <w:rPr>
      <w:rFonts w:ascii="Arial" w:hAnsi="Arial" w:eastAsia="Times New Roman"/>
      <w:kern w:val="0"/>
      <w:sz w:val="24"/>
      <w:szCs w:val="22"/>
      <w:lang w:eastAsia="en-US" w:bidi="en-US"/>
    </w:rPr>
  </w:style>
  <w:style w:type="paragraph" w:customStyle="1" w:styleId="47">
    <w:name w:val="表格题名"/>
    <w:basedOn w:val="1"/>
    <w:qFormat/>
    <w:uiPriority w:val="0"/>
    <w:pPr>
      <w:autoSpaceDE w:val="0"/>
      <w:autoSpaceDN w:val="0"/>
      <w:adjustRightInd w:val="0"/>
      <w:spacing w:line="360" w:lineRule="auto"/>
      <w:jc w:val="center"/>
    </w:pPr>
    <w:rPr>
      <w:rFonts w:ascii="思源宋体 CN" w:hAnsi="思源宋体 CN" w:eastAsia="思源宋体 CN"/>
      <w:kern w:val="0"/>
      <w:sz w:val="28"/>
      <w:szCs w:val="24"/>
    </w:rPr>
  </w:style>
  <w:style w:type="paragraph" w:customStyle="1" w:styleId="48">
    <w:name w:val="正 文"/>
    <w:basedOn w:val="1"/>
    <w:qFormat/>
    <w:uiPriority w:val="0"/>
    <w:pPr>
      <w:spacing w:line="360" w:lineRule="auto"/>
      <w:ind w:firstLine="560" w:firstLineChars="200"/>
    </w:pPr>
    <w:rPr>
      <w:rFonts w:ascii="仿宋" w:hAnsi="仿宋" w:eastAsia="仿宋"/>
      <w:sz w:val="28"/>
      <w:szCs w:val="24"/>
    </w:rPr>
  </w:style>
  <w:style w:type="paragraph" w:customStyle="1" w:styleId="49">
    <w:name w:val="表 内容"/>
    <w:basedOn w:val="1"/>
    <w:qFormat/>
    <w:uiPriority w:val="0"/>
    <w:pPr>
      <w:spacing w:line="276" w:lineRule="auto"/>
      <w:jc w:val="center"/>
    </w:pPr>
    <w:rPr>
      <w:rFonts w:ascii="仿宋" w:hAnsi="仿宋" w:eastAsia="仿宋"/>
      <w:sz w:val="24"/>
      <w:szCs w:val="24"/>
    </w:rPr>
  </w:style>
  <w:style w:type="paragraph" w:customStyle="1" w:styleId="50">
    <w:name w:val="+列表编号"/>
    <w:basedOn w:val="1"/>
    <w:link w:val="51"/>
    <w:qFormat/>
    <w:uiPriority w:val="0"/>
    <w:pPr>
      <w:tabs>
        <w:tab w:val="center" w:pos="4200"/>
        <w:tab w:val="right" w:pos="8400"/>
      </w:tabs>
      <w:spacing w:line="360" w:lineRule="auto"/>
      <w:ind w:firstLine="480"/>
      <w:jc w:val="center"/>
    </w:pPr>
    <w:rPr>
      <w:rFonts w:eastAsiaTheme="minorEastAsia"/>
      <w:b/>
      <w:sz w:val="24"/>
      <w:szCs w:val="24"/>
    </w:rPr>
  </w:style>
  <w:style w:type="character" w:customStyle="1" w:styleId="51">
    <w:name w:val="+列表编号 Char1"/>
    <w:link w:val="50"/>
    <w:qFormat/>
    <w:uiPriority w:val="0"/>
    <w:rPr>
      <w:rFonts w:eastAsiaTheme="minorEastAsia"/>
      <w:b/>
      <w:sz w:val="24"/>
      <w:szCs w:val="24"/>
    </w:rPr>
  </w:style>
  <w:style w:type="paragraph" w:styleId="52">
    <w:name w:val="List Paragraph"/>
    <w:basedOn w:val="1"/>
    <w:qFormat/>
    <w:uiPriority w:val="34"/>
    <w:pPr>
      <w:ind w:firstLine="420" w:firstLineChars="200"/>
    </w:pPr>
    <w:rPr>
      <w:rFonts w:asciiTheme="minorHAnsi" w:hAnsiTheme="minorHAnsi" w:eastAsiaTheme="minorEastAsia" w:cstheme="minorBidi"/>
      <w:sz w:val="21"/>
      <w:szCs w:val="22"/>
    </w:rPr>
  </w:style>
  <w:style w:type="character" w:customStyle="1" w:styleId="53">
    <w:name w:val="表格文字 Char"/>
    <w:link w:val="54"/>
    <w:qFormat/>
    <w:uiPriority w:val="0"/>
    <w:rPr>
      <w:position w:val="-10"/>
      <w:sz w:val="21"/>
    </w:rPr>
  </w:style>
  <w:style w:type="paragraph" w:customStyle="1" w:styleId="54">
    <w:name w:val="表格文字"/>
    <w:basedOn w:val="1"/>
    <w:link w:val="53"/>
    <w:qFormat/>
    <w:uiPriority w:val="0"/>
    <w:pPr>
      <w:tabs>
        <w:tab w:val="left" w:pos="-2848"/>
      </w:tabs>
      <w:spacing w:before="40" w:after="40" w:line="240" w:lineRule="atLeast"/>
      <w:jc w:val="center"/>
    </w:pPr>
    <w:rPr>
      <w:position w:val="-10"/>
      <w:sz w:val="21"/>
    </w:rPr>
  </w:style>
  <w:style w:type="character" w:customStyle="1" w:styleId="55">
    <w:name w:val="表格 Char"/>
    <w:link w:val="56"/>
    <w:qFormat/>
    <w:uiPriority w:val="0"/>
    <w:rPr>
      <w:sz w:val="21"/>
      <w:szCs w:val="21"/>
    </w:rPr>
  </w:style>
  <w:style w:type="paragraph" w:customStyle="1" w:styleId="56">
    <w:name w:val="表格"/>
    <w:basedOn w:val="1"/>
    <w:link w:val="55"/>
    <w:qFormat/>
    <w:uiPriority w:val="0"/>
    <w:pPr>
      <w:spacing w:line="320" w:lineRule="exact"/>
      <w:jc w:val="center"/>
    </w:pPr>
    <w:rPr>
      <w:sz w:val="21"/>
      <w:szCs w:val="21"/>
    </w:rPr>
  </w:style>
  <w:style w:type="character" w:customStyle="1" w:styleId="57">
    <w:name w:val="表格、图表名称 Char"/>
    <w:link w:val="58"/>
    <w:qFormat/>
    <w:uiPriority w:val="0"/>
    <w:rPr>
      <w:b/>
      <w:kern w:val="0"/>
      <w:sz w:val="24"/>
      <w:szCs w:val="22"/>
    </w:rPr>
  </w:style>
  <w:style w:type="paragraph" w:customStyle="1" w:styleId="58">
    <w:name w:val="表格、图表名称"/>
    <w:basedOn w:val="1"/>
    <w:link w:val="57"/>
    <w:qFormat/>
    <w:uiPriority w:val="0"/>
    <w:pPr>
      <w:spacing w:line="360" w:lineRule="auto"/>
      <w:jc w:val="center"/>
    </w:pPr>
    <w:rPr>
      <w:b/>
      <w:kern w:val="0"/>
      <w:sz w:val="24"/>
      <w:szCs w:val="22"/>
    </w:rPr>
  </w:style>
  <w:style w:type="paragraph" w:customStyle="1" w:styleId="59">
    <w:name w:val="Table Paragraph"/>
    <w:basedOn w:val="1"/>
    <w:qFormat/>
    <w:uiPriority w:val="1"/>
    <w:pPr>
      <w:autoSpaceDE w:val="0"/>
      <w:autoSpaceDN w:val="0"/>
      <w:jc w:val="left"/>
    </w:pPr>
    <w:rPr>
      <w:rFonts w:ascii="宋体" w:hAnsi="宋体" w:cs="宋体"/>
      <w:kern w:val="0"/>
      <w:sz w:val="22"/>
      <w:szCs w:val="22"/>
      <w:lang w:val="zh-CN" w:bidi="zh-CN"/>
    </w:rPr>
  </w:style>
  <w:style w:type="character" w:customStyle="1" w:styleId="60">
    <w:name w:val="表格文 Char"/>
    <w:basedOn w:val="61"/>
    <w:link w:val="62"/>
    <w:qFormat/>
    <w:uiPriority w:val="0"/>
  </w:style>
  <w:style w:type="character" w:customStyle="1" w:styleId="61">
    <w:name w:val="普通(网站) Char"/>
    <w:basedOn w:val="30"/>
    <w:link w:val="24"/>
    <w:qFormat/>
    <w:uiPriority w:val="99"/>
    <w:rPr>
      <w:rFonts w:ascii="微软雅黑" w:hAnsi="微软雅黑" w:eastAsia="微软雅黑" w:cs="宋体"/>
      <w:color w:val="333333"/>
      <w:sz w:val="21"/>
      <w:szCs w:val="21"/>
    </w:rPr>
  </w:style>
  <w:style w:type="paragraph" w:customStyle="1" w:styleId="62">
    <w:name w:val="表格文"/>
    <w:basedOn w:val="24"/>
    <w:link w:val="60"/>
    <w:qFormat/>
    <w:uiPriority w:val="0"/>
    <w:pPr>
      <w:autoSpaceDE w:val="0"/>
      <w:autoSpaceDN w:val="0"/>
      <w:spacing w:before="126" w:line="240" w:lineRule="auto"/>
      <w:ind w:firstLine="0" w:firstLineChars="0"/>
      <w:jc w:val="center"/>
    </w:pPr>
  </w:style>
  <w:style w:type="character" w:customStyle="1" w:styleId="63">
    <w:name w:val="正文文本缩进 Char"/>
    <w:basedOn w:val="30"/>
    <w:link w:val="10"/>
    <w:qFormat/>
    <w:uiPriority w:val="0"/>
    <w:rPr>
      <w:rFonts w:ascii="宋体" w:hAnsi="宋体" w:cs="宋体"/>
      <w:sz w:val="24"/>
      <w:szCs w:val="24"/>
    </w:rPr>
  </w:style>
  <w:style w:type="character" w:customStyle="1" w:styleId="64">
    <w:name w:val="正文文本缩进 Char1"/>
    <w:basedOn w:val="30"/>
    <w:link w:val="10"/>
    <w:qFormat/>
    <w:uiPriority w:val="0"/>
  </w:style>
  <w:style w:type="paragraph" w:customStyle="1" w:styleId="65">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 w:type="character" w:customStyle="1" w:styleId="66">
    <w:name w:val="引用 Char"/>
    <w:qFormat/>
    <w:uiPriority w:val="0"/>
    <w:rPr>
      <w:iCs/>
      <w:color w:val="000000"/>
      <w:sz w:val="21"/>
    </w:rPr>
  </w:style>
  <w:style w:type="paragraph" w:styleId="67">
    <w:name w:val="Quote"/>
    <w:basedOn w:val="1"/>
    <w:next w:val="1"/>
    <w:link w:val="68"/>
    <w:qFormat/>
    <w:uiPriority w:val="0"/>
    <w:pPr>
      <w:jc w:val="center"/>
    </w:pPr>
    <w:rPr>
      <w:iCs/>
      <w:color w:val="000000"/>
      <w:sz w:val="21"/>
    </w:rPr>
  </w:style>
  <w:style w:type="character" w:customStyle="1" w:styleId="68">
    <w:name w:val="引用 Char1"/>
    <w:basedOn w:val="30"/>
    <w:link w:val="67"/>
    <w:qFormat/>
    <w:uiPriority w:val="0"/>
    <w:rPr>
      <w:i/>
      <w:iCs/>
      <w:color w:val="000000" w:themeColor="text1"/>
    </w:rPr>
  </w:style>
  <w:style w:type="character" w:customStyle="1" w:styleId="69">
    <w:name w:val="纯文本 Char"/>
    <w:link w:val="13"/>
    <w:qFormat/>
    <w:uiPriority w:val="99"/>
    <w:rPr>
      <w:rFonts w:ascii="宋体" w:hAnsi="Courier New"/>
    </w:rPr>
  </w:style>
  <w:style w:type="character" w:customStyle="1" w:styleId="70">
    <w:name w:val="纯文本 Char1"/>
    <w:basedOn w:val="30"/>
    <w:link w:val="13"/>
    <w:qFormat/>
    <w:uiPriority w:val="99"/>
    <w:rPr>
      <w:rFonts w:ascii="宋体" w:hAnsi="Courier New" w:cs="Courier New"/>
      <w:sz w:val="21"/>
      <w:szCs w:val="21"/>
    </w:rPr>
  </w:style>
  <w:style w:type="paragraph" w:customStyle="1" w:styleId="71">
    <w:name w:val="文本框样式"/>
    <w:basedOn w:val="1"/>
    <w:qFormat/>
    <w:uiPriority w:val="0"/>
    <w:pPr>
      <w:jc w:val="center"/>
    </w:pPr>
    <w:rPr>
      <w:sz w:val="21"/>
      <w:szCs w:val="24"/>
    </w:rPr>
  </w:style>
  <w:style w:type="character" w:customStyle="1" w:styleId="72">
    <w:name w:val="1 Char"/>
    <w:link w:val="73"/>
    <w:qFormat/>
    <w:uiPriority w:val="0"/>
    <w:rPr>
      <w:sz w:val="24"/>
      <w:szCs w:val="24"/>
    </w:rPr>
  </w:style>
  <w:style w:type="paragraph" w:customStyle="1" w:styleId="73">
    <w:name w:val="1"/>
    <w:basedOn w:val="1"/>
    <w:next w:val="71"/>
    <w:link w:val="72"/>
    <w:qFormat/>
    <w:uiPriority w:val="0"/>
    <w:pPr>
      <w:adjustRightInd w:val="0"/>
      <w:snapToGrid w:val="0"/>
      <w:spacing w:line="360" w:lineRule="auto"/>
      <w:ind w:firstLine="420" w:firstLineChars="200"/>
      <w:jc w:val="left"/>
      <w:textAlignment w:val="baseline"/>
    </w:pPr>
    <w:rPr>
      <w:kern w:val="0"/>
      <w:sz w:val="24"/>
      <w:szCs w:val="24"/>
    </w:rPr>
  </w:style>
  <w:style w:type="character" w:customStyle="1" w:styleId="74">
    <w:name w:val="批注文字 Char1"/>
    <w:basedOn w:val="30"/>
    <w:semiHidden/>
    <w:qFormat/>
    <w:uiPriority w:val="99"/>
  </w:style>
  <w:style w:type="character" w:customStyle="1" w:styleId="75">
    <w:name w:val="表格1 Char1"/>
    <w:basedOn w:val="30"/>
    <w:link w:val="76"/>
    <w:qFormat/>
    <w:uiPriority w:val="0"/>
    <w:rPr>
      <w:rFonts w:hint="eastAsia" w:ascii="宋体" w:hAnsi="宋体" w:eastAsia="宋体" w:cs="宋体"/>
      <w:sz w:val="22"/>
      <w:szCs w:val="22"/>
      <w:lang w:eastAsia="en-US" w:bidi="en-US"/>
    </w:rPr>
  </w:style>
  <w:style w:type="paragraph" w:customStyle="1" w:styleId="76">
    <w:name w:val="表格1"/>
    <w:basedOn w:val="1"/>
    <w:next w:val="1"/>
    <w:link w:val="75"/>
    <w:qFormat/>
    <w:uiPriority w:val="0"/>
    <w:pPr>
      <w:widowControl/>
      <w:adjustRightInd w:val="0"/>
      <w:spacing w:after="200" w:line="20" w:lineRule="atLeast"/>
      <w:jc w:val="center"/>
    </w:pPr>
    <w:rPr>
      <w:rFonts w:hint="eastAsia" w:ascii="宋体"/>
      <w:sz w:val="22"/>
      <w:szCs w:val="22"/>
    </w:rPr>
  </w:style>
  <w:style w:type="character" w:customStyle="1" w:styleId="77">
    <w:name w:val="文档结构图 Char"/>
    <w:basedOn w:val="30"/>
    <w:link w:val="7"/>
    <w:semiHidden/>
    <w:qFormat/>
    <w:uiPriority w:val="99"/>
    <w:rPr>
      <w:rFonts w:ascii="宋体"/>
      <w:kern w:val="2"/>
      <w:sz w:val="18"/>
      <w:szCs w:val="18"/>
    </w:rPr>
  </w:style>
  <w:style w:type="paragraph" w:customStyle="1" w:styleId="78">
    <w:name w:val="表格文字（小四）"/>
    <w:basedOn w:val="1"/>
    <w:qFormat/>
    <w:uiPriority w:val="0"/>
    <w:pPr>
      <w:jc w:val="left"/>
    </w:pPr>
    <w:rPr>
      <w:rFonts w:ascii="宋体" w:hAnsi="宋体"/>
      <w:sz w:val="24"/>
      <w:szCs w:val="24"/>
    </w:rPr>
  </w:style>
  <w:style w:type="character" w:customStyle="1" w:styleId="79">
    <w:name w:val="正文文本 Char"/>
    <w:basedOn w:val="30"/>
    <w:link w:val="9"/>
    <w:semiHidden/>
    <w:qFormat/>
    <w:uiPriority w:val="99"/>
    <w:rPr>
      <w:kern w:val="2"/>
    </w:rPr>
  </w:style>
  <w:style w:type="character" w:customStyle="1" w:styleId="80">
    <w:name w:val="正文首行缩进 Char"/>
    <w:basedOn w:val="79"/>
    <w:link w:val="27"/>
    <w:qFormat/>
    <w:uiPriority w:val="99"/>
  </w:style>
  <w:style w:type="paragraph" w:customStyle="1" w:styleId="81">
    <w:name w:val="表格内容"/>
    <w:basedOn w:val="1"/>
    <w:link w:val="86"/>
    <w:qFormat/>
    <w:uiPriority w:val="0"/>
    <w:pPr>
      <w:widowControl/>
      <w:adjustRightInd w:val="0"/>
      <w:snapToGrid w:val="0"/>
      <w:jc w:val="center"/>
    </w:pPr>
    <w:rPr>
      <w:rFonts w:cs="宋体"/>
      <w:iCs/>
      <w:kern w:val="0"/>
      <w:sz w:val="21"/>
      <w:szCs w:val="21"/>
    </w:rPr>
  </w:style>
  <w:style w:type="paragraph" w:customStyle="1" w:styleId="82">
    <w:name w:val="图标-船厂"/>
    <w:basedOn w:val="1"/>
    <w:qFormat/>
    <w:uiPriority w:val="0"/>
    <w:pPr>
      <w:widowControl/>
      <w:adjustRightInd w:val="0"/>
      <w:snapToGrid w:val="0"/>
      <w:spacing w:before="100" w:beforeAutospacing="1" w:after="100" w:afterAutospacing="1" w:line="360" w:lineRule="auto"/>
      <w:jc w:val="center"/>
    </w:pPr>
    <w:rPr>
      <w:rFonts w:cs="宋体"/>
      <w:b/>
      <w:kern w:val="0"/>
      <w:sz w:val="24"/>
      <w:szCs w:val="24"/>
    </w:rPr>
  </w:style>
  <w:style w:type="paragraph" w:customStyle="1" w:styleId="83">
    <w:name w:val="标题-表/图"/>
    <w:basedOn w:val="1"/>
    <w:qFormat/>
    <w:uiPriority w:val="0"/>
    <w:pPr>
      <w:widowControl/>
      <w:jc w:val="center"/>
    </w:pPr>
    <w:rPr>
      <w:rFonts w:ascii="等线" w:hAnsi="等线" w:cs="Arial"/>
      <w:b/>
      <w:sz w:val="24"/>
      <w:szCs w:val="24"/>
    </w:rPr>
  </w:style>
  <w:style w:type="paragraph" w:customStyle="1" w:styleId="84">
    <w:name w:val="表标—船厂"/>
    <w:basedOn w:val="1"/>
    <w:qFormat/>
    <w:uiPriority w:val="0"/>
    <w:pPr>
      <w:widowControl/>
      <w:spacing w:before="100" w:beforeAutospacing="1" w:after="100" w:afterAutospacing="1"/>
      <w:jc w:val="center"/>
    </w:pPr>
    <w:rPr>
      <w:rFonts w:cs="宋体"/>
      <w:b/>
      <w:kern w:val="0"/>
      <w:sz w:val="24"/>
      <w:szCs w:val="24"/>
    </w:rPr>
  </w:style>
  <w:style w:type="paragraph" w:customStyle="1" w:styleId="85">
    <w:name w:val="表格内"/>
    <w:basedOn w:val="20"/>
    <w:qFormat/>
    <w:uiPriority w:val="0"/>
    <w:pPr>
      <w:widowControl/>
      <w:spacing w:before="0" w:after="0" w:line="240" w:lineRule="auto"/>
      <w:jc w:val="center"/>
      <w:outlineLvl w:val="9"/>
    </w:pPr>
    <w:rPr>
      <w:rFonts w:ascii="等线" w:hAnsi="等线" w:cs="Arial"/>
      <w:b w:val="0"/>
      <w:bCs w:val="0"/>
      <w:kern w:val="2"/>
      <w:sz w:val="21"/>
      <w:szCs w:val="21"/>
    </w:rPr>
  </w:style>
  <w:style w:type="character" w:customStyle="1" w:styleId="86">
    <w:name w:val="表格内容 Char Char"/>
    <w:link w:val="81"/>
    <w:qFormat/>
    <w:uiPriority w:val="0"/>
    <w:rPr>
      <w:rFonts w:ascii="Times New Roman" w:hAnsi="Times New Roman" w:cs="宋体"/>
      <w:iCs/>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2" Type="http://schemas.openxmlformats.org/officeDocument/2006/relationships/fontTable" Target="fontTable.xml"/><Relationship Id="rId81" Type="http://schemas.openxmlformats.org/officeDocument/2006/relationships/customXml" Target="../customXml/item2.xml"/><Relationship Id="rId80" Type="http://schemas.openxmlformats.org/officeDocument/2006/relationships/customXml" Target="../customXml/item1.xml"/><Relationship Id="rId8" Type="http://schemas.openxmlformats.org/officeDocument/2006/relationships/footer" Target="footer3.xml"/><Relationship Id="rId79" Type="http://schemas.openxmlformats.org/officeDocument/2006/relationships/image" Target="media/image68.png"/><Relationship Id="rId78" Type="http://schemas.openxmlformats.org/officeDocument/2006/relationships/image" Target="media/image67.png"/><Relationship Id="rId77" Type="http://schemas.openxmlformats.org/officeDocument/2006/relationships/image" Target="media/image66.png"/><Relationship Id="rId76" Type="http://schemas.openxmlformats.org/officeDocument/2006/relationships/image" Target="media/image65.png"/><Relationship Id="rId75" Type="http://schemas.openxmlformats.org/officeDocument/2006/relationships/image" Target="media/image64.png"/><Relationship Id="rId74" Type="http://schemas.openxmlformats.org/officeDocument/2006/relationships/image" Target="media/image63.png"/><Relationship Id="rId73" Type="http://schemas.openxmlformats.org/officeDocument/2006/relationships/image" Target="media/image62.png"/><Relationship Id="rId72" Type="http://schemas.openxmlformats.org/officeDocument/2006/relationships/image" Target="media/image61.png"/><Relationship Id="rId71" Type="http://schemas.openxmlformats.org/officeDocument/2006/relationships/image" Target="media/image60.png"/><Relationship Id="rId70" Type="http://schemas.openxmlformats.org/officeDocument/2006/relationships/image" Target="media/image59.png"/><Relationship Id="rId7" Type="http://schemas.openxmlformats.org/officeDocument/2006/relationships/footer" Target="footer2.xml"/><Relationship Id="rId69" Type="http://schemas.openxmlformats.org/officeDocument/2006/relationships/image" Target="media/image58.png"/><Relationship Id="rId68" Type="http://schemas.openxmlformats.org/officeDocument/2006/relationships/image" Target="media/image57.png"/><Relationship Id="rId67" Type="http://schemas.openxmlformats.org/officeDocument/2006/relationships/image" Target="media/image56.jpeg"/><Relationship Id="rId66" Type="http://schemas.openxmlformats.org/officeDocument/2006/relationships/image" Target="media/image55.png"/><Relationship Id="rId65" Type="http://schemas.openxmlformats.org/officeDocument/2006/relationships/image" Target="media/image54.png"/><Relationship Id="rId64" Type="http://schemas.openxmlformats.org/officeDocument/2006/relationships/image" Target="media/image53.png"/><Relationship Id="rId63" Type="http://schemas.openxmlformats.org/officeDocument/2006/relationships/image" Target="media/image52.png"/><Relationship Id="rId62" Type="http://schemas.openxmlformats.org/officeDocument/2006/relationships/image" Target="media/image51.jpeg"/><Relationship Id="rId61" Type="http://schemas.openxmlformats.org/officeDocument/2006/relationships/image" Target="media/image50.jpeg"/><Relationship Id="rId60" Type="http://schemas.openxmlformats.org/officeDocument/2006/relationships/image" Target="media/image49.jpeg"/><Relationship Id="rId6" Type="http://schemas.openxmlformats.org/officeDocument/2006/relationships/footer" Target="footer1.xml"/><Relationship Id="rId59" Type="http://schemas.openxmlformats.org/officeDocument/2006/relationships/image" Target="media/image48.jpeg"/><Relationship Id="rId58" Type="http://schemas.openxmlformats.org/officeDocument/2006/relationships/image" Target="media/image47.jpeg"/><Relationship Id="rId57" Type="http://schemas.openxmlformats.org/officeDocument/2006/relationships/image" Target="media/image46.jpeg"/><Relationship Id="rId56" Type="http://schemas.openxmlformats.org/officeDocument/2006/relationships/image" Target="media/image45.jpeg"/><Relationship Id="rId55" Type="http://schemas.openxmlformats.org/officeDocument/2006/relationships/image" Target="media/image44.jpeg"/><Relationship Id="rId54" Type="http://schemas.openxmlformats.org/officeDocument/2006/relationships/image" Target="media/image43.jpeg"/><Relationship Id="rId53" Type="http://schemas.openxmlformats.org/officeDocument/2006/relationships/image" Target="media/image42.jpeg"/><Relationship Id="rId52" Type="http://schemas.openxmlformats.org/officeDocument/2006/relationships/image" Target="media/image41.jpeg"/><Relationship Id="rId51" Type="http://schemas.openxmlformats.org/officeDocument/2006/relationships/image" Target="media/image40.jpeg"/><Relationship Id="rId50" Type="http://schemas.openxmlformats.org/officeDocument/2006/relationships/image" Target="media/image39.jpeg"/><Relationship Id="rId5" Type="http://schemas.openxmlformats.org/officeDocument/2006/relationships/header" Target="header3.xml"/><Relationship Id="rId49" Type="http://schemas.openxmlformats.org/officeDocument/2006/relationships/image" Target="media/image38.jpeg"/><Relationship Id="rId48" Type="http://schemas.openxmlformats.org/officeDocument/2006/relationships/image" Target="media/image37.jpeg"/><Relationship Id="rId47" Type="http://schemas.openxmlformats.org/officeDocument/2006/relationships/image" Target="media/image36.jpeg"/><Relationship Id="rId46" Type="http://schemas.openxmlformats.org/officeDocument/2006/relationships/image" Target="media/image35.png"/><Relationship Id="rId45" Type="http://schemas.openxmlformats.org/officeDocument/2006/relationships/image" Target="media/image34.pn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header" Target="header2.xml"/><Relationship Id="rId39" Type="http://schemas.openxmlformats.org/officeDocument/2006/relationships/image" Target="media/image28.wmf"/><Relationship Id="rId38" Type="http://schemas.openxmlformats.org/officeDocument/2006/relationships/oleObject" Target="embeddings/oleObject2.bin"/><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jpe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wmf"/><Relationship Id="rId16" Type="http://schemas.openxmlformats.org/officeDocument/2006/relationships/oleObject" Target="embeddings/oleObject1.bin"/><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1888AD-3F13-4175-8D7A-127091ED0E2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264</Pages>
  <Words>28886</Words>
  <Characters>164653</Characters>
  <Lines>1372</Lines>
  <Paragraphs>386</Paragraphs>
  <TotalTime>8</TotalTime>
  <ScaleCrop>false</ScaleCrop>
  <LinksUpToDate>false</LinksUpToDate>
  <CharactersWithSpaces>193153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2019-11-29T07:02:00Z</dcterms:created>
  <dc:creator>PC</dc:creator>
  <cp:lastModifiedBy>田</cp:lastModifiedBy>
  <dcterms:modified xsi:type="dcterms:W3CDTF">2021-06-17T03:14:40Z</dcterms:modified>
  <cp:revision>260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B78B3A253D6A4BE18FE5E10A7FC7C10A</vt:lpwstr>
  </property>
</Properties>
</file>