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00" w:lineRule="exact"/>
        <w:jc w:val="left"/>
        <w:rPr>
          <w:rFonts w:hint="eastAsia" w:ascii="黑体" w:hAnsi="黑体"/>
          <w:color w:val="000000" w:themeColor="text1"/>
          <w14:textFill>
            <w14:solidFill>
              <w14:schemeClr w14:val="tx1"/>
            </w14:solidFill>
          </w14:textFill>
        </w:rPr>
      </w:pPr>
      <w:bookmarkStart w:id="0" w:name="_Toc13410"/>
      <w:bookmarkStart w:id="1" w:name="_Toc95224606"/>
      <w:bookmarkStart w:id="2" w:name="_Toc8768"/>
      <w:bookmarkStart w:id="3" w:name="_Toc26848"/>
      <w:bookmarkStart w:id="4" w:name="_Toc5267"/>
      <w:bookmarkStart w:id="5" w:name="_Toc10778"/>
      <w:bookmarkStart w:id="6" w:name="_Toc1034"/>
      <w:r>
        <w:rPr>
          <w:rFonts w:hint="eastAsia" w:ascii="文星楷体" w:hAnsi="黑体" w:eastAsia="文星楷体"/>
          <w:color w:val="000000" w:themeColor="text1"/>
          <w14:textFill>
            <w14:solidFill>
              <w14:schemeClr w14:val="tx1"/>
            </w14:solidFill>
          </w14:textFill>
        </w:rPr>
        <w:t>附件2</w:t>
      </w:r>
      <w:bookmarkStart w:id="7" w:name="_GoBack"/>
      <w:bookmarkEnd w:id="7"/>
    </w:p>
    <w:p>
      <w:pPr>
        <w:pStyle w:val="2"/>
        <w:spacing w:before="0" w:after="0" w:line="500" w:lineRule="exact"/>
        <w:rPr>
          <w:rFonts w:hint="eastAsia" w:ascii="文星标宋" w:hAnsi="黑体" w:eastAsia="文星标宋"/>
          <w:color w:val="000000" w:themeColor="text1"/>
          <w:sz w:val="36"/>
          <w:szCs w:val="36"/>
          <w14:textFill>
            <w14:solidFill>
              <w14:schemeClr w14:val="tx1"/>
            </w14:solidFill>
          </w14:textFill>
        </w:rPr>
      </w:pPr>
      <w:r>
        <w:rPr>
          <w:rFonts w:hint="eastAsia" w:ascii="文星标宋" w:hAnsi="黑体" w:eastAsia="文星标宋"/>
          <w:color w:val="000000" w:themeColor="text1"/>
          <w:sz w:val="36"/>
          <w:szCs w:val="36"/>
          <w14:textFill>
            <w14:solidFill>
              <w14:schemeClr w14:val="tx1"/>
            </w14:solidFill>
          </w14:textFill>
        </w:rPr>
        <w:t>规划重点工程</w:t>
      </w:r>
      <w:bookmarkEnd w:id="0"/>
      <w:bookmarkEnd w:id="1"/>
      <w:bookmarkEnd w:id="2"/>
      <w:bookmarkEnd w:id="3"/>
      <w:bookmarkEnd w:id="4"/>
      <w:bookmarkEnd w:id="5"/>
      <w:bookmarkEnd w:id="6"/>
    </w:p>
    <w:p>
      <w:pPr>
        <w:pStyle w:val="2"/>
        <w:spacing w:before="0" w:after="0" w:line="200" w:lineRule="exact"/>
        <w:rPr>
          <w:rFonts w:hint="eastAsia" w:ascii="文星标宋" w:hAnsi="黑体" w:eastAsia="文星标宋"/>
          <w:color w:val="000000" w:themeColor="text1"/>
          <w:sz w:val="36"/>
          <w:szCs w:val="36"/>
          <w14:textFill>
            <w14:solidFill>
              <w14:schemeClr w14:val="tx1"/>
            </w14:solidFill>
          </w14:textFill>
        </w:rPr>
      </w:pPr>
    </w:p>
    <w:tbl>
      <w:tblPr>
        <w:tblStyle w:val="5"/>
        <w:tblW w:w="14459"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709"/>
        <w:gridCol w:w="2041"/>
        <w:gridCol w:w="6181"/>
        <w:gridCol w:w="1134"/>
        <w:gridCol w:w="1275"/>
        <w:gridCol w:w="993"/>
        <w:gridCol w:w="15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blHeader/>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序号</w:t>
            </w:r>
          </w:p>
        </w:tc>
        <w:tc>
          <w:tcPr>
            <w:tcW w:w="70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要素</w:t>
            </w:r>
          </w:p>
        </w:tc>
        <w:tc>
          <w:tcPr>
            <w:tcW w:w="2041"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项目名称</w:t>
            </w:r>
          </w:p>
        </w:tc>
        <w:tc>
          <w:tcPr>
            <w:tcW w:w="6181"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项目内容</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投资</w:t>
            </w:r>
          </w:p>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估算</w:t>
            </w:r>
          </w:p>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（万元）</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责任地区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起止</w:t>
            </w:r>
          </w:p>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年限</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是否纳入市</w:t>
            </w:r>
            <w:r>
              <w:rPr>
                <w:rFonts w:hint="eastAsia" w:ascii="Times New Roman" w:hAnsi="Times New Roman" w:eastAsia="文星黑体" w:cs="Times New Roman"/>
                <w:bCs/>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十四五</w:t>
            </w:r>
            <w:r>
              <w:rPr>
                <w:rFonts w:hint="eastAsia" w:ascii="Times New Roman" w:hAnsi="Times New Roman" w:eastAsia="文星黑体" w:cs="Times New Roman"/>
                <w:bCs/>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黑体" w:cs="Times New Roman"/>
                <w:bCs/>
                <w:color w:val="000000" w:themeColor="text1"/>
                <w:spacing w:val="0"/>
                <w:kern w:val="2"/>
                <w:sz w:val="24"/>
                <w:szCs w:val="24"/>
                <w14:textFill>
                  <w14:solidFill>
                    <w14:schemeClr w14:val="tx1"/>
                  </w14:solidFill>
                </w14:textFill>
              </w:rPr>
              <w:t>规划重大项目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水</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饮用水水源地规范化建设</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持续推进全市</w:t>
            </w:r>
            <w:r>
              <w:rPr>
                <w:rFonts w:hint="eastAsia" w:eastAsia="文星仿宋" w:cs="Times New Roman"/>
                <w:color w:val="000000" w:themeColor="text1"/>
                <w:spacing w:val="0"/>
                <w:kern w:val="2"/>
                <w:sz w:val="24"/>
                <w:szCs w:val="24"/>
                <w:lang w:eastAsia="zh-CN"/>
                <w14:textFill>
                  <w14:solidFill>
                    <w14:schemeClr w14:val="tx1"/>
                  </w14:solidFill>
                </w14:textFill>
              </w:rPr>
              <w:t>饮用水水源</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保护区规范化建设，包括围栏隔离防护设施建设、保护区界桩界碑警示牌建设、饮用水水源地安全视频监控系统建设、事故应急处理池建设等工程。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饮用水水源安全保障工程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以黄田水库、长潭水库、多宝水库、黄竹坪水库、龙潭水库、梅潭河双溪水库等</w:t>
            </w:r>
            <w:r>
              <w:rPr>
                <w:rFonts w:hint="eastAsia" w:eastAsia="文星仿宋" w:cs="Times New Roman"/>
                <w:color w:val="000000" w:themeColor="text1"/>
                <w:spacing w:val="0"/>
                <w:kern w:val="2"/>
                <w:sz w:val="24"/>
                <w:szCs w:val="24"/>
                <w:lang w:eastAsia="zh-CN"/>
                <w14:textFill>
                  <w14:solidFill>
                    <w14:schemeClr w14:val="tx1"/>
                  </w14:solidFill>
                </w14:textFill>
              </w:rPr>
              <w:t>饮用水水源</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地为重点，推动实施全市</w:t>
            </w:r>
            <w:r>
              <w:rPr>
                <w:rFonts w:hint="eastAsia" w:eastAsia="文星仿宋" w:cs="Times New Roman"/>
                <w:color w:val="000000" w:themeColor="text1"/>
                <w:spacing w:val="0"/>
                <w:kern w:val="2"/>
                <w:sz w:val="24"/>
                <w:szCs w:val="24"/>
                <w:lang w:eastAsia="zh-CN"/>
                <w14:textFill>
                  <w14:solidFill>
                    <w14:schemeClr w14:val="tx1"/>
                  </w14:solidFill>
                </w14:textFill>
              </w:rPr>
              <w:t>饮用水水源</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地综合整治，完善水源地周边生活污水、生活垃圾治理体系，开展畜禽养殖污染整治、植被保护修复、水土流失治理、除险加固措施等，保障全市饮用水水源安全。</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梅州市入河排污口综合整治</w:t>
            </w:r>
            <w:r>
              <w:rPr>
                <w:rFonts w:hint="eastAsia" w:eastAsia="文星仿宋" w:cs="Times New Roman"/>
                <w:color w:val="000000" w:themeColor="text1"/>
                <w:spacing w:val="0"/>
                <w:kern w:val="2"/>
                <w:sz w:val="24"/>
                <w:szCs w:val="24"/>
                <w:lang w:eastAsia="zh-CN"/>
                <w14:textFill>
                  <w14:solidFill>
                    <w14:schemeClr w14:val="tx1"/>
                  </w14:solidFill>
                </w14:textFill>
              </w:rPr>
              <w:t>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按照</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查、测、溯、治</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的要求，开展各县（市、区）入河湖排污口排查整治，对入河排水沟渠流域的村庄实施农村人居环境综合整治。</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5"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五华县水污染防治项目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五华县42个水塘污染防治改造；韩江上游琴江河流域（华兴大桥至汇合口段）生态湿地、滨水驳岸带建设；梅江流域（汇合口至布头村段）生态湿地、滨水驳岸带建设；韩江上游琴江流域（五联村至济广高速段）水生植物修复，生态壅水坝建设。完善污水配套管网和垃圾收运设施，开展农村小水系、水渠生态修复，实施农村黑臭水体环境综合整治。</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水</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实施梅江区西阳镇白宫河、长沙圩镇段水环境综合整治。</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开展程江、南口水、石窟河等17条河流以及梅西水库、水车镇安美水库等2个水库排污口（排水口）排查，建立入河排污口名录，制定实施整治方案，分类整治。</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7</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以河头镇为重点，推进水环境综合治理。主要包括：（1）生态修复净化工程；（2）农村生活污水治理设施建设工程；（3）农村生活污水管网工程；（4）生活垃圾治理；（5）功能型生态景观河岸工程。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8</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农村生活污水治理工程：在兴宁市农村生活污水摸排成果基础上对水质现状差、需要建设村级污水处理设施的村建设污水处理设施；⒉畜禽养殖污染防治工程：对沿河两岸分布的规模化以下的养殖户通过以奖促治方式鼓励养殖户建设养殖废水处理设施；⒊水生态修复工程：东排沟、曾坑河、下西沟实施水生态修复工程，在实施清淤工程的基础上种植沉水植物，逐步恢复河道水生生物和生态系统。</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9</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实施蕉岭县石窟河流域、松源河流域等重点流域环境综合整治，完善污水治理设施。</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大埔县水环境综合整治工程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建设65座污水处理设施，管网42300m；⒉清理整治沿河两岸禁养区内的养殖场，全面完成禁养区内畜禽养殖业搬迁、关闭工作；⒊完善生活垃圾转运设施；⒋实施河道垃圾清理整治工程；⒌建设种植业面源污染整治示范工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9800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11</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水</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梅州市清洁小流域治理工程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各县（市、区）清洁小流域治理，包括梅江区群益村、平远县稔田河楼前段、大埔县西河镇、丰顺县潭江溪、五华县大都河（联新片）、蕉岭县徐溪河等小流域，主要包括治理水土流失、整治河道、营造水土保持林等任务。</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12</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广东梅州经济开发区废水处理设施提标改造项目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园区现有污水处理厂废水处理量增加8000吨/天，处理能力由1.2万吨/天扩大到2万吨/天。⒉对东升园区现有工业污水管网进行改造、新建东升园区二期污水管网和周边工业污水管网。⒊拟建设一个5000吨中转池和一个5000吨应急池，建设一套生活污水收集管网，单独收集开发区内各企业的生活污水。</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24000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13</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梅县区污水处理设施建设及配套管网完善工程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⒈梅县新城水质净化厂扩容2万吨/天处理能力，新建江北污水处理厂及配套管网。⒉完善梅县区华侨城片区、大新城片区、梅县新城西片区、高铁片区和槐岗片区雨污分流排水系统。⒊完善16个镇22座镇级污水处理厂及配套集污管网。</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57500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9"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14</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平远县县城排水排污改造工程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建设环北路、梅青路、鸿禧中新城南侧道路、柘东路、平城南路等道路的雨污分流管网系统，以及平远县教师村柘东路口至大柘河截污管口污水管网项目等。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18000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5"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15</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蕉岭县蕉城污水处理厂提标改造及长潭片区污水管网建设工程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蕉城污水处理厂的出水水质指标由一级B提高到一级A，完善城区污水管网体系，解决污水厂进水浓度偏低和沿线各排水单元污水的收集等问题；在长潭片区铺设5公里集污管，收集区域内居民生活污水。</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28800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w:t>
            </w:r>
          </w:p>
        </w:tc>
        <w:tc>
          <w:tcPr>
            <w:tcW w:w="993"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16</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水</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大埔县截污管网建设工程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大埔县城区截污管网建设，拟建2万吨/日的水质净化厂配套污水管网，建设污水管网总长度约13200米，其中梅潭河左岸6700米，右岸6500米。⒉大埔县镇级垃圾中转站污水管网建设，县各镇14个垃圾中转站新建污水收集池，铺设污水管网到镇级污水处理厂，对中转站产生的废水进行系统收集处理。⒊大埔县镇村污水管网建设，新建镇级污水管网71公里，村级污水管网378公里。</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17</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丰顺县污水处理厂管网建设工程（第二期）</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改造市政大道、内岭路、东二市、湖下片区、榕江北河河底、实验中学等集污管网约30公里。</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26500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18</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五华县城污水处理厂三期扩建及配套管网工程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厂区三期扩建工程（新增污水处理能力4万吨/日）、厂区二期提标工程（2万吨/日）、新建提升泵站一座及配套污水管网约10.6公里、厂外泵站改造等。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25600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2020—2021</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19</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五华县镇级污水处理设施及配套管网（二期）工程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新建华城、安流、棉洋污水厂，新增建设污水管网43公里。</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31000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梅州市碧道建设工程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按照《梅州市碧道建设总体规划（2019—2035）》，</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十四五</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碧道建设新增200公里以上，建设两边亲水步道、碧道休闲带，实施水环境治理、岸坡生态化改造等。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21</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河流生态流量管控项目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对主要河流、电站安装流量监控设施。科学确定生态流量，加强江河湖库水量调度管理，维持河湖生态用水需求，重点保障枯水期生态基流。</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2020—2025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22</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大气</w:t>
            </w: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挥发性有机物综合治理</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⒈涉VOCs企业深度治理项目资金奖补，主要包括：</w:t>
            </w:r>
            <w:r>
              <w:rPr>
                <w:rFonts w:hint="default"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1）原辅材料改造；</w:t>
            </w:r>
            <w:r>
              <w:rPr>
                <w:rFonts w:hint="default"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2）治理设施技术升级。</w:t>
            </w:r>
          </w:p>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⒉梅州市城区加油站、汽车维护挥发性有机物管控项目。</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3900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23</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钢铁及水泥行业超低排放治理工程示范项目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指导钢铁及水泥行业超低排放治理改造，主要包括：</w:t>
            </w:r>
          </w:p>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1）完成超低排放治理工程的重点钢铁、水泥行业企业；</w:t>
            </w:r>
          </w:p>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2）按要求不需提标但企业自行完成超低排放治理工程的钢铁、水泥行业企业。</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24</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梅州市大气细颗粒物及臭氧源解析项目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通过开展梅州市臭氧源解析项目，梳理梅州市臭氧污染特征现状，分析臭氧污染成因同时进行臭氧来源解析，为梅州市大气污染综合防治和空气质量持续改善提供科技支撑。</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680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25</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污染天气应急应对</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立应急视频会议系统；机动车路检路查；非道路移动机械检查和录入；柴油车重点用车大户入户调查；全市污染天气应急洒水喷雾应对工作；加油站大气污染防治措施排查及黑加油站检查；应急应对企业落实情况入户调查；走航监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8000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3"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26</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梅县区工业炉窑综合整治工程</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实施企业工业炉窑燃料清洁低碳化代替、废气治理设施升级改造、全过程无组织排放管控工程。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梅县区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27</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土壤</w:t>
            </w: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梅州市土壤污染状况调查项目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对用途拟变更为住宅、公共管理与公共服务用地的地块开展土壤污染状况调查，编制土壤污染状况调查报告。</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28</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梅州市土壤环境背景值调查项目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选择梅州市城市不同土壤类型分布区、自然植被覆盖区等不同区域开展梅州市区域土壤背景值调查。</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800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29</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土壤</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梅州市地下水基础环境状况调查评估以及</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双源</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地下水状况调查项目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按照国家、省的有关要求开展梅州市地下水基础环境状况调查评估工作，重点对</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双源</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地下水型集中式饮用水水源和重点污染源（区域）地下水环境监测现状调查。</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3800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梅州市耕地安全利用与耕地土壤污染修复工程项目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⒈受污染耕地安全利用与治理修复；⒉以效果承包的第三方治理模式开展安全利用；⒊调整种植结构。</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13200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4"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31</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梅州市土壤污染风险管控和修复项目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按照国家有关规定开展风险管控或修复措施，编制风险管控或修复方案，风险管控、修复活动完成后对风险管控效果、修复效果进行评估，编制风险管控效果、修复效果评估报告。</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7"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32</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固废</w:t>
            </w: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梅州市工业废物管理服务项目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建设危险废物处理总规模15万吨/年。其中一期：建设回转窑焚烧处理3万吨/年，等离子体处理1万吨/年，配套安全填埋场3万吨/年；二期：建设回转窑焚烧处理3万吨/年，配套安全填埋场5万吨/年。</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75000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3"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33</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含铜污泥综合利用项目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处理产生于表面处理、线路板、电镀行业废水处理过程中产生的含铜污泥等，综合利用含铜污泥约10万吨/年，综合处理蚀刻液约1万吨/年。</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8000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34</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梅州市新建医疗废弃物无害化处理项目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新增建设两条15吨/天的医疗废物焚烧处置生产线，项目建成后医疗废物处置能力总规模约1万吨/年。</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35</w:t>
            </w:r>
          </w:p>
        </w:tc>
        <w:tc>
          <w:tcPr>
            <w:tcW w:w="709" w:type="dxa"/>
            <w:vMerge w:val="restart"/>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固废</w:t>
            </w: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丰顺县一般工业固体废物综合处理处置中心</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建设一般工业固废处理处置中心，处理包括钢渣、水渣、铁渣、煤矸石、矿渣、木屑、药渣、废纸等。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2020—2025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36</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梅州市环保能源（生活垃圾焚烧）发电项目协同处置厨余垃圾技术改造项目</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配套建设一个</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固液分离</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设施，将城区收集厨余垃圾通过</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固液分离</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技术与生活垃圾焚烧项目协同处置，处理规模初步设计100吨/日 。</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37</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梅州市环保能源（生活垃圾焚烧）发电项目（二期）</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改扩建现有生活垃圾焚烧发电项目，新增处理规模500吨/天。</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2022—2025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6"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38</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梅州城区建筑废弃物资源化综合利用项目（西阳处理中心）</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新建一条建筑垃圾处理生产线、一条混凝土砌块生产线、配套设施包括建筑废弃物堆场、水暖配套设施等。西阳处理中心建成后年产30万吨再生砂、10万吨建筑用石、1亿块（拆标）混凝土砌块、100万吨可用于水泥厂掺合料、陶粒混凝土等其他制品骨料。</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2022—2025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39</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梅州城区建筑废弃物资源化综合利用项目（长沙处理中心）</w:t>
            </w:r>
          </w:p>
        </w:tc>
        <w:tc>
          <w:tcPr>
            <w:tcW w:w="6181" w:type="dxa"/>
            <w:shd w:val="clear" w:color="auto" w:fill="auto"/>
            <w:vAlign w:val="center"/>
          </w:tcPr>
          <w:p>
            <w:pPr>
              <w:widowControl/>
              <w:adjustRightInd w:val="0"/>
              <w:snapToGrid w:val="0"/>
              <w:spacing w:line="34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年处理150万吨建筑废弃物。建设泥浆、渣土处理生产线、建筑垃圾处理生产线、混凝土砌块生产线和两条新型墙体烧结砖（折标砖）生产线。</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17000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梅江区</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2020—2025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40</w:t>
            </w:r>
          </w:p>
        </w:tc>
        <w:tc>
          <w:tcPr>
            <w:tcW w:w="709" w:type="dxa"/>
            <w:vMerge w:val="restart"/>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固废</w:t>
            </w: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蕉岭县水泥窑硅铝铁质固废替代原（燃）料资源综合利用技改项目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建设30万吨/年水泥窑硅铝铁质固废替代原（燃）料产线，处理高铝废灰渣、高铁废灰渣等硅铝铁质固废。</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16000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41</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大埔县建筑淤泥渣土、建筑及陶瓷垃圾综合处理环保项目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新建建筑淤泥渣土、建筑垃圾、陶瓷垃圾堆场，主要进行资源化处理，年处理量约200万吨。</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42</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6"/>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6"/>
                <w:kern w:val="2"/>
                <w:sz w:val="24"/>
                <w:szCs w:val="24"/>
                <w14:textFill>
                  <w14:solidFill>
                    <w14:schemeClr w14:val="tx1"/>
                  </w14:solidFill>
                </w14:textFill>
              </w:rPr>
              <w:t>兴宁市畜禽养殖废弃物资源化利用</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对兴宁市规模以上畜禽养殖场废弃物资处理设施、设备进行升级改造。</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43</w:t>
            </w:r>
          </w:p>
        </w:tc>
        <w:tc>
          <w:tcPr>
            <w:tcW w:w="709" w:type="dxa"/>
            <w:vMerge w:val="continue"/>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6"/>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6"/>
                <w:kern w:val="2"/>
                <w:sz w:val="24"/>
                <w:szCs w:val="24"/>
                <w14:textFill>
                  <w14:solidFill>
                    <w14:schemeClr w14:val="tx1"/>
                  </w14:solidFill>
                </w14:textFill>
              </w:rPr>
              <w:t>兴宁市静脉产业园项目（二期工程）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餐厨垃圾处理厂建设规模为25吨/日；建筑垃圾消纳场建设规模为200立方米/日。</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16390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2025—2025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44</w:t>
            </w:r>
          </w:p>
        </w:tc>
        <w:tc>
          <w:tcPr>
            <w:tcW w:w="709" w:type="dxa"/>
            <w:vMerge w:val="restart"/>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农村</w:t>
            </w: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蕉岭县农村人居环境综合整治项目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实施农村生态环境保护基础设施建设，对农村大气、水体、土壤进行综合整治。</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蕉岭县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45</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大埔县三河镇乡村振兴示范区建设项目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围绕特色精品村标准的创建要求，实施连片农村环境综合整治、雨污分流工程建设、垃圾综合处理、公厕提升工程等。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46</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大埔县环境连片综合整治工程</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6"/>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6"/>
                <w:kern w:val="2"/>
                <w:sz w:val="24"/>
                <w:szCs w:val="24"/>
                <w14:textFill>
                  <w14:solidFill>
                    <w14:schemeClr w14:val="tx1"/>
                  </w14:solidFill>
                </w14:textFill>
              </w:rPr>
              <w:t>对大埔县百侯镇—枫朗镇—光德镇—高陂镇、湖寮镇双坑村—大安村—山子下村实施环境连片综合整治工程，主要包括环境综合整治、生活污水污水处理设施和截污管网建设工程、垃圾综合处理、农村道路综合提升工程等。</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47</w:t>
            </w:r>
          </w:p>
        </w:tc>
        <w:tc>
          <w:tcPr>
            <w:tcW w:w="709" w:type="dxa"/>
            <w:vMerge w:val="continue"/>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0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兴宁市宁中镇鸭桥村黑臭水体整治项目</w:t>
            </w:r>
          </w:p>
        </w:tc>
        <w:tc>
          <w:tcPr>
            <w:tcW w:w="6181" w:type="dxa"/>
            <w:shd w:val="clear" w:color="auto" w:fill="auto"/>
            <w:vAlign w:val="center"/>
          </w:tcPr>
          <w:p>
            <w:pPr>
              <w:widowControl/>
              <w:adjustRightInd w:val="0"/>
              <w:snapToGrid w:val="0"/>
              <w:spacing w:line="32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主要建设内容为水沟清淤工程、截污管网工程和污水处理工程。</w:t>
            </w:r>
          </w:p>
        </w:tc>
        <w:tc>
          <w:tcPr>
            <w:tcW w:w="1134"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350</w:t>
            </w:r>
          </w:p>
        </w:tc>
        <w:tc>
          <w:tcPr>
            <w:tcW w:w="1275"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w:t>
            </w:r>
          </w:p>
        </w:tc>
        <w:tc>
          <w:tcPr>
            <w:tcW w:w="993" w:type="dxa"/>
            <w:shd w:val="clear" w:color="auto" w:fill="auto"/>
            <w:vAlign w:val="center"/>
          </w:tcPr>
          <w:p>
            <w:pPr>
              <w:widowControl/>
              <w:adjustRightInd w:val="0"/>
              <w:snapToGrid w:val="0"/>
              <w:spacing w:line="32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2022—2025</w:t>
            </w:r>
          </w:p>
        </w:tc>
        <w:tc>
          <w:tcPr>
            <w:tcW w:w="1559" w:type="dxa"/>
            <w:shd w:val="clear" w:color="auto" w:fill="auto"/>
            <w:vAlign w:val="center"/>
          </w:tcPr>
          <w:p>
            <w:pPr>
              <w:widowControl/>
              <w:adjustRightInd w:val="0"/>
              <w:snapToGrid w:val="0"/>
              <w:spacing w:line="32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48</w:t>
            </w:r>
          </w:p>
        </w:tc>
        <w:tc>
          <w:tcPr>
            <w:tcW w:w="709" w:type="dxa"/>
            <w:vMerge w:val="restart"/>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生态</w:t>
            </w: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平远县矿山生态修复项目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⒈实施平远县东石废弃矿山生态修复工程；</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⒉对仁居五福石场、石正镇神子下石场、平远县华企稀土实业有限公司黄畲稀土矿、广东建艺石材有限公司木溪石场等20个露天矿山实施生态修复。</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45000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3"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49</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兴宁市矿山生态修复项目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⒈实施兴宁市铁山嶂废弃矿区生态综合治理修复工程；</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⒉实施大坪镇河岭矿区、黄塘矿区、社背坑矿区三个废弃稀土矿区整治修复。</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58000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兴宁市</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6"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丰顺县废弃稀土瓷土矿山生态恢复治理工程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八乡山镇马山村废弃稀土矿区和留隍镇长林村非法开采瓷土矿区开展开挖区和堆浸区场地平整、客土覆土、植树/喷播复绿、植被养护，实现矿山地质环境治理恢复面积10.05公顷。</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2300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8"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51</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五华县五华河、琴江河流域废弃矿山治理工程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对五华河与琴江流域范围内废弃稀土矿场和采石场开展土地整理、区域生态恢复、监测避让等工程，清理废弃矿场渣土和渣石，修复边坡和坡脚植被、铺设灌排系统等；对区域进行生态复绿，恢复山体生态功能。</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23000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5"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52</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大埔县矿山生态修复项目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⒈实施大埔县范围内7个乡镇共11个废弃石场、瓷土、稀土及金属矿山生态治理恢复；</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⒉实施大埔县茶阳石燕坑铅锌矿污染源整治及生态修复。</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12700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53</w:t>
            </w:r>
          </w:p>
        </w:tc>
        <w:tc>
          <w:tcPr>
            <w:tcW w:w="709" w:type="dxa"/>
            <w:vMerge w:val="restart"/>
            <w:shd w:val="clear" w:color="auto" w:fill="auto"/>
            <w:vAlign w:val="center"/>
          </w:tcPr>
          <w:p>
            <w:pPr>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生态</w:t>
            </w: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平远县自然保护地建设工程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⒈开展各类自然保护地勘界立标、科学考察及总体规划等基础工作，开展重点区域的生物多样性保护、栖息地保护和生态廊道恢复等工作。</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⒉实施河岭嶂市级自然保护区生态保护提升工程。</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⒊实施五指石地质公园环境保护建设工程。</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6900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平远县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54</w:t>
            </w:r>
          </w:p>
        </w:tc>
        <w:tc>
          <w:tcPr>
            <w:tcW w:w="709" w:type="dxa"/>
            <w:vMerge w:val="continue"/>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大埔县自然保护地建设工程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开展各类自然保护地勘界立标、科学考察及总体规划等基础工作，开展重点区域的生物多样性保护、栖息地保护和生态廊道恢复等工作。</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3400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大埔县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55</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丰顺县自然保护区管理建设</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完成6个自然保护区勘界立标、科学考察、总体规划项目。</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丰顺县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56</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森林抚育工程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实施森林抚育工程，开展人工纯林、桉树林、低效纯松林改造，建设高质量水源涵养林。</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57</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五华县牛肝地生态修复工程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通过多种技术措施，对牛肝土进行生态修复。</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8000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五华县</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2021—2023</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58</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崩岗治理工程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实施崩岗综合治理工程400座以上，完成相应水土流失治理任务。</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24000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59</w:t>
            </w:r>
          </w:p>
        </w:tc>
        <w:tc>
          <w:tcPr>
            <w:tcW w:w="709" w:type="dxa"/>
            <w:vMerge w:val="restart"/>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能力建设</w:t>
            </w: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环境监测基础能力建设工程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各县（市、区）监测站实验室升级改造，老旧仪器淘汰，监测仪器更新及购置，提升基础环境监测能力。</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60</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环境质量监测网络建设工程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完善梅州市生态环境监测网络，按要求优化调整地表水、大气、土壤和地下水、噪声等环境监测点位布设，开展监测、质控等工作。</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61</w:t>
            </w:r>
          </w:p>
        </w:tc>
        <w:tc>
          <w:tcPr>
            <w:tcW w:w="709" w:type="dxa"/>
            <w:vMerge w:val="restart"/>
            <w:shd w:val="clear" w:color="auto" w:fill="auto"/>
            <w:vAlign w:val="center"/>
          </w:tcPr>
          <w:p>
            <w:pPr>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能力建设</w:t>
            </w: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环境执法与应急能力建设工程</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开展执法能力建设、应急能力标准化建设等工作，主要包括执法设备、应急监测设备、应急装备更新及购置，提升环境执法与应急监测能力。</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9000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各县</w:t>
            </w:r>
          </w:p>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（市、区）</w:t>
            </w:r>
          </w:p>
        </w:tc>
        <w:tc>
          <w:tcPr>
            <w:tcW w:w="993" w:type="dxa"/>
            <w:shd w:val="clear" w:color="auto" w:fill="auto"/>
            <w:vAlign w:val="center"/>
          </w:tcPr>
          <w:p>
            <w:pPr>
              <w:widowControl/>
              <w:adjustRightInd w:val="0"/>
              <w:snapToGrid w:val="0"/>
              <w:spacing w:line="360" w:lineRule="exact"/>
              <w:ind w:firstLine="0" w:firstLineChars="0"/>
              <w:jc w:val="both"/>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5"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62</w:t>
            </w:r>
          </w:p>
        </w:tc>
        <w:tc>
          <w:tcPr>
            <w:tcW w:w="709" w:type="dxa"/>
            <w:vMerge w:val="continue"/>
            <w:shd w:val="clear" w:color="auto" w:fill="auto"/>
            <w:vAlign w:val="center"/>
          </w:tcPr>
          <w:p>
            <w:pPr>
              <w:adjustRightInd w:val="0"/>
              <w:snapToGrid w:val="0"/>
              <w:spacing w:line="360" w:lineRule="exact"/>
              <w:ind w:firstLine="47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环境大数据综合管理应用及环境预警综合管理系统建设</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2"/>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2"/>
                <w:kern w:val="2"/>
                <w:sz w:val="24"/>
                <w:szCs w:val="24"/>
                <w14:textFill>
                  <w14:solidFill>
                    <w14:schemeClr w14:val="tx1"/>
                  </w14:solidFill>
                </w14:textFill>
              </w:rPr>
              <w:t>整合现有水、大气、土壤、固废等生态环境管理平台，建设环境质量综合管理平台、生态视窗平台、污染物综合管理系统、污染防治可视化决策系统，提升智慧环保管理能力。</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3500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63</w:t>
            </w:r>
          </w:p>
        </w:tc>
        <w:tc>
          <w:tcPr>
            <w:tcW w:w="709" w:type="dxa"/>
            <w:vMerge w:val="continue"/>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大气环境监管能力提升</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⒈建设大气污染源综合管控平台；</w:t>
            </w:r>
          </w:p>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⒉建设</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天地车人</w:t>
            </w:r>
            <w:r>
              <w:rPr>
                <w:rFonts w:hint="eastAsia" w:ascii="Times New Roman" w:hAnsi="Times New Roman" w:eastAsia="文星仿宋" w:cs="Times New Roman"/>
                <w:color w:val="000000" w:themeColor="text1"/>
                <w:spacing w:val="0"/>
                <w:kern w:val="2"/>
                <w:sz w:val="24"/>
                <w:szCs w:val="24"/>
                <w:lang w:eastAsia="zh-CN"/>
                <w14:textFill>
                  <w14:solidFill>
                    <w14:schemeClr w14:val="tx1"/>
                  </w14:solidFill>
                </w14:textFill>
              </w:rPr>
              <w:t>”</w:t>
            </w: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一体化机动车排放监控系统。</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7600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2021—2025</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64</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广东梅州经济开发区环保基础设施—重点企业废气监管平台项目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建设广东梅州经济开发区重点企业废气排放在线监管平台，并涵盖后续平台升级维护。</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1000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65</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4"/>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4"/>
                <w:kern w:val="2"/>
                <w:sz w:val="24"/>
                <w:szCs w:val="24"/>
                <w14:textFill>
                  <w14:solidFill>
                    <w14:schemeClr w14:val="tx1"/>
                  </w14:solidFill>
                </w14:textFill>
              </w:rPr>
              <w:t>梅州市核与辐射监测能力建设项目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购买专业辐射监测相关仪器以及辐射防护设备和设备维护、专业技术人员培训等</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500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67"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66</w:t>
            </w:r>
          </w:p>
        </w:tc>
        <w:tc>
          <w:tcPr>
            <w:tcW w:w="709" w:type="dxa"/>
            <w:vMerge w:val="continue"/>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p>
        </w:tc>
        <w:tc>
          <w:tcPr>
            <w:tcW w:w="204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梅州市电磁环境质量现状调查及优化布点项目</w:t>
            </w:r>
          </w:p>
        </w:tc>
        <w:tc>
          <w:tcPr>
            <w:tcW w:w="6181" w:type="dxa"/>
            <w:shd w:val="clear" w:color="auto" w:fill="auto"/>
            <w:vAlign w:val="center"/>
          </w:tcPr>
          <w:p>
            <w:pPr>
              <w:widowControl/>
              <w:adjustRightInd w:val="0"/>
              <w:snapToGrid w:val="0"/>
              <w:spacing w:line="360" w:lineRule="exact"/>
              <w:ind w:firstLine="0" w:firstLineChars="0"/>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对可能存在电磁辐射污染的点位如广播电视发射台、移动通信基站、高压输电线路系统、工科医电磁设施等的周围进行电磁环境质量调查。</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300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梅州市</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2021—2022</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color w:val="000000" w:themeColor="text1"/>
                <w:spacing w:val="0"/>
                <w:kern w:val="2"/>
                <w:sz w:val="24"/>
                <w:szCs w:val="24"/>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trPr>
        <w:tc>
          <w:tcPr>
            <w:tcW w:w="9498" w:type="dxa"/>
            <w:gridSpan w:val="4"/>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t>合计</w:t>
            </w:r>
          </w:p>
        </w:tc>
        <w:tc>
          <w:tcPr>
            <w:tcW w:w="1134"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t>1139520</w:t>
            </w:r>
          </w:p>
        </w:tc>
        <w:tc>
          <w:tcPr>
            <w:tcW w:w="1275"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t>/</w:t>
            </w:r>
          </w:p>
        </w:tc>
        <w:tc>
          <w:tcPr>
            <w:tcW w:w="993"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pPr>
            <w: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t>/</w:t>
            </w:r>
          </w:p>
        </w:tc>
        <w:tc>
          <w:tcPr>
            <w:tcW w:w="1559" w:type="dxa"/>
            <w:shd w:val="clear" w:color="auto" w:fill="auto"/>
            <w:vAlign w:val="center"/>
          </w:tcPr>
          <w:p>
            <w:pPr>
              <w:widowControl/>
              <w:adjustRightInd w:val="0"/>
              <w:snapToGrid w:val="0"/>
              <w:spacing w:line="360" w:lineRule="exact"/>
              <w:ind w:firstLine="0" w:firstLineChars="0"/>
              <w:jc w:val="center"/>
              <w:rPr>
                <w:rFonts w:hint="default" w:ascii="Times New Roman" w:hAnsi="Times New Roman" w:eastAsia="文星仿宋" w:cs="Times New Roman"/>
                <w:bCs/>
                <w:color w:val="000000" w:themeColor="text1"/>
                <w:spacing w:val="0"/>
                <w:kern w:val="2"/>
                <w:sz w:val="24"/>
                <w:szCs w:val="24"/>
                <w14:textFill>
                  <w14:solidFill>
                    <w14:schemeClr w14:val="tx1"/>
                  </w14:solidFill>
                </w14:textFill>
              </w:rPr>
            </w:pPr>
          </w:p>
        </w:tc>
      </w:tr>
    </w:tbl>
    <w:p>
      <w:pPr>
        <w:spacing w:line="360" w:lineRule="exact"/>
        <w:ind w:firstLine="670"/>
        <w:rPr>
          <w:szCs w:val="32"/>
        </w:rPr>
      </w:pPr>
    </w:p>
    <w:p/>
    <w:sectPr>
      <w:endnotePr>
        <w:numFmt w:val="decimal"/>
      </w:endnotePr>
      <w:pgSz w:w="16840" w:h="11907" w:orient="landscape"/>
      <w:pgMar w:top="1588" w:right="2155" w:bottom="1474" w:left="1928" w:header="567" w:footer="124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72"/>
      </w:pPr>
      <w:r>
        <w:separator/>
      </w:r>
    </w:p>
  </w:endnote>
  <w:endnote w:type="continuationSeparator" w:id="1">
    <w:p>
      <w:pPr>
        <w:ind w:firstLine="6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穝灿砰">
    <w:altName w:val="宋体"/>
    <w:panose1 w:val="00000000000000000000"/>
    <w:charset w:val="01"/>
    <w:family w:val="auto"/>
    <w:pitch w:val="default"/>
    <w:sig w:usb0="00000000" w:usb1="00000000" w:usb2="00000000" w:usb3="00000000" w:csb0="00040001" w:csb1="00000000"/>
  </w:font>
  <w:font w:name="文星楷体">
    <w:altName w:val="宋体"/>
    <w:panose1 w:val="02010609000101010101"/>
    <w:charset w:val="86"/>
    <w:family w:val="modern"/>
    <w:pitch w:val="default"/>
    <w:sig w:usb0="00000000" w:usb1="00000000" w:usb2="00000000" w:usb3="00000000" w:csb0="00040000" w:csb1="00000000"/>
  </w:font>
  <w:font w:name="文星标宋">
    <w:altName w:val="微软雅黑"/>
    <w:panose1 w:val="02010609000101010101"/>
    <w:charset w:val="86"/>
    <w:family w:val="modern"/>
    <w:pitch w:val="default"/>
    <w:sig w:usb0="00000000" w:usb1="00000000" w:usb2="00000000" w:usb3="00000000" w:csb0="00040000" w:csb1="00000000"/>
  </w:font>
  <w:font w:name="文星黑体">
    <w:altName w:val="黑体"/>
    <w:panose1 w:val="02010609000101010101"/>
    <w:charset w:val="86"/>
    <w:family w:val="modern"/>
    <w:pitch w:val="default"/>
    <w:sig w:usb0="00000000" w:usb1="00000000" w:usb2="00000000" w:usb3="00000000" w:csb0="00040000" w:csb1="00000000"/>
  </w:font>
  <w:font w:name="文星仿宋">
    <w:altName w:val="仿宋"/>
    <w:panose1 w:val="0201060900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72"/>
      </w:pPr>
      <w:r>
        <w:separator/>
      </w:r>
    </w:p>
  </w:footnote>
  <w:footnote w:type="continuationSeparator" w:id="1">
    <w:p>
      <w:pPr>
        <w:ind w:firstLine="67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C4EF2"/>
    <w:rsid w:val="0B2C4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1" w:firstLineChars="200"/>
    </w:pPr>
    <w:rPr>
      <w:rFonts w:ascii="Times New Roman" w:hAnsi="Times New Roman" w:eastAsia="宋体" w:cs="Times New Roman"/>
      <w:spacing w:val="10"/>
      <w:sz w:val="32"/>
      <w:lang w:val="en-US" w:eastAsia="zh-CN" w:bidi="ar-SA"/>
    </w:rPr>
  </w:style>
  <w:style w:type="paragraph" w:styleId="2">
    <w:name w:val="heading 1"/>
    <w:basedOn w:val="1"/>
    <w:next w:val="1"/>
    <w:qFormat/>
    <w:uiPriority w:val="0"/>
    <w:pPr>
      <w:spacing w:before="104" w:after="104" w:line="0" w:lineRule="atLeast"/>
      <w:ind w:firstLine="0" w:firstLineChars="0"/>
      <w:jc w:val="center"/>
      <w:outlineLvl w:val="0"/>
    </w:pPr>
    <w:rPr>
      <w:rFonts w:ascii="Arial" w:hAnsi="Arial" w:eastAsia="穝灿砰"/>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2022-04-01T07:22:00Z</dcterms:created>
  <dc:creator>九不理</dc:creator>
  <cp:lastModifiedBy>九不理</cp:lastModifiedBy>
  <dcterms:modified xsi:type="dcterms:W3CDTF">2022-04-01T07:23:34Z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D77E9CF1E2CF4361979C2AD973EE98A8</vt:lpwstr>
  </property>
</Properties>
</file>