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附件5</w:t>
      </w:r>
    </w:p>
    <w:p>
      <w:pPr>
        <w:spacing w:line="48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五华县坟墓迁移补偿标准</w:t>
      </w:r>
      <w:bookmarkEnd w:id="0"/>
    </w:p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7"/>
        <w:gridCol w:w="1306"/>
        <w:gridCol w:w="1612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类别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单位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补偿标准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有石碑堂大灰坟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（正面宽度2.5米以上）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8400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属大型规格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有石碑堂中灰坟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（正面宽度2-2.5米）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5600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属中型规格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有石碑堂小灰坟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（正面宽度2米以下）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4200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属小型规格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无石碑大灰坟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（正面宽度2.5米以上）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属大型规格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无石碑中灰坟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（正面宽度2-2.5米）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2800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属中型规格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187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无石碑小灰坟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（正面宽度2米以下）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属小型规格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祖坟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25200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2000年</w:t>
            </w:r>
            <w:r>
              <w:rPr>
                <w:rFonts w:hint="default" w:ascii="Times New Roman" w:hAnsi="Times New Roman" w:cs="Times New Roman"/>
                <w:szCs w:val="21"/>
              </w:rPr>
              <w:t>殡葬改革实施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之前已建成的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有石碑土坟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无石碑土坟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元/座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1150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骨坛（金神）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元/个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800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鬼屋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元/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个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500~800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阴亭（庙宇）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元/平方米</w:t>
            </w:r>
          </w:p>
        </w:tc>
        <w:tc>
          <w:tcPr>
            <w:tcW w:w="94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600</w:t>
            </w:r>
          </w:p>
        </w:tc>
        <w:tc>
          <w:tcPr>
            <w:tcW w:w="141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1.5米以上，有建筑物</w:t>
            </w:r>
          </w:p>
        </w:tc>
      </w:tr>
    </w:tbl>
    <w:p>
      <w:pPr>
        <w:spacing w:line="360" w:lineRule="exact"/>
        <w:ind w:left="420" w:hanging="420" w:hangingChars="200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注：在规定时间内完成迁坟的，按如下标准给予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奖励</w:t>
      </w:r>
      <w:r>
        <w:rPr>
          <w:rFonts w:hint="default" w:ascii="Times New Roman" w:hAnsi="Times New Roman" w:eastAsia="宋体" w:cs="Times New Roman"/>
          <w:szCs w:val="21"/>
        </w:rPr>
        <w:t>：</w:t>
      </w:r>
    </w:p>
    <w:p>
      <w:pPr>
        <w:spacing w:line="360" w:lineRule="exact"/>
        <w:ind w:left="420" w:leftChars="200" w:firstLine="0" w:firstLineChars="0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1.有石碑大、中、小灰坟按每米1800元给予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奖励</w:t>
      </w:r>
      <w:r>
        <w:rPr>
          <w:rFonts w:hint="default" w:ascii="Times New Roman" w:hAnsi="Times New Roman" w:eastAsia="宋体" w:cs="Times New Roman"/>
          <w:szCs w:val="21"/>
        </w:rPr>
        <w:t>；</w:t>
      </w:r>
    </w:p>
    <w:p>
      <w:pPr>
        <w:spacing w:line="360" w:lineRule="exact"/>
        <w:ind w:left="420" w:leftChars="200" w:firstLine="0" w:firstLineChars="0"/>
        <w:rPr>
          <w:rFonts w:hint="default" w:ascii="Times New Roman" w:hAnsi="Times New Roman" w:eastAsia="宋体" w:cs="Times New Roman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Cs w:val="21"/>
        </w:rPr>
        <w:t>2.无石碑大、中、小灰坟按每米600元给予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奖励</w:t>
      </w:r>
      <w:r>
        <w:rPr>
          <w:rFonts w:hint="default" w:ascii="Times New Roman" w:hAnsi="Times New Roman" w:eastAsia="宋体" w:cs="Times New Roman"/>
          <w:szCs w:val="21"/>
          <w:lang w:eastAsia="zh-CN"/>
        </w:rPr>
        <w:t>；</w:t>
      </w:r>
    </w:p>
    <w:p>
      <w:pPr>
        <w:spacing w:line="360" w:lineRule="exact"/>
        <w:ind w:left="420" w:leftChars="200" w:firstLine="0" w:firstLineChars="0"/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szCs w:val="21"/>
          <w:highlight w:val="none"/>
          <w:lang w:eastAsia="zh-CN"/>
        </w:rPr>
        <w:t>鬼屋、阴亭按每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个200元给予</w:t>
      </w:r>
      <w:r>
        <w:rPr>
          <w:rFonts w:hint="default" w:ascii="Times New Roman" w:hAnsi="Times New Roman" w:eastAsia="宋体" w:cs="Times New Roman"/>
          <w:szCs w:val="21"/>
          <w:lang w:val="en-US" w:eastAsia="zh-CN"/>
        </w:rPr>
        <w:t>奖励</w:t>
      </w:r>
      <w:r>
        <w:rPr>
          <w:rFonts w:hint="default" w:ascii="Times New Roman" w:hAnsi="Times New Roman" w:eastAsia="宋体" w:cs="Times New Roman"/>
          <w:szCs w:val="21"/>
          <w:highlight w:val="none"/>
          <w:lang w:val="en-US" w:eastAsia="zh-CN"/>
        </w:rPr>
        <w:t>。</w:t>
      </w:r>
    </w:p>
    <w:p>
      <w:pPr>
        <w:spacing w:line="280" w:lineRule="exact"/>
        <w:rPr>
          <w:rFonts w:hint="default" w:ascii="Times New Roman" w:hAnsi="Times New Roman" w:eastAsia="仿宋_GB2312" w:cs="Times New Roman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2E600765"/>
    <w:rsid w:val="2E60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2022-08-26T03:13:00Z</dcterms:created>
  <dc:creator>chenyl</dc:creator>
  <cp:lastModifiedBy>chenyl</cp:lastModifiedBy>
  <dcterms:modified xsi:type="dcterms:W3CDTF">2022-08-26T03:13:37Z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70F46572A0D94B5B87D37FC1D5F5F9F6</vt:lpwstr>
  </property>
</Properties>
</file>