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Style w:val="5"/>
          <w:rFonts w:hint="eastAsia" w:ascii="微软雅黑" w:hAnsi="微软雅黑" w:eastAsia="微软雅黑" w:cs="微软雅黑"/>
          <w:i w:val="0"/>
          <w:iCs w:val="0"/>
          <w:caps w:val="0"/>
          <w:color w:val="424242"/>
          <w:spacing w:val="0"/>
          <w:sz w:val="27"/>
          <w:szCs w:val="27"/>
          <w:shd w:val="clear" w:fill="FFFFFF"/>
          <w:lang w:val="en-US" w:eastAsia="zh-CN"/>
        </w:rPr>
      </w:pPr>
      <w:r>
        <w:rPr>
          <w:rStyle w:val="5"/>
          <w:rFonts w:hint="eastAsia" w:ascii="微软雅黑" w:hAnsi="微软雅黑" w:eastAsia="微软雅黑" w:cs="微软雅黑"/>
          <w:i w:val="0"/>
          <w:iCs w:val="0"/>
          <w:caps w:val="0"/>
          <w:color w:val="424242"/>
          <w:spacing w:val="0"/>
          <w:sz w:val="32"/>
          <w:szCs w:val="32"/>
          <w:shd w:val="clear" w:fill="FFFFFF"/>
          <w:lang w:eastAsia="zh-CN"/>
        </w:rPr>
        <w:t>梅州市</w:t>
      </w:r>
      <w:r>
        <w:rPr>
          <w:rStyle w:val="5"/>
          <w:rFonts w:hint="eastAsia" w:ascii="微软雅黑" w:hAnsi="微软雅黑" w:eastAsia="微软雅黑" w:cs="微软雅黑"/>
          <w:i w:val="0"/>
          <w:iCs w:val="0"/>
          <w:caps w:val="0"/>
          <w:color w:val="424242"/>
          <w:spacing w:val="0"/>
          <w:sz w:val="32"/>
          <w:szCs w:val="32"/>
          <w:shd w:val="clear" w:fill="FFFFFF"/>
        </w:rPr>
        <w:t>市场监督管理</w:t>
      </w:r>
      <w:r>
        <w:rPr>
          <w:rStyle w:val="5"/>
          <w:rFonts w:hint="eastAsia" w:ascii="微软雅黑" w:hAnsi="微软雅黑" w:eastAsia="微软雅黑" w:cs="微软雅黑"/>
          <w:i w:val="0"/>
          <w:iCs w:val="0"/>
          <w:caps w:val="0"/>
          <w:color w:val="424242"/>
          <w:spacing w:val="0"/>
          <w:sz w:val="32"/>
          <w:szCs w:val="32"/>
          <w:shd w:val="clear" w:fill="FFFFFF"/>
          <w:lang w:eastAsia="zh-CN"/>
        </w:rPr>
        <w:t>领域</w:t>
      </w:r>
      <w:r>
        <w:rPr>
          <w:rStyle w:val="5"/>
          <w:rFonts w:hint="eastAsia" w:ascii="微软雅黑" w:hAnsi="微软雅黑" w:eastAsia="微软雅黑" w:cs="微软雅黑"/>
          <w:i w:val="0"/>
          <w:iCs w:val="0"/>
          <w:caps w:val="0"/>
          <w:color w:val="424242"/>
          <w:spacing w:val="0"/>
          <w:sz w:val="32"/>
          <w:szCs w:val="32"/>
          <w:shd w:val="clear" w:fill="FFFFFF"/>
        </w:rPr>
        <w:t>行政执法减免责清单</w:t>
      </w:r>
      <w:r>
        <w:rPr>
          <w:rStyle w:val="5"/>
          <w:rFonts w:hint="eastAsia" w:ascii="微软雅黑" w:hAnsi="微软雅黑" w:eastAsia="微软雅黑" w:cs="微软雅黑"/>
          <w:i w:val="0"/>
          <w:iCs w:val="0"/>
          <w:caps w:val="0"/>
          <w:color w:val="424242"/>
          <w:spacing w:val="0"/>
          <w:sz w:val="32"/>
          <w:szCs w:val="32"/>
          <w:shd w:val="clear" w:fill="FFFFFF"/>
          <w:lang w:eastAsia="zh-CN"/>
        </w:rPr>
        <w:t>（</w:t>
      </w:r>
      <w:r>
        <w:rPr>
          <w:rStyle w:val="5"/>
          <w:rFonts w:hint="eastAsia" w:ascii="微软雅黑" w:hAnsi="微软雅黑" w:eastAsia="微软雅黑" w:cs="微软雅黑"/>
          <w:i w:val="0"/>
          <w:iCs w:val="0"/>
          <w:caps w:val="0"/>
          <w:color w:val="424242"/>
          <w:spacing w:val="0"/>
          <w:sz w:val="32"/>
          <w:szCs w:val="32"/>
          <w:shd w:val="clear" w:fill="FFFFFF"/>
          <w:lang w:val="en-US" w:eastAsia="zh-CN"/>
        </w:rPr>
        <w:t>2022年版）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both"/>
        <w:rPr>
          <w:rStyle w:val="5"/>
          <w:rFonts w:hint="default" w:ascii="微软雅黑" w:hAnsi="微软雅黑" w:eastAsia="微软雅黑" w:cs="微软雅黑"/>
          <w:i w:val="0"/>
          <w:iCs w:val="0"/>
          <w:caps w:val="0"/>
          <w:color w:val="424242"/>
          <w:spacing w:val="0"/>
          <w:sz w:val="27"/>
          <w:szCs w:val="27"/>
          <w:shd w:val="clear" w:fill="FFFFFF"/>
          <w:lang w:val="en-US" w:eastAsia="zh-CN"/>
        </w:rPr>
      </w:pPr>
      <w:r>
        <w:rPr>
          <w:rStyle w:val="5"/>
          <w:rFonts w:hint="eastAsia" w:ascii="微软雅黑" w:hAnsi="微软雅黑" w:eastAsia="微软雅黑" w:cs="微软雅黑"/>
          <w:i w:val="0"/>
          <w:iCs w:val="0"/>
          <w:caps w:val="0"/>
          <w:color w:val="424242"/>
          <w:spacing w:val="0"/>
          <w:sz w:val="27"/>
          <w:szCs w:val="27"/>
          <w:shd w:val="clear" w:fill="FFFFFF"/>
          <w:lang w:val="en-US" w:eastAsia="zh-CN"/>
        </w:rPr>
        <w:t xml:space="preserve">                                        （征求意见稿）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b/>
          <w:bCs w:val="0"/>
          <w:i w:val="0"/>
          <w:iCs w:val="0"/>
          <w:caps w:val="0"/>
          <w:color w:val="424242"/>
          <w:spacing w:val="0"/>
          <w:sz w:val="27"/>
          <w:szCs w:val="27"/>
          <w:lang w:val="en-US" w:eastAsia="zh-CN"/>
        </w:rPr>
      </w:pP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免处罚</w:t>
      </w: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清单</w:t>
      </w:r>
      <w:r>
        <w:rPr>
          <w:rStyle w:val="5"/>
          <w:rFonts w:hint="eastAsia" w:ascii="微软雅黑" w:hAnsi="微软雅黑" w:eastAsia="微软雅黑" w:cs="微软雅黑"/>
          <w:b/>
          <w:bCs w:val="0"/>
          <w:i w:val="0"/>
          <w:iCs w:val="0"/>
          <w:caps w:val="0"/>
          <w:color w:val="424242"/>
          <w:spacing w:val="0"/>
          <w:sz w:val="27"/>
          <w:szCs w:val="27"/>
          <w:shd w:val="clear" w:fill="FFFFFF"/>
          <w:lang w:eastAsia="zh-CN"/>
        </w:rPr>
        <w:t>（市局拟增加的项目）</w:t>
      </w:r>
    </w:p>
    <w:tbl>
      <w:tblPr>
        <w:tblStyle w:val="3"/>
        <w:tblW w:w="13382"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10"/>
        <w:gridCol w:w="2262"/>
        <w:gridCol w:w="1290"/>
        <w:gridCol w:w="3360"/>
        <w:gridCol w:w="2970"/>
        <w:gridCol w:w="1669"/>
        <w:gridCol w:w="132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序号</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事项名称</w:t>
            </w: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基本编码</w:t>
            </w: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设定依据</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适用情形</w:t>
            </w: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Style w:val="5"/>
                <w:color w:val="424242"/>
              </w:rPr>
            </w:pPr>
            <w:r>
              <w:rPr>
                <w:rStyle w:val="5"/>
                <w:color w:val="424242"/>
              </w:rPr>
              <w:t>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依据</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Style w:val="5"/>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2154" w:hRule="atLeast"/>
        </w:trPr>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市场主体未依照《市场主体登记管理条例》办理变更登</w:t>
            </w:r>
          </w:p>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《市场主体登记管理条例》第二十四条、第</w:t>
            </w:r>
            <w:bookmarkStart w:id="0" w:name="_GoBack"/>
            <w:bookmarkEnd w:id="0"/>
            <w:r>
              <w:rPr>
                <w:rFonts w:hint="eastAsia" w:ascii="宋体" w:hAnsi="宋体" w:eastAsia="宋体" w:cs="宋体"/>
                <w:sz w:val="24"/>
                <w:szCs w:val="24"/>
                <w:lang w:val="en-US" w:eastAsia="zh-CN"/>
              </w:rPr>
              <w:t>四十六条。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color w:val="424242"/>
              </w:rPr>
            </w:pPr>
            <w:r>
              <w:rPr>
                <w:rFonts w:hint="eastAsia" w:ascii="宋体" w:hAnsi="宋体" w:eastAsia="宋体" w:cs="宋体"/>
                <w:sz w:val="24"/>
                <w:szCs w:val="24"/>
                <w:lang w:val="en-US" w:eastAsia="zh-CN"/>
              </w:rPr>
              <w:t>首次被发现此类违法行为，立即自行改正或在行政机关责令改正的期限内改正。</w:t>
            </w: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《市场主体登记管理条例》第四十六条，《行政处罚法》第三十三条。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2469" w:hRule="atLeast"/>
        </w:trPr>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市场主体未依照《市场主体登记管理条例》办理备案的。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《市场主体登记管理条例》第二十九条、第四十九条。</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color w:val="424242"/>
              </w:rPr>
            </w:pPr>
            <w:r>
              <w:rPr>
                <w:rFonts w:hint="eastAsia" w:ascii="宋体" w:hAnsi="宋体" w:eastAsia="宋体" w:cs="宋体"/>
                <w:sz w:val="24"/>
                <w:szCs w:val="24"/>
                <w:lang w:val="en-US" w:eastAsia="zh-CN"/>
              </w:rPr>
              <w:t>首次被发现此类违法行为，立即自行改正或在行政机关责令改正的期限内改正。</w:t>
            </w: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《市场主体登记管理条例》第四十九条，《行政处罚法》第三十三条。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6675" w:hRule="atLeast"/>
        </w:trPr>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企业（含个体户）超范围经营开展非许可类经营活动的。</w:t>
            </w: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《市场主体登记管理条例》第二十四条、第四十六条。</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首次被发现此类违法行为，立即自行改正或在行政机关责令改正的期限内改正。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《国务院关于深化“证照分离”改革进一步激发市场主体活力的通知》（国发[2021]7号）第三条第（二）项，《市场主体登记管理条例》第四十六条，《行政处罚法》第三十三条。</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3435" w:hRule="atLeast"/>
        </w:trPr>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sz w:val="24"/>
                <w:szCs w:val="24"/>
                <w:lang w:val="en-US" w:eastAsia="zh-CN"/>
              </w:rPr>
            </w:pPr>
            <w:r>
              <w:rPr>
                <w:rFonts w:hint="eastAsia" w:ascii="宋体" w:hAnsi="宋体" w:eastAsia="宋体" w:cs="宋体"/>
                <w:b w:val="0"/>
                <w:bCs w:val="0"/>
                <w:color w:val="auto"/>
                <w:sz w:val="24"/>
                <w:szCs w:val="24"/>
                <w:lang w:val="zh-TW" w:eastAsia="zh-TW" w:bidi="zh-TW"/>
              </w:rPr>
              <w:t>经营者未依法取得营业执照从事经营活动</w:t>
            </w:r>
            <w:r>
              <w:rPr>
                <w:rFonts w:hint="eastAsia" w:ascii="宋体" w:hAnsi="宋体" w:eastAsia="宋体" w:cs="宋体"/>
                <w:b w:val="0"/>
                <w:bCs w:val="0"/>
                <w:color w:val="auto"/>
                <w:sz w:val="24"/>
                <w:szCs w:val="24"/>
                <w:lang w:val="zh-TW" w:eastAsia="zh-CN" w:bidi="zh-TW"/>
              </w:rPr>
              <w:t>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sz w:val="24"/>
                <w:szCs w:val="24"/>
                <w:lang w:val="en-US" w:eastAsia="zh-CN"/>
              </w:rPr>
              <w:t>《市场主体登记管理条例》第三条、第四十三条。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zh-TW" w:eastAsia="zh-CN" w:bidi="zh-TW"/>
              </w:rPr>
            </w:pPr>
            <w:r>
              <w:rPr>
                <w:rFonts w:hint="eastAsia" w:ascii="宋体" w:hAnsi="宋体" w:eastAsia="宋体" w:cs="宋体"/>
                <w:sz w:val="24"/>
                <w:szCs w:val="24"/>
                <w:lang w:val="en-US" w:eastAsia="zh-CN"/>
              </w:rPr>
              <w:t>首次被发现此类违法行为，</w:t>
            </w:r>
            <w:r>
              <w:rPr>
                <w:rFonts w:hint="eastAsia" w:ascii="宋体" w:hAnsi="宋体" w:eastAsia="宋体" w:cs="宋体"/>
                <w:b w:val="0"/>
                <w:bCs w:val="0"/>
                <w:color w:val="auto"/>
                <w:sz w:val="24"/>
                <w:szCs w:val="24"/>
                <w:lang w:val="zh-TW" w:eastAsia="zh-CN" w:bidi="zh-TW"/>
              </w:rPr>
              <w:t>不涉及危及人身、财产安全、公共安全，</w:t>
            </w:r>
            <w:r>
              <w:rPr>
                <w:rFonts w:hint="eastAsia" w:ascii="宋体" w:hAnsi="宋体" w:eastAsia="宋体" w:cs="宋体"/>
                <w:sz w:val="24"/>
                <w:szCs w:val="24"/>
                <w:lang w:val="en-US" w:eastAsia="zh-CN"/>
              </w:rPr>
              <w:t>立即自行改正或在行政机关责令改正的期限内改正</w:t>
            </w:r>
            <w:r>
              <w:rPr>
                <w:rFonts w:hint="eastAsia" w:ascii="宋体" w:hAnsi="宋体" w:eastAsia="宋体" w:cs="宋体"/>
                <w:b w:val="0"/>
                <w:bCs w:val="0"/>
                <w:color w:val="auto"/>
                <w:sz w:val="24"/>
                <w:szCs w:val="24"/>
                <w:lang w:val="zh-TW" w:eastAsia="zh-CN" w:bidi="zh-TW"/>
              </w:rPr>
              <w:t>，没有造成危害后果的</w:t>
            </w:r>
            <w:r>
              <w:rPr>
                <w:rFonts w:hint="eastAsia" w:ascii="宋体" w:hAnsi="宋体" w:eastAsia="宋体" w:cs="宋体"/>
                <w:b/>
                <w:bCs/>
                <w:color w:val="auto"/>
                <w:sz w:val="24"/>
                <w:szCs w:val="24"/>
                <w:lang w:val="zh-TW" w:eastAsia="zh-CN" w:bidi="zh-TW"/>
              </w:rPr>
              <w:t>，</w:t>
            </w:r>
            <w:r>
              <w:rPr>
                <w:rFonts w:hint="eastAsia" w:ascii="宋体" w:hAnsi="宋体" w:eastAsia="宋体" w:cs="宋体"/>
                <w:b w:val="0"/>
                <w:bCs w:val="0"/>
                <w:color w:val="auto"/>
                <w:sz w:val="24"/>
                <w:szCs w:val="24"/>
                <w:lang w:val="zh-TW" w:eastAsia="zh-CN" w:bidi="zh-TW"/>
              </w:rPr>
              <w:t>或者首次</w:t>
            </w:r>
            <w:r>
              <w:rPr>
                <w:rFonts w:hint="eastAsia" w:ascii="宋体" w:hAnsi="宋体" w:eastAsia="宋体" w:cs="宋体"/>
                <w:sz w:val="24"/>
                <w:szCs w:val="24"/>
                <w:lang w:val="en-US" w:eastAsia="zh-CN"/>
              </w:rPr>
              <w:t>被发现此类违法行为，</w:t>
            </w:r>
            <w:r>
              <w:rPr>
                <w:rFonts w:hint="eastAsia" w:ascii="宋体" w:hAnsi="宋体" w:eastAsia="宋体" w:cs="宋体"/>
                <w:b w:val="0"/>
                <w:bCs w:val="0"/>
                <w:color w:val="auto"/>
                <w:sz w:val="24"/>
                <w:szCs w:val="24"/>
                <w:lang w:val="zh-TW" w:eastAsia="zh-TW" w:bidi="zh-TW"/>
              </w:rPr>
              <w:t>已提交申请营业执照材料</w:t>
            </w:r>
            <w:r>
              <w:rPr>
                <w:rFonts w:hint="eastAsia" w:ascii="宋体" w:hAnsi="宋体" w:eastAsia="宋体" w:cs="宋体"/>
                <w:b w:val="0"/>
                <w:bCs w:val="0"/>
                <w:color w:val="auto"/>
                <w:sz w:val="24"/>
                <w:szCs w:val="24"/>
                <w:lang w:val="zh-TW" w:eastAsia="zh-CN" w:bidi="zh-TW"/>
              </w:rPr>
              <w:t>和符合办照条件，没有造成危害后果的。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b w:val="0"/>
                <w:bCs w:val="0"/>
                <w:color w:val="auto"/>
                <w:sz w:val="24"/>
                <w:szCs w:val="24"/>
                <w:lang w:val="zh-TW" w:eastAsia="zh-CN" w:bidi="zh-TW"/>
              </w:rPr>
              <w:t>《行政处罚法》第</w:t>
            </w:r>
            <w:r>
              <w:rPr>
                <w:rFonts w:hint="eastAsia" w:ascii="宋体" w:hAnsi="宋体" w:eastAsia="宋体" w:cs="宋体"/>
                <w:b w:val="0"/>
                <w:bCs w:val="0"/>
                <w:color w:val="auto"/>
                <w:sz w:val="24"/>
                <w:szCs w:val="24"/>
                <w:lang w:val="en-US" w:eastAsia="zh-CN" w:bidi="zh-TW"/>
              </w:rPr>
              <w:t>五条第（二）款和第三十三条。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1563" w:hRule="atLeast"/>
        </w:trPr>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5</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b w:val="0"/>
                <w:bCs w:val="0"/>
                <w:color w:val="auto"/>
                <w:sz w:val="24"/>
                <w:szCs w:val="24"/>
                <w:lang w:val="en-US" w:eastAsia="zh-CN" w:bidi="zh-TW"/>
              </w:rPr>
              <w:t>市场主体（不含从事电子商务经营平台经营者）未将营业执照置于住所或者主要经营场所醒目位置的。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《市场主体登记管理条例》第三十六条、第四十八条第一款。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首次被发现此类违法行为，立即自行改正或在行政机关责令改正的期限内改正。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《行政处罚法》第三十三条。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6</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电子商务经营者（不含电子商务平台经营者）未在首页显著位置公示营业执照信息、行政许可信息、属于不需要办理市场主体登记情形等信息，或者上述信息的链接标识的。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《电子商务法》第十五条、第七十六条第一款第（一）项。</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首次被发现此类违法行为，立即自行改正或在行政机关责令改正的期限内改正，未造成危害后果的。</w:t>
            </w: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7</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b w:val="0"/>
                <w:bCs w:val="0"/>
                <w:color w:val="auto"/>
                <w:sz w:val="24"/>
                <w:szCs w:val="24"/>
                <w:lang w:val="en-US" w:eastAsia="zh-CN" w:bidi="zh-TW"/>
              </w:rPr>
              <w:t>经营者未在格变动时及时调整标价内容，未做到价签价目齐全、标价内容明确、字迹清晰、货签对位、标识醒目。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《关于商品和服务实行明码标价的规定》第九条、第十六条、第二十一条第一款第（二）项。</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首次被发现此类违法行为，非主观故意，立即自行改正或在行政机关责令改正的期限内改正</w:t>
            </w:r>
            <w:r>
              <w:rPr>
                <w:rFonts w:hint="eastAsia" w:ascii="宋体" w:hAnsi="宋体" w:eastAsia="宋体" w:cs="宋体"/>
                <w:b w:val="0"/>
                <w:bCs w:val="0"/>
                <w:color w:val="auto"/>
                <w:sz w:val="24"/>
                <w:szCs w:val="24"/>
                <w:lang w:val="zh-TW" w:eastAsia="zh-CN" w:bidi="zh-TW"/>
              </w:rPr>
              <w:t>，未造成危害后果的。</w:t>
            </w: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8</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b w:val="0"/>
                <w:bCs w:val="0"/>
                <w:color w:val="auto"/>
                <w:sz w:val="24"/>
                <w:szCs w:val="24"/>
                <w:lang w:val="en-US" w:eastAsia="zh-CN" w:bidi="zh-TW"/>
              </w:rPr>
              <w:t>经营者未按规定明码标价，未注明商品的品名、产地、规格、等级、计价单位、价格或者服务的项目、收费标准等有关情况的。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《价格法》第十三条第一款、第四十二条。</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首次被发现实施此类违法行为，能够标明商品品名、计价单位、价格等主要内容，不引起消费者误解，立即自行改正或者在行政机关责令改正的期限内，未造成危害后果的。</w:t>
            </w: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9</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对取得工业产品生产许可证的企业未依照《工业产品生产许可证管理条例》规定定期提交报告的。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《工业产品生产许可证管理条例》第五十三条。</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首次被发现此类违法行为，立即自行改正或在行政机关责令改正的期限内改正。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《国务院关于取消和调整一批罚款事项的决定》（国发[2022]15号）、</w:t>
            </w:r>
            <w:r>
              <w:rPr>
                <w:color w:val="424242"/>
              </w:rPr>
              <w:t>《行政处罚法》第三十三条</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10</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对企业在工业产品生产许可证有效期内，企业名称、住所、或者生产地址发生变化，未在规定期限内提出变更申请行为的。</w:t>
            </w: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b w:val="0"/>
                <w:bCs w:val="0"/>
                <w:color w:val="auto"/>
                <w:sz w:val="24"/>
                <w:szCs w:val="24"/>
                <w:lang w:val="en-US" w:eastAsia="zh-CN" w:bidi="zh-TW"/>
              </w:rPr>
              <w:t>《工业产品生产许可证管理条例实施办法》第三十条、第四十九条。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首次被发现此类违法行为，立即自行改正或在行政机关责令改正的期限内改正。</w:t>
            </w: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《国务院关于取消和调整一批罚款事项的决定》（国发[2022]15号）、</w:t>
            </w:r>
            <w:r>
              <w:rPr>
                <w:color w:val="424242"/>
              </w:rPr>
              <w:t>《行政处罚法》第三十三条</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11</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对企业未依照《工业产品生产许可证管理条例实施办法》规定向市场监督管理部门提交自查报告的。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《工业产品生产许可证管理条例实施办法》第四十八条、第五十五条。</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首次被发现此类违法行为，立即自行改正或在行政机关责令改正的期限内改正。</w:t>
            </w: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《国务院关于取消和调整一批罚款事项的决定》（国发[2022]15号）、</w:t>
            </w:r>
            <w:r>
              <w:rPr>
                <w:color w:val="424242"/>
              </w:rPr>
              <w:t>《行政处罚法》第三十三条</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12</w:t>
            </w:r>
          </w:p>
        </w:tc>
        <w:tc>
          <w:tcPr>
            <w:tcW w:w="22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经营的食品、食品添加剂的标签、说明书存在瑕疵但不影响食品安全且不会对消费者造成误导的。</w:t>
            </w:r>
          </w:p>
        </w:tc>
        <w:tc>
          <w:tcPr>
            <w:tcW w:w="129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33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《食品安全法》第七十一条第二款、第一百二十五条第二款。</w:t>
            </w:r>
          </w:p>
        </w:tc>
        <w:tc>
          <w:tcPr>
            <w:tcW w:w="29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首次被发现此类违法行为，立即自行改正或在行政机关责令改正的期限内改正。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669"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《食品安全法》第一百二十五条第二款、</w:t>
            </w:r>
            <w:r>
              <w:rPr>
                <w:color w:val="424242"/>
              </w:rPr>
              <w:t>《行政处罚法》第三十三条</w:t>
            </w:r>
          </w:p>
        </w:tc>
        <w:tc>
          <w:tcPr>
            <w:tcW w:w="132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4322" w:firstLineChars="1600"/>
        <w:jc w:val="both"/>
        <w:rPr>
          <w:rFonts w:hint="eastAsia" w:ascii="微软雅黑" w:hAnsi="微软雅黑" w:eastAsia="微软雅黑" w:cs="微软雅黑"/>
          <w:i w:val="0"/>
          <w:iCs w:val="0"/>
          <w:caps w:val="0"/>
          <w:color w:val="424242"/>
          <w:spacing w:val="0"/>
          <w:sz w:val="27"/>
          <w:szCs w:val="27"/>
          <w:lang w:eastAsia="zh-CN"/>
        </w:rPr>
      </w:pP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减轻处罚</w:t>
      </w: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清单</w:t>
      </w:r>
      <w:r>
        <w:rPr>
          <w:rStyle w:val="5"/>
          <w:rFonts w:hint="eastAsia" w:ascii="微软雅黑" w:hAnsi="微软雅黑" w:eastAsia="微软雅黑" w:cs="微软雅黑"/>
          <w:i w:val="0"/>
          <w:iCs w:val="0"/>
          <w:caps w:val="0"/>
          <w:color w:val="424242"/>
          <w:spacing w:val="0"/>
          <w:sz w:val="27"/>
          <w:szCs w:val="27"/>
          <w:shd w:val="clear" w:fill="FFFFFF"/>
          <w:lang w:eastAsia="zh-CN"/>
        </w:rPr>
        <w:t>（市局拟增加的项目）</w:t>
      </w:r>
    </w:p>
    <w:tbl>
      <w:tblPr>
        <w:tblStyle w:val="3"/>
        <w:tblW w:w="1206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51"/>
        <w:gridCol w:w="3254"/>
        <w:gridCol w:w="1470"/>
        <w:gridCol w:w="1320"/>
        <w:gridCol w:w="2535"/>
        <w:gridCol w:w="1455"/>
        <w:gridCol w:w="157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序号</w:t>
            </w:r>
          </w:p>
        </w:tc>
        <w:tc>
          <w:tcPr>
            <w:tcW w:w="32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事项名称</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基本编码</w:t>
            </w: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设定依据</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适用情形</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Style w:val="5"/>
                <w:color w:val="424242"/>
              </w:rPr>
            </w:pPr>
            <w:r>
              <w:rPr>
                <w:rStyle w:val="5"/>
                <w:color w:val="424242"/>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依据</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裁量幅度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32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经营者未按规定明码标价，未注明商品的品名、产地、规格、等级、计价单位、价格或者服务的项目、收费标准等有关情况。</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《价格法》第十三条第一款、第四十二条。</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存在以下前四种情形中两种以上情形或存在第五种情形的：1、主动消除或者减轻违法行为危害后果的；2、受他人胁迫或者诱骗实施违法行为的；3、主动供述行政机关尚未掌握的违法行为；4、配合行政机关查处违法行为有立功表现的；5、法律、法规、规章规定其他应当减轻行政处罚的。</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《行政处罚法》第三十二条、《广东省规范行政处罚自由裁量权规定》第十四条</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rFonts w:hint="eastAsia" w:eastAsiaTheme="minorEastAsia"/>
                <w:color w:val="424242"/>
                <w:lang w:eastAsia="zh-CN"/>
              </w:rPr>
            </w:pPr>
            <w:r>
              <w:rPr>
                <w:rFonts w:hint="eastAsia"/>
                <w:color w:val="424242"/>
                <w:lang w:eastAsia="zh-CN"/>
              </w:rPr>
              <w:t>没收违法所得。</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451"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32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经营者未在价格变动时及时调整标价内容，</w:t>
            </w:r>
            <w:r>
              <w:rPr>
                <w:rFonts w:hint="eastAsia" w:ascii="宋体" w:hAnsi="宋体" w:eastAsia="宋体" w:cs="宋体"/>
                <w:b w:val="0"/>
                <w:bCs w:val="0"/>
                <w:color w:val="auto"/>
                <w:sz w:val="24"/>
                <w:szCs w:val="24"/>
                <w:lang w:val="en-US" w:eastAsia="zh-CN" w:bidi="zh-TW"/>
              </w:rPr>
              <w:t>未做到价签价目齐全、标价内容明确、字迹清晰、货签对位、标识醒目。</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《关于商品和服务实行明码标价的规定》第九条、第十六条、第二十一条第一款第（二）项。</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存在以下前四种情形中两种以上情形或存在第五种情形的：1、主动消除或者减轻违法行为危害后果的；2、受他人胁迫或者诱骗实施违法行为的；3、主动供述行政机关尚未掌握的违法行为；4、配合行政机关查处违法行为有立功表现的；5、法律、法规、规章规定其他应当减轻行政处罚的。</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《行政处罚法》第三十二条、《广东省规范行政处罚自由裁量权规定》第十四条</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color w:val="424242"/>
                <w:lang w:eastAsia="zh-CN"/>
              </w:rPr>
              <w:t>没收违法所得责令改正。</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i w:val="0"/>
          <w:iCs w:val="0"/>
          <w:caps w:val="0"/>
          <w:color w:val="424242"/>
          <w:spacing w:val="0"/>
          <w:sz w:val="27"/>
          <w:szCs w:val="27"/>
          <w:lang w:eastAsia="zh-CN"/>
        </w:rPr>
      </w:pP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从轻处罚</w:t>
      </w: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清单</w:t>
      </w:r>
      <w:r>
        <w:rPr>
          <w:rStyle w:val="5"/>
          <w:rFonts w:hint="eastAsia" w:ascii="微软雅黑" w:hAnsi="微软雅黑" w:eastAsia="微软雅黑" w:cs="微软雅黑"/>
          <w:i w:val="0"/>
          <w:iCs w:val="0"/>
          <w:caps w:val="0"/>
          <w:color w:val="424242"/>
          <w:spacing w:val="0"/>
          <w:sz w:val="27"/>
          <w:szCs w:val="27"/>
          <w:shd w:val="clear" w:fill="FFFFFF"/>
          <w:lang w:eastAsia="zh-CN"/>
        </w:rPr>
        <w:t>（市局拟增加的项目）</w:t>
      </w:r>
    </w:p>
    <w:tbl>
      <w:tblPr>
        <w:tblStyle w:val="3"/>
        <w:tblW w:w="1206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40"/>
        <w:gridCol w:w="2583"/>
        <w:gridCol w:w="1562"/>
        <w:gridCol w:w="1382"/>
        <w:gridCol w:w="3214"/>
        <w:gridCol w:w="1472"/>
        <w:gridCol w:w="130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序号</w:t>
            </w:r>
          </w:p>
        </w:tc>
        <w:tc>
          <w:tcPr>
            <w:tcW w:w="258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事项名称</w:t>
            </w:r>
          </w:p>
        </w:tc>
        <w:tc>
          <w:tcPr>
            <w:tcW w:w="15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基本编码</w:t>
            </w:r>
          </w:p>
        </w:tc>
        <w:tc>
          <w:tcPr>
            <w:tcW w:w="138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设定依据</w:t>
            </w:r>
          </w:p>
        </w:tc>
        <w:tc>
          <w:tcPr>
            <w:tcW w:w="32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适用情形</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Style w:val="5"/>
                <w:color w:val="424242"/>
              </w:rPr>
            </w:pPr>
            <w:r>
              <w:rPr>
                <w:rStyle w:val="5"/>
                <w:color w:val="424242"/>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依据</w:t>
            </w:r>
          </w:p>
        </w:tc>
        <w:tc>
          <w:tcPr>
            <w:tcW w:w="130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裁量幅度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258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电子商务经营者（不含电子商务平台经营者）未在首页显著位置公示营业执照信息、行政许可信息、属于不需要办理市场主体登记情形等信息，或者上述信息的链接标识的。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5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138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《电子商务法》第十五条、第七十六条第一款第（一）项。</w:t>
            </w:r>
          </w:p>
        </w:tc>
        <w:tc>
          <w:tcPr>
            <w:tcW w:w="32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存在以下一种情形的：1、主动消除或者减轻违法行为危害后果的；2、受他人胁迫或者诱骗实施违法行为的；3、主动供述行政机关尚未掌握的违法行为；4、配合行政机关查处违法行为有立功表现的；5、法律、法规、规章规定其他应当从轻行政处罚的。</w:t>
            </w: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258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sz w:val="24"/>
                <w:szCs w:val="24"/>
                <w:lang w:val="en-US" w:eastAsia="zh-CN"/>
              </w:rPr>
              <w:t>经营者未按规定明码标价，未注明商品的品名、产地、规格、等级、计价单位、价格或者服务的项目、收费标准等有关情况。</w:t>
            </w:r>
          </w:p>
        </w:tc>
        <w:tc>
          <w:tcPr>
            <w:tcW w:w="15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138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b w:val="0"/>
                <w:bCs w:val="0"/>
                <w:color w:val="auto"/>
                <w:sz w:val="24"/>
                <w:szCs w:val="24"/>
                <w:lang w:val="en-US" w:eastAsia="zh-CN" w:bidi="zh-TW"/>
              </w:rPr>
              <w:t>《价格法》第十三条第一款、第四十二条。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32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存在以下一种情形的：1、主动消除或者减轻违法行为危害后果的；2、受他人胁迫或者诱骗实施违法行为的；3、主动供述行政机关尚未掌握的违法行为；4、配合行政机关查处违法行为有立功表现的；5、法律、法规、规章规定其他应当减轻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color w:val="424242"/>
                <w:lang w:eastAsia="zh-CN"/>
              </w:rPr>
              <w:t>没收违法所得，</w:t>
            </w:r>
            <w:r>
              <w:rPr>
                <w:color w:val="424242"/>
              </w:rPr>
              <w:t>可以处</w:t>
            </w:r>
            <w:r>
              <w:rPr>
                <w:rFonts w:hint="eastAsia"/>
                <w:color w:val="424242"/>
                <w:lang w:val="en-US" w:eastAsia="zh-CN"/>
              </w:rPr>
              <w:t>1500</w:t>
            </w:r>
            <w:r>
              <w:rPr>
                <w:color w:val="424242"/>
              </w:rPr>
              <w:t>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258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sz w:val="24"/>
                <w:szCs w:val="24"/>
                <w:lang w:val="en-US" w:eastAsia="zh-CN"/>
              </w:rPr>
              <w:t>经营者未在价格变动时及时调整标价内容，</w:t>
            </w:r>
            <w:r>
              <w:rPr>
                <w:rFonts w:hint="eastAsia" w:ascii="宋体" w:hAnsi="宋体" w:eastAsia="宋体" w:cs="宋体"/>
                <w:b w:val="0"/>
                <w:bCs w:val="0"/>
                <w:color w:val="auto"/>
                <w:sz w:val="24"/>
                <w:szCs w:val="24"/>
                <w:lang w:val="en-US" w:eastAsia="zh-CN" w:bidi="zh-TW"/>
              </w:rPr>
              <w:t>未做到价签价目齐全、标价内容明确、字迹清晰、货签对位、标识醒目。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5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138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《关于商品和服务实行明码标价的规定》第九条、第十六条、第二十一条第一款第（二）项。</w:t>
            </w:r>
          </w:p>
        </w:tc>
        <w:tc>
          <w:tcPr>
            <w:tcW w:w="32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存在以下一种情形的：1、主动消除或者减轻违法行为危害后果的；2、受他人胁迫或者诱骗实施违法行为的；3、主动供述行政机关尚未掌握的违法行为；4、配合行政机关查处违法行为有立功表现的；5、法律、法规、规章规定其他应当从轻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color w:val="424242"/>
                <w:lang w:eastAsia="zh-CN"/>
              </w:rPr>
              <w:t>没收违法所得，</w:t>
            </w:r>
            <w:r>
              <w:rPr>
                <w:color w:val="424242"/>
              </w:rPr>
              <w:t>可以处</w:t>
            </w:r>
            <w:r>
              <w:rPr>
                <w:rFonts w:hint="eastAsia"/>
                <w:color w:val="424242"/>
                <w:lang w:val="en-US" w:eastAsia="zh-CN"/>
              </w:rPr>
              <w:t>1500</w:t>
            </w:r>
            <w:r>
              <w:rPr>
                <w:color w:val="424242"/>
              </w:rPr>
              <w:t>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2583"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ascii="宋体" w:hAnsi="宋体" w:eastAsia="宋体" w:cs="宋体"/>
                <w:b w:val="0"/>
                <w:bCs w:val="0"/>
                <w:color w:val="auto"/>
                <w:sz w:val="24"/>
                <w:szCs w:val="24"/>
                <w:lang w:val="en-US" w:eastAsia="zh-CN" w:bidi="zh-TW"/>
              </w:rPr>
              <w:t>市场主体未按照法律、行政法规规定的期限公示或者报送年度报告的。</w:t>
            </w:r>
          </w:p>
        </w:tc>
        <w:tc>
          <w:tcPr>
            <w:tcW w:w="156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p>
        </w:tc>
        <w:tc>
          <w:tcPr>
            <w:tcW w:w="138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b w:val="0"/>
                <w:bCs w:val="0"/>
                <w:color w:val="auto"/>
                <w:sz w:val="24"/>
                <w:szCs w:val="24"/>
                <w:lang w:val="en-US" w:eastAsia="zh-CN" w:bidi="zh-TW"/>
              </w:rPr>
            </w:pPr>
            <w:r>
              <w:rPr>
                <w:rFonts w:hint="eastAsia" w:ascii="宋体" w:hAnsi="宋体" w:eastAsia="宋体" w:cs="宋体"/>
                <w:b w:val="0"/>
                <w:bCs w:val="0"/>
                <w:color w:val="auto"/>
                <w:sz w:val="24"/>
                <w:szCs w:val="24"/>
                <w:lang w:val="en-US" w:eastAsia="zh-CN" w:bidi="zh-TW"/>
              </w:rPr>
              <w:t>《市场主体登记管理条例实施细则》第六十三条、第七十条。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321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存在以下一种情形的：1、主动消除或者减轻违法行为危害后果的；2、受他人胁迫或者诱骗实施违法行为的；3、主动供述行政机关尚未掌握的违法行为；4、配合行政机关查处违法行为有立功表现的；5、法律、法规、规章规定其他应当从轻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c>
          <w:tcPr>
            <w:tcW w:w="147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w:t>
            </w:r>
            <w:r>
              <w:rPr>
                <w:rFonts w:hint="eastAsia"/>
                <w:color w:val="424242"/>
                <w:lang w:val="en-US" w:eastAsia="zh-CN"/>
              </w:rPr>
              <w:t>3000</w:t>
            </w:r>
            <w:r>
              <w:rPr>
                <w:color w:val="424242"/>
              </w:rPr>
              <w:t>元以下的罚款。</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right="0"/>
        <w:jc w:val="both"/>
        <w:rPr>
          <w:rStyle w:val="5"/>
          <w:rFonts w:hint="eastAsia" w:ascii="微软雅黑" w:hAnsi="微软雅黑" w:eastAsia="微软雅黑" w:cs="微软雅黑"/>
          <w:i w:val="0"/>
          <w:iCs w:val="0"/>
          <w:caps w:val="0"/>
          <w:color w:val="424242"/>
          <w:spacing w:val="0"/>
          <w:sz w:val="27"/>
          <w:szCs w:val="27"/>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right="0" w:firstLine="2971" w:firstLineChars="1100"/>
        <w:jc w:val="both"/>
        <w:rPr>
          <w:rFonts w:ascii="微软雅黑" w:hAnsi="微软雅黑" w:eastAsia="微软雅黑" w:cs="微软雅黑"/>
          <w:i w:val="0"/>
          <w:iCs w:val="0"/>
          <w:caps w:val="0"/>
          <w:color w:val="424242"/>
          <w:spacing w:val="0"/>
          <w:sz w:val="27"/>
          <w:szCs w:val="27"/>
        </w:rPr>
      </w:pPr>
      <w:r>
        <w:rPr>
          <w:rStyle w:val="5"/>
          <w:rFonts w:hint="eastAsia" w:ascii="微软雅黑" w:hAnsi="微软雅黑" w:eastAsia="微软雅黑" w:cs="微软雅黑"/>
          <w:i w:val="0"/>
          <w:iCs w:val="0"/>
          <w:caps w:val="0"/>
          <w:color w:val="424242"/>
          <w:spacing w:val="0"/>
          <w:sz w:val="27"/>
          <w:szCs w:val="27"/>
          <w:shd w:val="clear" w:fill="FFFFFF"/>
        </w:rPr>
        <w:t>广东省市场监督管理</w:t>
      </w:r>
      <w:r>
        <w:rPr>
          <w:rStyle w:val="5"/>
          <w:rFonts w:hint="eastAsia" w:ascii="微软雅黑" w:hAnsi="微软雅黑" w:eastAsia="微软雅黑" w:cs="微软雅黑"/>
          <w:i w:val="0"/>
          <w:iCs w:val="0"/>
          <w:caps w:val="0"/>
          <w:color w:val="424242"/>
          <w:spacing w:val="0"/>
          <w:sz w:val="27"/>
          <w:szCs w:val="27"/>
          <w:shd w:val="clear" w:fill="FFFFFF"/>
          <w:lang w:eastAsia="zh-CN"/>
        </w:rPr>
        <w:t>领域</w:t>
      </w:r>
      <w:r>
        <w:rPr>
          <w:rStyle w:val="5"/>
          <w:rFonts w:hint="eastAsia" w:ascii="微软雅黑" w:hAnsi="微软雅黑" w:eastAsia="微软雅黑" w:cs="微软雅黑"/>
          <w:i w:val="0"/>
          <w:iCs w:val="0"/>
          <w:caps w:val="0"/>
          <w:color w:val="424242"/>
          <w:spacing w:val="0"/>
          <w:sz w:val="27"/>
          <w:szCs w:val="27"/>
          <w:shd w:val="clear" w:fill="FFFFFF"/>
        </w:rPr>
        <w:t>行政执法减免责清单（2022年）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i w:val="0"/>
          <w:iCs w:val="0"/>
          <w:caps w:val="0"/>
          <w:color w:val="424242"/>
          <w:spacing w:val="0"/>
          <w:sz w:val="27"/>
          <w:szCs w:val="27"/>
          <w:lang w:val="en-US" w:eastAsia="zh-CN"/>
        </w:rPr>
      </w:pPr>
      <w:r>
        <w:rPr>
          <w:rStyle w:val="5"/>
          <w:rFonts w:hint="eastAsia" w:ascii="微软雅黑" w:hAnsi="微软雅黑" w:eastAsia="微软雅黑" w:cs="微软雅黑"/>
          <w:i w:val="0"/>
          <w:iCs w:val="0"/>
          <w:caps w:val="0"/>
          <w:color w:val="424242"/>
          <w:spacing w:val="0"/>
          <w:sz w:val="27"/>
          <w:szCs w:val="27"/>
          <w:shd w:val="clear" w:fill="FFFFFF"/>
          <w:lang w:val="en-US" w:eastAsia="zh-CN"/>
        </w:rPr>
        <w:t xml:space="preserve"> “</w:t>
      </w:r>
      <w:r>
        <w:rPr>
          <w:rStyle w:val="5"/>
          <w:rFonts w:hint="eastAsia" w:ascii="微软雅黑" w:hAnsi="微软雅黑" w:eastAsia="微软雅黑" w:cs="微软雅黑"/>
          <w:i w:val="0"/>
          <w:iCs w:val="0"/>
          <w:caps w:val="0"/>
          <w:color w:val="424242"/>
          <w:spacing w:val="0"/>
          <w:sz w:val="27"/>
          <w:szCs w:val="27"/>
          <w:shd w:val="clear" w:fill="FFFFFF"/>
        </w:rPr>
        <w:t>免处罚</w:t>
      </w: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清单</w:t>
      </w:r>
      <w:r>
        <w:rPr>
          <w:rStyle w:val="5"/>
          <w:rFonts w:hint="eastAsia" w:ascii="微软雅黑" w:hAnsi="微软雅黑" w:eastAsia="微软雅黑" w:cs="微软雅黑"/>
          <w:i w:val="0"/>
          <w:iCs w:val="0"/>
          <w:caps w:val="0"/>
          <w:color w:val="424242"/>
          <w:spacing w:val="0"/>
          <w:sz w:val="27"/>
          <w:szCs w:val="27"/>
          <w:shd w:val="clear" w:fill="FFFFFF"/>
          <w:lang w:eastAsia="zh-CN"/>
        </w:rPr>
        <w:t>（省局已定的项目，各市可增加项目）</w:t>
      </w:r>
    </w:p>
    <w:tbl>
      <w:tblPr>
        <w:tblStyle w:val="3"/>
        <w:tblW w:w="13382"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10"/>
        <w:gridCol w:w="3965"/>
        <w:gridCol w:w="1442"/>
        <w:gridCol w:w="1967"/>
        <w:gridCol w:w="2854"/>
        <w:gridCol w:w="1322"/>
        <w:gridCol w:w="1322"/>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序号</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事项名称</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基本编码</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设定依据</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适用情形</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Style w:val="5"/>
                <w:color w:val="424242"/>
              </w:rPr>
            </w:pPr>
            <w:r>
              <w:rPr>
                <w:rStyle w:val="5"/>
                <w:color w:val="424242"/>
              </w:rPr>
              <w:t>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依据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Style w:val="5"/>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w:t>
            </w:r>
            <w:r>
              <w:rPr>
                <w:rFonts w:hint="eastAsia"/>
                <w:color w:val="424242"/>
                <w:lang w:eastAsia="zh-CN"/>
              </w:rPr>
              <w:t>反</w:t>
            </w:r>
            <w:r>
              <w:rPr>
                <w:color w:val="424242"/>
              </w:rPr>
              <w:t>《电子商务法》第七十六条，存在未在首页显著位置公示营业执照信息、行政许可信息、属于不需要办理市场主体登记情形等信息，或者上述信息的链接标识等行为的行政处罚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440225014000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《电子商务法》第十五条、第十六条、第二十四条、第七十六条</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rFonts w:hint="eastAsia"/>
                <w:color w:val="424242"/>
                <w:lang w:eastAsia="zh-CN"/>
              </w:rPr>
              <w:t>首次</w:t>
            </w:r>
            <w:r>
              <w:rPr>
                <w:color w:val="424242"/>
              </w:rPr>
              <w:t>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对违反《电子商务法》第八十一条，存在未在首页显著位置持续公示平台服务协议、交易规则信息或者上述信息的链接标识等行为的行政处罚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44022500E000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《电子商务法》第三十三条、第三十四条、第三十七条第一款、第三十九条、第八十一条第一款</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对网络交易平台提供者未在其平台显著位置明示七日无理由退货规则及配套的有关制度的行为的行政处罚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440226126002</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《网络购买商品七日无理由退货暂行办法》第二十二条、第三十二条、《电子商务法》第八十一条第一款第一项</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对网络交易平台提供者未在技术上保证消费者能够便利、完整地阅览和保存的行为的行政处罚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440226126001</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《网络购买商品七日无理由退货暂行办法》第二十二条、第三十二条、《电子商务法》第八十一条第一款第一项</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5</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对在广告中使用“国家级”、“最高级”、“最佳”等用语的行为的行政处罚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440225982010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《广告法》第九条第一款第三项、第五十七条第一款第一项</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广告主在其经营场所或者利用自有媒体发布自有商品或者服务广告，点击率或阅读量较低，首次被发现实施此类违法行为，立即自行改正或在行政机关责令改正的期限内改正，危害后果轻微。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6</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对法律、行政法规规定广告中应当明示的内容，未显著、清晰表示的行为的行政处罚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440225981000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《广告法》第八条、第五十九条第一款第一项</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7</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对广告使用数据、统计资料、调查结果、文摘、引用语等引证内容未表明出处，引证内容有适用范围和有效期限未明确表示的行为的行政处罚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440225978000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《广告法》第十一条第二款、第五十九条第一款第二项</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广告引证内容真实、准确，首次被发现实施此类违法行为，立即自行改正或在行政机关责令改正的期限内改正，危害后果轻微。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8</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对广告中涉及专利产品或者专利方法，未标明专利号和专利种类的行为的行政处罚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440225980000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《广告法》第十二条第一款、第五十九条第一款第三项</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已取得专利权且不存在终止、撤销、无效等情形，首次被发现实施此类违法行为，立即自行改正或在行政机关责令改正的期限内改正，危害后果轻微。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9</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对大众传播媒介以新闻报道形式变相发布广告的行为的行政处罚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440225987000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《广告法》第十四条第二款、第五十九条第三款</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10</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对违反《药品、医疗器械、保健食品、特殊医学用途配方食品广告审查管理暂行办法》第十条规定，未显著、清晰表示广告中应当显著标明内容的行为的行政处罚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440225047000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《药品、医疗器械、保健食品、特殊医学用途配方食品广告审查管理暂行办法》第十条、第二十五条、《广告法》第五十九条第一款</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11</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对发布医疗广告未标注医疗机构第一名称和《医疗广告审查证明》文号的行为的行政处罚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440225845000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《医疗广告管理办法》第十四条、第二十二条</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已取得广告批准文号，且发布的医疗广告内容与批准内容一致，且属于首次被发现实施此类违法行为，立即自行改正或在行政机关责令改正的期限内改正，危害后果轻微。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12</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对兽药广告内容未列出批准文号的行为的行政处罚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440225655000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《兽药广告审查发布标准》第十条、第十二条</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已取得广告批准文号，且发布的兽药广告内容与批准内容一致，且属于首次被发现实施此类违法行为，立即自行改正或在行政机关责令改正的期限内改正，危害后果轻微。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13</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对农药广告内容未列出批准文号的行为的行政处罚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440226026000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《农药广告审查发布标准》第十一条、第十三条</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已取得广告批准文号，且发布的农药广告内容与批准内容一致，且属于首次被发现实施此类违法行为，立即自行改正或在行政机关责令改正的期限内改正，危害后果轻微。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14</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使用非法定计量单位的，属出版物的行为的行政处罚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440225414000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《计量法》第三条、《计量法实施细则》第二条、第四十条</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15</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部门和企业、事业单位的各项最高计量标准，未经有关人民政府计量行政部门考核合格而开展计量检定的行为的行政处罚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440225417000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《计量法》第七条、第八条、《计量法实施细则》第九条、第十条、第四十二条</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首次被发现实施此类违法行为，持续时间不长，立即自行改正或在行政机关责令改正的期限内改正，危害后果轻微。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16</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属于强制检定范围的计量器具，未按照规定申请检定和属于非强制检定范围的计量器具未自行定期检定或者送其他计量检定机构定期检定的，以及经检定不合格继续使用的行为的行政处罚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440225416000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《计量法》第九条、《计量法实施细则》第十一条第二款、第十二条、第四十三条</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首次被发现实施此类违法行为，计量器具经检定合格，立即自行改正或在行政机关责令改正的期限内改正，危害后果轻微。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5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17</w:t>
            </w:r>
          </w:p>
        </w:tc>
        <w:tc>
          <w:tcPr>
            <w:tcW w:w="396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对生产、经营者将“驰名商标”字样用于商品、商品包装或者容器上，或者用于广告宣传、展览以及其他商业活动中的行为的行政处罚</w:t>
            </w:r>
          </w:p>
        </w:tc>
        <w:tc>
          <w:tcPr>
            <w:tcW w:w="144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440225223000</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《商标法》第十四条第五款、第五十三条</w:t>
            </w:r>
          </w:p>
        </w:tc>
        <w:tc>
          <w:tcPr>
            <w:tcW w:w="2854"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有获得“驰名商标”认定或者保护记录，首次被发现实施此类违法行为，立即自行改正或在行政机关责令改正的期限内改正，危害后果轻微。</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《行政处罚法》第三十三条</w:t>
            </w:r>
          </w:p>
        </w:tc>
        <w:tc>
          <w:tcPr>
            <w:tcW w:w="1322"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b/>
          <w:bCs w:val="0"/>
          <w:i w:val="0"/>
          <w:iCs w:val="0"/>
          <w:caps w:val="0"/>
          <w:color w:val="424242"/>
          <w:spacing w:val="0"/>
          <w:sz w:val="27"/>
          <w:szCs w:val="27"/>
          <w:lang w:eastAsia="zh-CN"/>
        </w:rPr>
      </w:pP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减轻处罚</w:t>
      </w:r>
      <w:r>
        <w:rPr>
          <w:rStyle w:val="5"/>
          <w:rFonts w:hint="eastAsia" w:ascii="微软雅黑" w:hAnsi="微软雅黑" w:eastAsia="微软雅黑" w:cs="微软雅黑"/>
          <w:i w:val="0"/>
          <w:iCs w:val="0"/>
          <w:caps w:val="0"/>
          <w:color w:val="424242"/>
          <w:spacing w:val="0"/>
          <w:sz w:val="27"/>
          <w:szCs w:val="27"/>
          <w:shd w:val="clear" w:fill="FFFFFF"/>
          <w:lang w:val="en-US" w:eastAsia="zh-CN"/>
        </w:rPr>
        <w:t>”</w:t>
      </w:r>
      <w:r>
        <w:rPr>
          <w:rStyle w:val="5"/>
          <w:rFonts w:hint="eastAsia" w:ascii="微软雅黑" w:hAnsi="微软雅黑" w:eastAsia="微软雅黑" w:cs="微软雅黑"/>
          <w:i w:val="0"/>
          <w:iCs w:val="0"/>
          <w:caps w:val="0"/>
          <w:color w:val="424242"/>
          <w:spacing w:val="0"/>
          <w:sz w:val="27"/>
          <w:szCs w:val="27"/>
          <w:shd w:val="clear" w:fill="FFFFFF"/>
        </w:rPr>
        <w:t>清单</w:t>
      </w:r>
      <w:r>
        <w:rPr>
          <w:rStyle w:val="5"/>
          <w:rFonts w:hint="eastAsia" w:ascii="微软雅黑" w:hAnsi="微软雅黑" w:eastAsia="微软雅黑" w:cs="微软雅黑"/>
          <w:b/>
          <w:bCs w:val="0"/>
          <w:i w:val="0"/>
          <w:iCs w:val="0"/>
          <w:caps w:val="0"/>
          <w:color w:val="424242"/>
          <w:spacing w:val="0"/>
          <w:sz w:val="27"/>
          <w:szCs w:val="27"/>
          <w:shd w:val="clear" w:fill="FFFFFF"/>
          <w:lang w:eastAsia="zh-CN"/>
        </w:rPr>
        <w:t>（省局已定的项目，各市可增加项目）</w:t>
      </w:r>
    </w:p>
    <w:tbl>
      <w:tblPr>
        <w:tblStyle w:val="3"/>
        <w:tblW w:w="1206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51"/>
        <w:gridCol w:w="3254"/>
        <w:gridCol w:w="1470"/>
        <w:gridCol w:w="1320"/>
        <w:gridCol w:w="2535"/>
        <w:gridCol w:w="1455"/>
        <w:gridCol w:w="157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序号</w:t>
            </w:r>
          </w:p>
        </w:tc>
        <w:tc>
          <w:tcPr>
            <w:tcW w:w="32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事项名称</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基本编码</w:t>
            </w: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设定依据</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适用情形</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Style w:val="5"/>
                <w:color w:val="424242"/>
              </w:rPr>
            </w:pPr>
            <w:r>
              <w:rPr>
                <w:rStyle w:val="5"/>
                <w:color w:val="424242"/>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依据</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裁量幅度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32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商品或者服务不存在；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使用虚构、伪造或者无法验证的科研成果、统计资料、调查结果、文摘、引用语等信息作证明材料；虚构使用商品或者接受服务的效果；以虚假或者引人误解的内容欺骗、误导消费者的其他情形的行为的行政处罚</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44022600400Y</w:t>
            </w: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《广告法》第四条、第二十八条、第五十五条第三款</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（本项仅限广告经营者、广告发布者应知广告虚假仍设计、制作、代理、发布的违法行为）</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没收广告费用，并处广告费用不超过3倍的罚款，广告费用无法计算或者明显偏低的，处不超过20万元的罚款。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32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对在广告中使用“国家级”、“最高级”、“最佳”等用语的行为的行政处罚</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440225982010</w:t>
            </w: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《广告法》第九条第一款第三项、第五十七条第一款第一项</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处不超过20万元的罚款。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4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32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对兽药广告内容未列出批准文号的行为的行政处罚</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440225655000</w:t>
            </w: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《兽药广告审查发布标准》第十条、第十二条</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警告。</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4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32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对农药广告内容未列出批准文号的行为的行政处罚</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440226026000</w:t>
            </w: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《农药广告审查发布标准》第十一条、第十三条</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警告。</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4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5</w:t>
            </w:r>
          </w:p>
        </w:tc>
        <w:tc>
          <w:tcPr>
            <w:tcW w:w="32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对生产、经营者将“驰名商标”字样用于商品、商品包装或者容器上，或者用于广告宣传、展览以及其他商业活动中的行为的行政处罚</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440225223000</w:t>
            </w: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《商标法》第十四条第五款、第五十三条</w:t>
            </w:r>
          </w:p>
        </w:tc>
        <w:tc>
          <w:tcPr>
            <w:tcW w:w="25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两种以上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5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处不超过10万元的罚款。</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i w:val="0"/>
          <w:iCs w:val="0"/>
          <w:caps w:val="0"/>
          <w:color w:val="424242"/>
          <w:spacing w:val="0"/>
          <w:sz w:val="27"/>
          <w:szCs w:val="27"/>
        </w:rPr>
      </w:pP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从轻处罚</w:t>
      </w: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清单</w:t>
      </w:r>
      <w:r>
        <w:rPr>
          <w:rStyle w:val="5"/>
          <w:rFonts w:hint="eastAsia" w:ascii="微软雅黑" w:hAnsi="微软雅黑" w:eastAsia="微软雅黑" w:cs="微软雅黑"/>
          <w:b/>
          <w:bCs w:val="0"/>
          <w:i w:val="0"/>
          <w:iCs w:val="0"/>
          <w:caps w:val="0"/>
          <w:color w:val="424242"/>
          <w:spacing w:val="0"/>
          <w:sz w:val="27"/>
          <w:szCs w:val="27"/>
          <w:shd w:val="clear" w:fill="FFFFFF"/>
          <w:lang w:eastAsia="zh-CN"/>
        </w:rPr>
        <w:t>（省局已定的项目，各市可增加项目）</w:t>
      </w:r>
    </w:p>
    <w:tbl>
      <w:tblPr>
        <w:tblStyle w:val="3"/>
        <w:tblW w:w="1206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40"/>
        <w:gridCol w:w="2583"/>
        <w:gridCol w:w="1562"/>
        <w:gridCol w:w="1382"/>
        <w:gridCol w:w="3214"/>
        <w:gridCol w:w="1472"/>
        <w:gridCol w:w="130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序号</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事项名称</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基本编码</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设定依据</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适用情形</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Style w:val="5"/>
                <w:color w:val="424242"/>
              </w:rPr>
            </w:pPr>
            <w:r>
              <w:rPr>
                <w:rStyle w:val="5"/>
                <w:color w:val="424242"/>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依据</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裁量幅度</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对违反《电子商务法》第七十六条，存在未在首页显著位置公示营业执照信息、行政许可信息、属于不需要办理市场主体登记情形等信息，或者上述信息的链接标识等行为的行政处罚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440225014000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《电子商务法》第十五条、第十六条、第二十四条、第七十六条第一款</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（本项仅限电子商务经营者）</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对违反《电子商务法》第八十一条，存在未在首页显著位置持续公示平台服务协议、交易规则信息或者上述信息的链接标识等行为的行政处罚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44022500E000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《电子商务法》第三十三条、第三十四条、第三十七条第一款、第三十九条、第八十一条第一款</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（本项仅限非情节严重情形）</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可以处2万元以上4.4万元以下的罚款。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对网络交易平台提供者未在其平台显著位置明示七日无理由退货规则及配套的有关制度的行为的行政处罚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440226126002</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《网络购买商品七日无理由退货暂行办法》第二十二条、第三十二条、《电子商务法》第八十一条第一款第一项</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（本项仅限非情节严重情形）</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可以处2万元以上4.4万元以下的罚款。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对网络交易平台提供者未在技术上保证消费者能够便利、完整地阅览和保存的行为的行政处罚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440226126001</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《网络购买商品七日无理由退货暂行办法》第二十二条、第三十二条、《电子商务法》第八十一条第一款第一项</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（本项仅限非情节严重情形）</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可以处2万元以上4.4万元以下的罚款。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5</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商品或者服务不存在；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使用虚构、伪造或者无法验证的科研成果、统计资料、调查结果、文摘、引用语等信息作证明材料；虚构使用商品或者接受服务的效果；以虚假或者引人误解的内容欺骗、误导消费者的其他情形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44022600400Y</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《广告法》第四条、第二十八条、第五十五条第三款</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（本项仅限广告经营者、广告发布者应知广告虚假仍设计、制作、代理、发布的违法行为，且属于非情节严重情形）</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没收广告费用，并处广告费用3倍以上3.6倍以下的罚款，广告费用无法计算或者明显偏低的，处20万元以上44万元以下的罚款。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6</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对在广告中使用“国家级”、“最高级”、“最佳”等用语的行为的行政处罚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440225982010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《广告法》第九条第一款第三项、第五十七条第一款第一项</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（本项仅限非情节严重情形）</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处20万元以上44万元以下的罚款。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7</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对法律、行政法规规定广告中应当明示的内容，未显著、清晰表示的行为的行政处罚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440225981000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《广告法》第八条、第五十九条第一款第一项</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8</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对广告使用数据、统计资料、调查结果、文摘、引用语等引证内容未表明出处，引证内容有适用范围和有效期限未明确表示的行为的行政处罚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440225978000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《广告法》第十一条第二款、第五十九条第一款第二项</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9</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对广告中涉及专利产品或者专利方法，未标明专利号和专利种类的行为的行政处罚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440225980000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《广告法》第十二条第一款、第五十九条第一款第三项</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10</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对大众传播媒介以新闻报道形式变相发布广告的行为的行政处罚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440225987000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《广告法》第十四条第二款、第五十九条第三款</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11</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对违反《药品、医疗器械、保健食品、特殊医学用途配方食品广告审查管理暂行办法》第十条规定，未显著、清晰表示广告中应当显著标明内容的行为的行政处罚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440225047000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《药品、医疗器械、保健食品、特殊医学用途配方食品广告审查管理暂行办法》第十条、第二十五条、《广告法》第五十九条第一款</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处3万元以下的罚款。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12</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对发布医疗广告未标注医疗机构第一名称和《医疗广告审查证明》文号的行为的行政处罚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440225845000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《医疗广告管理办法》第十四条、第二十二条</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给予警告或者处以1万元以上1.6万元以下的罚款。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13</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对兽药广告内容未列出批准文号的行为的行政处罚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440225655000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《兽药广告审查发布标准》第十条、第十二条</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处以违法所得0.9倍以下但不超过9000元的罚款；没有违法所得的，处以3000元以下的罚款。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14</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对农药广告内容未列出批准文号的行为的行政处罚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440226026000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《农药广告审查发布标准》第十一条、第十三条</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处以违法所得0.9倍以下但不超过9000元的罚款；没有违法所得的，处以3000元以下的罚款。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15</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使用非法定计量单位的，属出版物的行为的行政处罚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440225414000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《计量法》第三条、《计量法实施细则》第二条、第四十条</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16</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部门和企业、事业单位的各项最高计量标准，未经有关人民政府计量行政部门考核合格而开展计量检定的行为的行政处罚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440225417000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《计量法》第七条、第八条、《计量法实施细则》第九条、第十条、第四十二条</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17</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属于强制检定范围的计量器具，未按照规定申请检定和属于非强制检定范围的计量器具未自行定期检定或者送其他计量检定机构定期检定的，以及经检定不合格继续使用的行为的行政处罚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440225416000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《计量法》第九条、《计量法实施细则》第十一条第二款、第十二条、第四十三条</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可以处300元以下的罚款。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54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18</w:t>
            </w:r>
          </w:p>
        </w:tc>
        <w:tc>
          <w:tcPr>
            <w:tcW w:w="25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对违反明码标价规定的行为的行政处罚</w:t>
            </w:r>
          </w:p>
        </w:tc>
        <w:tc>
          <w:tcPr>
            <w:tcW w:w="15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440225169000</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《价格法》第十三条、第四十二条</w:t>
            </w:r>
          </w:p>
        </w:tc>
        <w:tc>
          <w:tcPr>
            <w:tcW w:w="32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存在以下一种情形的：1.已满十四周岁不满十八周岁的未成年人有违法行为的；2.主动消除或者减轻违法行为危害后果的；3.受他人胁迫或者诱骗实施违法行为的；4.主动供述行政机关尚未掌握的违法行为的；5.配合行政机关查处违法行为有立功表现的。</w:t>
            </w:r>
          </w:p>
        </w:tc>
        <w:tc>
          <w:tcPr>
            <w:tcW w:w="14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《行政处罚法》第三十条、第三十二条、《广东省规范行政处罚自由裁量权规定》第十四条</w:t>
            </w:r>
          </w:p>
        </w:tc>
        <w:tc>
          <w:tcPr>
            <w:tcW w:w="130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没收违法所得，可以处 1500元以下的罚款；没有违法所得的，可以处以1500元以下的罚款。</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center"/>
        <w:rPr>
          <w:rFonts w:hint="eastAsia" w:ascii="微软雅黑" w:hAnsi="微软雅黑" w:eastAsia="微软雅黑" w:cs="微软雅黑"/>
          <w:b w:val="0"/>
          <w:bCs/>
          <w:i w:val="0"/>
          <w:iCs w:val="0"/>
          <w:caps w:val="0"/>
          <w:color w:val="424242"/>
          <w:spacing w:val="0"/>
          <w:sz w:val="27"/>
          <w:szCs w:val="27"/>
        </w:rPr>
      </w:pPr>
      <w:r>
        <w:rPr>
          <w:rStyle w:val="5"/>
          <w:rFonts w:hint="eastAsia" w:ascii="微软雅黑" w:hAnsi="微软雅黑" w:eastAsia="微软雅黑" w:cs="微软雅黑"/>
          <w:i w:val="0"/>
          <w:iCs w:val="0"/>
          <w:caps w:val="0"/>
          <w:color w:val="424242"/>
          <w:spacing w:val="0"/>
          <w:sz w:val="27"/>
          <w:szCs w:val="27"/>
          <w:shd w:val="clear" w:fill="FFFFFF"/>
          <w:lang w:eastAsia="zh-CN"/>
        </w:rPr>
        <w:t>”</w:t>
      </w:r>
      <w:r>
        <w:rPr>
          <w:rStyle w:val="5"/>
          <w:rFonts w:hint="eastAsia" w:ascii="微软雅黑" w:hAnsi="微软雅黑" w:eastAsia="微软雅黑" w:cs="微软雅黑"/>
          <w:i w:val="0"/>
          <w:iCs w:val="0"/>
          <w:caps w:val="0"/>
          <w:color w:val="424242"/>
          <w:spacing w:val="0"/>
          <w:sz w:val="27"/>
          <w:szCs w:val="27"/>
          <w:shd w:val="clear" w:fill="FFFFFF"/>
        </w:rPr>
        <w:t>免</w:t>
      </w:r>
      <w:r>
        <w:rPr>
          <w:rStyle w:val="5"/>
          <w:rFonts w:hint="eastAsia" w:ascii="微软雅黑" w:hAnsi="微软雅黑" w:eastAsia="微软雅黑" w:cs="微软雅黑"/>
          <w:i w:val="0"/>
          <w:iCs w:val="0"/>
          <w:caps w:val="0"/>
          <w:color w:val="424242"/>
          <w:spacing w:val="0"/>
          <w:sz w:val="27"/>
          <w:szCs w:val="27"/>
          <w:shd w:val="clear" w:fill="FFFFFF"/>
          <w:lang w:eastAsia="zh-CN"/>
        </w:rPr>
        <w:t>行政</w:t>
      </w:r>
      <w:r>
        <w:rPr>
          <w:rStyle w:val="5"/>
          <w:rFonts w:hint="eastAsia" w:ascii="微软雅黑" w:hAnsi="微软雅黑" w:eastAsia="微软雅黑" w:cs="微软雅黑"/>
          <w:i w:val="0"/>
          <w:iCs w:val="0"/>
          <w:caps w:val="0"/>
          <w:color w:val="424242"/>
          <w:spacing w:val="0"/>
          <w:sz w:val="27"/>
          <w:szCs w:val="27"/>
          <w:shd w:val="clear" w:fill="FFFFFF"/>
        </w:rPr>
        <w:t>强制</w:t>
      </w:r>
      <w:r>
        <w:rPr>
          <w:rStyle w:val="5"/>
          <w:rFonts w:hint="eastAsia" w:ascii="微软雅黑" w:hAnsi="微软雅黑" w:eastAsia="微软雅黑" w:cs="微软雅黑"/>
          <w:i w:val="0"/>
          <w:iCs w:val="0"/>
          <w:caps w:val="0"/>
          <w:color w:val="424242"/>
          <w:spacing w:val="0"/>
          <w:sz w:val="27"/>
          <w:szCs w:val="27"/>
          <w:shd w:val="clear" w:fill="FFFFFF"/>
          <w:lang w:val="en-US" w:eastAsia="zh-CN"/>
        </w:rPr>
        <w:t>“</w:t>
      </w:r>
      <w:r>
        <w:rPr>
          <w:rStyle w:val="5"/>
          <w:rFonts w:hint="eastAsia" w:ascii="微软雅黑" w:hAnsi="微软雅黑" w:eastAsia="微软雅黑" w:cs="微软雅黑"/>
          <w:i w:val="0"/>
          <w:iCs w:val="0"/>
          <w:caps w:val="0"/>
          <w:color w:val="424242"/>
          <w:spacing w:val="0"/>
          <w:sz w:val="27"/>
          <w:szCs w:val="27"/>
          <w:shd w:val="clear" w:fill="FFFFFF"/>
        </w:rPr>
        <w:t>清单</w:t>
      </w:r>
      <w:r>
        <w:rPr>
          <w:rStyle w:val="5"/>
          <w:rFonts w:hint="eastAsia" w:ascii="微软雅黑" w:hAnsi="微软雅黑" w:eastAsia="微软雅黑" w:cs="微软雅黑"/>
          <w:b/>
          <w:bCs w:val="0"/>
          <w:i w:val="0"/>
          <w:iCs w:val="0"/>
          <w:caps w:val="0"/>
          <w:color w:val="424242"/>
          <w:spacing w:val="0"/>
          <w:sz w:val="27"/>
          <w:szCs w:val="27"/>
          <w:shd w:val="clear" w:fill="FFFFFF"/>
          <w:lang w:eastAsia="zh-CN"/>
        </w:rPr>
        <w:t>（省局已定的项目，各市可增加项目）</w:t>
      </w:r>
    </w:p>
    <w:tbl>
      <w:tblPr>
        <w:tblStyle w:val="3"/>
        <w:tblW w:w="1206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36"/>
        <w:gridCol w:w="2373"/>
        <w:gridCol w:w="1382"/>
        <w:gridCol w:w="1787"/>
        <w:gridCol w:w="4085"/>
        <w:gridCol w:w="169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7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序号</w:t>
            </w:r>
          </w:p>
        </w:tc>
        <w:tc>
          <w:tcPr>
            <w:tcW w:w="23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事项名称</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基本编码</w:t>
            </w:r>
          </w:p>
        </w:tc>
        <w:tc>
          <w:tcPr>
            <w:tcW w:w="178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设定依据</w:t>
            </w:r>
          </w:p>
        </w:tc>
        <w:tc>
          <w:tcPr>
            <w:tcW w:w="40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适用情形</w:t>
            </w:r>
          </w:p>
        </w:tc>
        <w:tc>
          <w:tcPr>
            <w:tcW w:w="16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5"/>
                <w:color w:val="424242"/>
              </w:rPr>
              <w:t>免</w:t>
            </w:r>
            <w:r>
              <w:rPr>
                <w:rStyle w:val="5"/>
                <w:rFonts w:hint="eastAsia"/>
                <w:color w:val="424242"/>
                <w:lang w:eastAsia="zh-CN"/>
              </w:rPr>
              <w:t>行政</w:t>
            </w:r>
            <w:r>
              <w:rPr>
                <w:rStyle w:val="5"/>
                <w:color w:val="424242"/>
              </w:rPr>
              <w:t>强制</w:t>
            </w:r>
            <w:r>
              <w:rPr>
                <w:rStyle w:val="5"/>
                <w:rFonts w:hint="eastAsia"/>
                <w:color w:val="424242"/>
                <w:lang w:val="en-US" w:eastAsia="zh-CN"/>
              </w:rPr>
              <w:t xml:space="preserve"> </w:t>
            </w:r>
            <w:r>
              <w:rPr>
                <w:rStyle w:val="5"/>
                <w:color w:val="424242"/>
              </w:rPr>
              <w:t>依据</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7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23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对与直销活动有关的材料和非法财物进行查封等行政强制</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440325032001</w:t>
            </w:r>
          </w:p>
        </w:tc>
        <w:tc>
          <w:tcPr>
            <w:tcW w:w="178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《直销管理条例》第三十五条第一款第四项</w:t>
            </w:r>
          </w:p>
        </w:tc>
        <w:tc>
          <w:tcPr>
            <w:tcW w:w="40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直销企业未依照有关规定进行信息报备和披露的，经责令限期改正后及时改正，未造成危害后果，可以采取其他非强制手段达到管理目的的。</w:t>
            </w:r>
          </w:p>
        </w:tc>
        <w:tc>
          <w:tcPr>
            <w:tcW w:w="16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《行政强制法》第五条、第十六条第二款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7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237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对与直销活动有关的材料和非法财物进行扣押等行政强制</w:t>
            </w:r>
          </w:p>
        </w:tc>
        <w:tc>
          <w:tcPr>
            <w:tcW w:w="13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440325032002</w:t>
            </w:r>
          </w:p>
        </w:tc>
        <w:tc>
          <w:tcPr>
            <w:tcW w:w="178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《直销管理条例》第三十五条第一款第四项</w:t>
            </w:r>
          </w:p>
        </w:tc>
        <w:tc>
          <w:tcPr>
            <w:tcW w:w="40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直销企业未依照有关规定进行信息报备和披露的，经责令限期改正后及时改正，未造成危害后果，可以采取其他非强制手段达到管理目的的。</w:t>
            </w:r>
          </w:p>
        </w:tc>
        <w:tc>
          <w:tcPr>
            <w:tcW w:w="169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rPr>
                <w:color w:val="424242"/>
              </w:rPr>
            </w:pPr>
            <w:r>
              <w:rPr>
                <w:color w:val="424242"/>
              </w:rPr>
              <w:t>《行政强制法》第五条、第十六条第二款</w:t>
            </w:r>
          </w:p>
        </w:tc>
      </w:tr>
    </w:tbl>
    <w:p/>
    <w:p/>
    <w:sectPr>
      <w:pgSz w:w="16838" w:h="23811"/>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lNzUzMWQ1YzRhNWQ4NjNmMmYzNTYyMGY4MTdmN2MifQ=="/>
  </w:docVars>
  <w:rsids>
    <w:rsidRoot w:val="13553D3E"/>
    <w:rsid w:val="011E0236"/>
    <w:rsid w:val="02094A42"/>
    <w:rsid w:val="04BA64C7"/>
    <w:rsid w:val="04F01EE9"/>
    <w:rsid w:val="054144F3"/>
    <w:rsid w:val="06967BAA"/>
    <w:rsid w:val="0A096C28"/>
    <w:rsid w:val="0A717628"/>
    <w:rsid w:val="0AC35D98"/>
    <w:rsid w:val="0B5D5D8B"/>
    <w:rsid w:val="0BAC17DD"/>
    <w:rsid w:val="0C2760DF"/>
    <w:rsid w:val="0D847672"/>
    <w:rsid w:val="101C1DE4"/>
    <w:rsid w:val="13553D3E"/>
    <w:rsid w:val="139A7BF0"/>
    <w:rsid w:val="15542020"/>
    <w:rsid w:val="16774218"/>
    <w:rsid w:val="18E73F57"/>
    <w:rsid w:val="1A4C4F97"/>
    <w:rsid w:val="1A622AE9"/>
    <w:rsid w:val="1AD02149"/>
    <w:rsid w:val="1B5667A8"/>
    <w:rsid w:val="1B5C18DE"/>
    <w:rsid w:val="1E396257"/>
    <w:rsid w:val="1EDF0BAD"/>
    <w:rsid w:val="1EE73F05"/>
    <w:rsid w:val="1EF957AA"/>
    <w:rsid w:val="1F1E457B"/>
    <w:rsid w:val="1F9A0F77"/>
    <w:rsid w:val="20450EE3"/>
    <w:rsid w:val="20CA3197"/>
    <w:rsid w:val="20F546B7"/>
    <w:rsid w:val="22DB5B2F"/>
    <w:rsid w:val="23563407"/>
    <w:rsid w:val="23D700A4"/>
    <w:rsid w:val="249C309C"/>
    <w:rsid w:val="24E10A60"/>
    <w:rsid w:val="2580476C"/>
    <w:rsid w:val="26934329"/>
    <w:rsid w:val="27A42993"/>
    <w:rsid w:val="28FB6205"/>
    <w:rsid w:val="29600B3C"/>
    <w:rsid w:val="2A13795C"/>
    <w:rsid w:val="2B563FA5"/>
    <w:rsid w:val="2CA814B4"/>
    <w:rsid w:val="2CB2345D"/>
    <w:rsid w:val="2CB573F1"/>
    <w:rsid w:val="2D524C40"/>
    <w:rsid w:val="2DD41AF8"/>
    <w:rsid w:val="2E41718E"/>
    <w:rsid w:val="2E48377E"/>
    <w:rsid w:val="2EF91817"/>
    <w:rsid w:val="2F283EAA"/>
    <w:rsid w:val="2FFF4F1B"/>
    <w:rsid w:val="300E30A0"/>
    <w:rsid w:val="312E32CE"/>
    <w:rsid w:val="317626E2"/>
    <w:rsid w:val="337C6572"/>
    <w:rsid w:val="340614BC"/>
    <w:rsid w:val="341E36B2"/>
    <w:rsid w:val="34452E08"/>
    <w:rsid w:val="34733E19"/>
    <w:rsid w:val="34A04918"/>
    <w:rsid w:val="34F8431E"/>
    <w:rsid w:val="35D62237"/>
    <w:rsid w:val="36213401"/>
    <w:rsid w:val="36790FAE"/>
    <w:rsid w:val="36DB7A54"/>
    <w:rsid w:val="37E56C84"/>
    <w:rsid w:val="39D0586A"/>
    <w:rsid w:val="3AA8413B"/>
    <w:rsid w:val="3AEE6870"/>
    <w:rsid w:val="3B0A4DAB"/>
    <w:rsid w:val="3DFD29A6"/>
    <w:rsid w:val="3EA177D5"/>
    <w:rsid w:val="3F253F62"/>
    <w:rsid w:val="3F830C89"/>
    <w:rsid w:val="3FA13A92"/>
    <w:rsid w:val="3FB377C0"/>
    <w:rsid w:val="41230975"/>
    <w:rsid w:val="41CE08E1"/>
    <w:rsid w:val="425F282E"/>
    <w:rsid w:val="431C742A"/>
    <w:rsid w:val="431F4156"/>
    <w:rsid w:val="43362BE2"/>
    <w:rsid w:val="443B7D84"/>
    <w:rsid w:val="458F2D0E"/>
    <w:rsid w:val="461118F6"/>
    <w:rsid w:val="46C47640"/>
    <w:rsid w:val="473531B0"/>
    <w:rsid w:val="483B47F6"/>
    <w:rsid w:val="48BD520B"/>
    <w:rsid w:val="48F03C29"/>
    <w:rsid w:val="4968161B"/>
    <w:rsid w:val="4B8B339F"/>
    <w:rsid w:val="4DB03590"/>
    <w:rsid w:val="4E3F66C2"/>
    <w:rsid w:val="4FBA06F6"/>
    <w:rsid w:val="517D5E7F"/>
    <w:rsid w:val="51A0703E"/>
    <w:rsid w:val="522A0E1C"/>
    <w:rsid w:val="524D5852"/>
    <w:rsid w:val="525564B4"/>
    <w:rsid w:val="55006BAB"/>
    <w:rsid w:val="55572544"/>
    <w:rsid w:val="55BB0D24"/>
    <w:rsid w:val="56D7393C"/>
    <w:rsid w:val="5846521D"/>
    <w:rsid w:val="58C47EF0"/>
    <w:rsid w:val="58DC3E49"/>
    <w:rsid w:val="591F15CA"/>
    <w:rsid w:val="5B6333EA"/>
    <w:rsid w:val="5BAC183B"/>
    <w:rsid w:val="5C050F4B"/>
    <w:rsid w:val="5C602626"/>
    <w:rsid w:val="5CF52D6E"/>
    <w:rsid w:val="5D2B5E3B"/>
    <w:rsid w:val="5E391C8C"/>
    <w:rsid w:val="5E6036C0"/>
    <w:rsid w:val="5E8D26AE"/>
    <w:rsid w:val="5ECB022A"/>
    <w:rsid w:val="5F131BD1"/>
    <w:rsid w:val="5FAC0559"/>
    <w:rsid w:val="608508AD"/>
    <w:rsid w:val="63F77FDF"/>
    <w:rsid w:val="645A795A"/>
    <w:rsid w:val="64F426B5"/>
    <w:rsid w:val="661E3335"/>
    <w:rsid w:val="689E0F52"/>
    <w:rsid w:val="69513F33"/>
    <w:rsid w:val="69C3796C"/>
    <w:rsid w:val="6A0D5B9B"/>
    <w:rsid w:val="6AF428B7"/>
    <w:rsid w:val="6B594E10"/>
    <w:rsid w:val="6BD6020E"/>
    <w:rsid w:val="6BE26BB3"/>
    <w:rsid w:val="6C5A1877"/>
    <w:rsid w:val="6C9C3206"/>
    <w:rsid w:val="6D041684"/>
    <w:rsid w:val="6D7E290C"/>
    <w:rsid w:val="6E2C2368"/>
    <w:rsid w:val="6E9948E5"/>
    <w:rsid w:val="74387CB8"/>
    <w:rsid w:val="74442EB9"/>
    <w:rsid w:val="74D80B53"/>
    <w:rsid w:val="74F22107"/>
    <w:rsid w:val="75671ED7"/>
    <w:rsid w:val="756E770A"/>
    <w:rsid w:val="757F5473"/>
    <w:rsid w:val="75AF3FAA"/>
    <w:rsid w:val="75DA74BA"/>
    <w:rsid w:val="765379C9"/>
    <w:rsid w:val="767E397C"/>
    <w:rsid w:val="76F10187"/>
    <w:rsid w:val="77D45F4A"/>
    <w:rsid w:val="78FE3086"/>
    <w:rsid w:val="79050385"/>
    <w:rsid w:val="799534B7"/>
    <w:rsid w:val="7A3D062C"/>
    <w:rsid w:val="7B2F16E9"/>
    <w:rsid w:val="7B4B6523"/>
    <w:rsid w:val="7D23702C"/>
    <w:rsid w:val="7D62500D"/>
    <w:rsid w:val="7DA360E3"/>
    <w:rsid w:val="7DBA4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12542</Words>
  <Characters>13232</Characters>
  <Lines>0</Lines>
  <Paragraphs>0</Paragraphs>
  <TotalTime>27</TotalTime>
  <ScaleCrop>false</ScaleCrop>
  <LinksUpToDate>false</LinksUpToDate>
  <CharactersWithSpaces>13275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2022-08-16T08:55:00Z</dcterms:created>
  <dc:creator>张伟科</dc:creator>
  <cp:lastModifiedBy>张伟科</cp:lastModifiedBy>
  <cp:lastPrinted>2022-08-30T07:30:42Z</cp:lastPrinted>
  <dcterms:modified xsi:type="dcterms:W3CDTF">2022-08-30T07:33:24Z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D5BD44142DAC4A14BEEC1DAA6FDE5BF3</vt:lpwstr>
  </property>
</Properties>
</file>