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5042" w:firstLineChars="1400"/>
        <w:jc w:val="both"/>
        <w:rPr>
          <w:rStyle w:val="7"/>
          <w:rFonts w:hint="eastAsia" w:ascii="微软雅黑" w:hAnsi="微软雅黑" w:eastAsia="微软雅黑" w:cs="微软雅黑"/>
          <w:i w:val="0"/>
          <w:iCs w:val="0"/>
          <w:caps w:val="0"/>
          <w:color w:val="424242"/>
          <w:spacing w:val="0"/>
          <w:sz w:val="36"/>
          <w:szCs w:val="36"/>
          <w:shd w:val="clear" w:fill="FFFFFF"/>
        </w:rPr>
      </w:pPr>
      <w:r>
        <w:rPr>
          <w:rStyle w:val="7"/>
          <w:rFonts w:hint="eastAsia" w:ascii="微软雅黑" w:hAnsi="微软雅黑" w:eastAsia="微软雅黑" w:cs="微软雅黑"/>
          <w:i w:val="0"/>
          <w:iCs w:val="0"/>
          <w:caps w:val="0"/>
          <w:color w:val="424242"/>
          <w:spacing w:val="0"/>
          <w:sz w:val="36"/>
          <w:szCs w:val="36"/>
          <w:shd w:val="clear" w:fill="FFFFFF"/>
          <w:lang w:val="en-US" w:eastAsia="zh-CN"/>
        </w:rPr>
        <w:t>梅州市</w:t>
      </w:r>
      <w:r>
        <w:rPr>
          <w:rStyle w:val="7"/>
          <w:rFonts w:hint="eastAsia" w:ascii="微软雅黑" w:hAnsi="微软雅黑" w:eastAsia="微软雅黑" w:cs="微软雅黑"/>
          <w:i w:val="0"/>
          <w:iCs w:val="0"/>
          <w:caps w:val="0"/>
          <w:color w:val="424242"/>
          <w:spacing w:val="0"/>
          <w:sz w:val="36"/>
          <w:szCs w:val="36"/>
          <w:shd w:val="clear" w:fill="FFFFFF"/>
        </w:rPr>
        <w:t>市场监督管理局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4322" w:firstLineChars="1200"/>
        <w:jc w:val="both"/>
        <w:rPr>
          <w:rStyle w:val="7"/>
          <w:rFonts w:hint="eastAsia" w:ascii="微软雅黑" w:hAnsi="微软雅黑" w:eastAsia="微软雅黑" w:cs="微软雅黑"/>
          <w:i w:val="0"/>
          <w:iCs w:val="0"/>
          <w:caps w:val="0"/>
          <w:color w:val="424242"/>
          <w:spacing w:val="0"/>
          <w:sz w:val="36"/>
          <w:szCs w:val="36"/>
          <w:shd w:val="clear" w:fill="FFFFFF"/>
        </w:rPr>
      </w:pPr>
      <w:r>
        <w:rPr>
          <w:rStyle w:val="7"/>
          <w:rFonts w:hint="eastAsia" w:ascii="微软雅黑" w:hAnsi="微软雅黑" w:eastAsia="微软雅黑" w:cs="微软雅黑"/>
          <w:i w:val="0"/>
          <w:iCs w:val="0"/>
          <w:caps w:val="0"/>
          <w:color w:val="424242"/>
          <w:spacing w:val="0"/>
          <w:sz w:val="36"/>
          <w:szCs w:val="36"/>
          <w:shd w:val="clear" w:fill="FFFFFF"/>
        </w:rPr>
        <w:t>行政执法减免责清单（2022年）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0"/>
        <w:jc w:val="center"/>
        <w:rPr>
          <w:rStyle w:val="7"/>
          <w:rFonts w:hint="eastAsia" w:ascii="微软雅黑" w:hAnsi="微软雅黑" w:eastAsia="微软雅黑" w:cs="微软雅黑"/>
          <w:i w:val="0"/>
          <w:iCs w:val="0"/>
          <w:caps w:val="0"/>
          <w:color w:val="424242"/>
          <w:spacing w:val="0"/>
          <w:sz w:val="36"/>
          <w:szCs w:val="36"/>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0"/>
        <w:jc w:val="center"/>
        <w:rPr>
          <w:rFonts w:hint="eastAsia" w:ascii="微软雅黑" w:hAnsi="微软雅黑" w:eastAsia="微软雅黑" w:cs="微软雅黑"/>
          <w:i w:val="0"/>
          <w:iCs w:val="0"/>
          <w:caps w:val="0"/>
          <w:color w:val="424242"/>
          <w:spacing w:val="0"/>
          <w:sz w:val="36"/>
          <w:szCs w:val="36"/>
          <w:lang w:val="en-US" w:eastAsia="zh-CN"/>
        </w:rPr>
      </w:pPr>
      <w:r>
        <w:rPr>
          <w:rStyle w:val="7"/>
          <w:rFonts w:hint="eastAsia" w:ascii="微软雅黑" w:hAnsi="微软雅黑" w:eastAsia="微软雅黑" w:cs="微软雅黑"/>
          <w:i w:val="0"/>
          <w:iCs w:val="0"/>
          <w:caps w:val="0"/>
          <w:color w:val="424242"/>
          <w:spacing w:val="0"/>
          <w:sz w:val="36"/>
          <w:szCs w:val="36"/>
          <w:shd w:val="clear" w:fill="FFFFFF"/>
        </w:rPr>
        <w:t>免处罚清单</w:t>
      </w:r>
    </w:p>
    <w:tbl>
      <w:tblPr>
        <w:tblStyle w:val="5"/>
        <w:tblW w:w="13569"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510"/>
        <w:gridCol w:w="4114"/>
        <w:gridCol w:w="2018"/>
        <w:gridCol w:w="1704"/>
        <w:gridCol w:w="2755"/>
        <w:gridCol w:w="2468"/>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7"/>
                <w:color w:val="424242"/>
              </w:rPr>
              <w:t>序号</w:t>
            </w:r>
          </w:p>
        </w:tc>
        <w:tc>
          <w:tcPr>
            <w:tcW w:w="411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7"/>
                <w:color w:val="424242"/>
              </w:rPr>
              <w:t>事项名称</w:t>
            </w:r>
          </w:p>
        </w:tc>
        <w:tc>
          <w:tcPr>
            <w:tcW w:w="201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7"/>
                <w:color w:val="424242"/>
              </w:rPr>
              <w:t>基本编码</w:t>
            </w:r>
          </w:p>
        </w:tc>
        <w:tc>
          <w:tcPr>
            <w:tcW w:w="170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7"/>
                <w:color w:val="424242"/>
              </w:rPr>
              <w:t>设定依据</w:t>
            </w:r>
          </w:p>
        </w:tc>
        <w:tc>
          <w:tcPr>
            <w:tcW w:w="27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7"/>
                <w:color w:val="424242"/>
              </w:rPr>
              <w:t>适用情形</w:t>
            </w:r>
          </w:p>
        </w:tc>
        <w:tc>
          <w:tcPr>
            <w:tcW w:w="246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7"/>
                <w:color w:val="424242"/>
              </w:rPr>
              <w:t>免处罚依据</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w:t>
            </w:r>
          </w:p>
        </w:tc>
        <w:tc>
          <w:tcPr>
            <w:tcW w:w="411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对违</w:t>
            </w:r>
            <w:r>
              <w:rPr>
                <w:rFonts w:hint="eastAsia"/>
                <w:color w:val="424242"/>
                <w:lang w:eastAsia="zh-CN"/>
              </w:rPr>
              <w:t>反</w:t>
            </w:r>
            <w:r>
              <w:rPr>
                <w:color w:val="424242"/>
              </w:rPr>
              <w:t>《电子商务法》第七十六条，存在未在首页显著位置公示营业执照信息、行政许可信息、属于不需要办理市场主体登记情形等信息，或者上述信息的链接标识等行为的行政处罚</w:t>
            </w:r>
          </w:p>
        </w:tc>
        <w:tc>
          <w:tcPr>
            <w:tcW w:w="201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440225014000</w:t>
            </w:r>
          </w:p>
        </w:tc>
        <w:tc>
          <w:tcPr>
            <w:tcW w:w="170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《电子商务法》第十五条、第十六条、第二十四条、第七十六条</w:t>
            </w:r>
          </w:p>
        </w:tc>
        <w:tc>
          <w:tcPr>
            <w:tcW w:w="27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rFonts w:hint="eastAsia"/>
                <w:color w:val="424242"/>
                <w:lang w:eastAsia="zh-CN"/>
              </w:rPr>
              <w:t>首次</w:t>
            </w:r>
            <w:r>
              <w:rPr>
                <w:color w:val="424242"/>
              </w:rPr>
              <w:t>被发现实施此类违法行为，立即自行改正或在行政机关责令改正的期限内改正，危害后果轻微。</w:t>
            </w:r>
          </w:p>
        </w:tc>
        <w:tc>
          <w:tcPr>
            <w:tcW w:w="246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《行政处罚法》第三十三条</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2</w:t>
            </w:r>
          </w:p>
        </w:tc>
        <w:tc>
          <w:tcPr>
            <w:tcW w:w="411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对违反《电子商务法》第八十一条，存在未在首页显著位置持续公示平台服务协议、交易规则信息或者上述信息的链接标识等行为的行政处罚</w:t>
            </w:r>
          </w:p>
        </w:tc>
        <w:tc>
          <w:tcPr>
            <w:tcW w:w="201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44022500E000</w:t>
            </w:r>
          </w:p>
        </w:tc>
        <w:tc>
          <w:tcPr>
            <w:tcW w:w="170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《电子商务法》第三十三条、第三十四条、第三十七条第一款、第三十九条、第八十一条第一款</w:t>
            </w:r>
          </w:p>
        </w:tc>
        <w:tc>
          <w:tcPr>
            <w:tcW w:w="27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首次被发现实施此类违法行为，立即自行改正或在行政机关责令改正的期限内改正，危害后果轻微。</w:t>
            </w:r>
          </w:p>
        </w:tc>
        <w:tc>
          <w:tcPr>
            <w:tcW w:w="246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《行政处罚法》第三十三条</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3</w:t>
            </w:r>
          </w:p>
        </w:tc>
        <w:tc>
          <w:tcPr>
            <w:tcW w:w="411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对网络交易平台提供者未在其平台显著位置明示七日无理由退货规则及配套的有关制度的行为的行政处罚</w:t>
            </w:r>
          </w:p>
        </w:tc>
        <w:tc>
          <w:tcPr>
            <w:tcW w:w="201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440226126002</w:t>
            </w:r>
          </w:p>
        </w:tc>
        <w:tc>
          <w:tcPr>
            <w:tcW w:w="170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《网络购买商品七日无理由退货暂行办法》第二十二条、第三十二条、《电子商务法》第八十一条第一款第一项</w:t>
            </w:r>
          </w:p>
        </w:tc>
        <w:tc>
          <w:tcPr>
            <w:tcW w:w="27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首次被发现实施此类违法行为，立即自行改正或在行政机关责令改正的期限内改正，危害后果轻微。</w:t>
            </w:r>
          </w:p>
        </w:tc>
        <w:tc>
          <w:tcPr>
            <w:tcW w:w="246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《行政处罚法》第三十三条</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w:t>
            </w:r>
          </w:p>
        </w:tc>
        <w:tc>
          <w:tcPr>
            <w:tcW w:w="411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对网络交易平台提供者未在技术上保证消费者能够便利、完整地阅览和保存的行为的行政处罚</w:t>
            </w:r>
          </w:p>
        </w:tc>
        <w:tc>
          <w:tcPr>
            <w:tcW w:w="201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440226126001</w:t>
            </w:r>
          </w:p>
        </w:tc>
        <w:tc>
          <w:tcPr>
            <w:tcW w:w="170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《网络购买商品七日无理由退货暂行办法》第二十二条、第三十二条、《电子商务法》第八十一条第一款第一项</w:t>
            </w:r>
          </w:p>
        </w:tc>
        <w:tc>
          <w:tcPr>
            <w:tcW w:w="27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首次被发现实施此类违法行为，立即自行改正或在行政机关责令改正的期限内改正，危害后果轻微。</w:t>
            </w:r>
          </w:p>
        </w:tc>
        <w:tc>
          <w:tcPr>
            <w:tcW w:w="246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《行政处罚法》第三十三条</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5</w:t>
            </w:r>
          </w:p>
        </w:tc>
        <w:tc>
          <w:tcPr>
            <w:tcW w:w="411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对在广告中使用“国家级”、“最高级”、“最佳”等用语的行为的行政处罚</w:t>
            </w:r>
          </w:p>
        </w:tc>
        <w:tc>
          <w:tcPr>
            <w:tcW w:w="201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440225982010</w:t>
            </w:r>
          </w:p>
        </w:tc>
        <w:tc>
          <w:tcPr>
            <w:tcW w:w="170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《广告法》第九条第一款第三项、第五十七条第一款第一项</w:t>
            </w:r>
          </w:p>
        </w:tc>
        <w:tc>
          <w:tcPr>
            <w:tcW w:w="27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广告主在其经营场所或者利用自有媒体发布自有商品或者服务广告，点击率或阅读量较低，首次被发现实施此类违法行为，立即自行改正或在行政机关责令改正的期限内改正，危害后果轻微。</w:t>
            </w:r>
          </w:p>
        </w:tc>
        <w:tc>
          <w:tcPr>
            <w:tcW w:w="246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《行政处罚法》第三十三条</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6</w:t>
            </w:r>
          </w:p>
        </w:tc>
        <w:tc>
          <w:tcPr>
            <w:tcW w:w="411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对法律、行政法规规定广告中应当明示的内容，未显著、清晰表示的行为的行政处罚</w:t>
            </w:r>
          </w:p>
        </w:tc>
        <w:tc>
          <w:tcPr>
            <w:tcW w:w="201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440225981000</w:t>
            </w:r>
          </w:p>
        </w:tc>
        <w:tc>
          <w:tcPr>
            <w:tcW w:w="170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《广告法》第八条、第五十九条第一款第一项</w:t>
            </w:r>
          </w:p>
        </w:tc>
        <w:tc>
          <w:tcPr>
            <w:tcW w:w="27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首次被发现实施此类违法行为，立即自行改正或在行政机关责令改正的期限内改正，危害后果轻微。</w:t>
            </w:r>
          </w:p>
        </w:tc>
        <w:tc>
          <w:tcPr>
            <w:tcW w:w="246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《行政处罚法》第三十三条</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7</w:t>
            </w:r>
          </w:p>
        </w:tc>
        <w:tc>
          <w:tcPr>
            <w:tcW w:w="411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对广告使用数据、统计资料、调查结果、文摘、引用语等引证内容未表明出处，引证内容有适用范围和有效期限未明确表示的行为的行政处罚</w:t>
            </w:r>
          </w:p>
        </w:tc>
        <w:tc>
          <w:tcPr>
            <w:tcW w:w="201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440225978000</w:t>
            </w:r>
          </w:p>
        </w:tc>
        <w:tc>
          <w:tcPr>
            <w:tcW w:w="170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《广告法》第十一条第二款、第五十九条第一款第二项</w:t>
            </w:r>
          </w:p>
        </w:tc>
        <w:tc>
          <w:tcPr>
            <w:tcW w:w="27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广告引证内容真实、准确，首次被发现实施此类违法行为，立即自行改正或在行政机关责令改正的期限内改正，危害后果轻微。</w:t>
            </w:r>
          </w:p>
        </w:tc>
        <w:tc>
          <w:tcPr>
            <w:tcW w:w="246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《行政处罚法》第三十三条</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8</w:t>
            </w:r>
          </w:p>
        </w:tc>
        <w:tc>
          <w:tcPr>
            <w:tcW w:w="411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对广告中涉及专利产品或者专利方法，未标明专利号和专利种类的行为的行政处罚</w:t>
            </w:r>
          </w:p>
        </w:tc>
        <w:tc>
          <w:tcPr>
            <w:tcW w:w="201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440225980000</w:t>
            </w:r>
          </w:p>
        </w:tc>
        <w:tc>
          <w:tcPr>
            <w:tcW w:w="170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《广告法》第十二条第一款、第五十九条第一款第三项</w:t>
            </w:r>
          </w:p>
        </w:tc>
        <w:tc>
          <w:tcPr>
            <w:tcW w:w="27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已取得专利权且不存在终止、撤销、无效等情形，首次被发现实施此类违法行为，立即自行改正或在行政机关责令改正的期限内改正，危害后果轻微。</w:t>
            </w:r>
          </w:p>
        </w:tc>
        <w:tc>
          <w:tcPr>
            <w:tcW w:w="246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《行政处罚法》第三十三条</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9</w:t>
            </w:r>
          </w:p>
        </w:tc>
        <w:tc>
          <w:tcPr>
            <w:tcW w:w="411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对大众传播媒介以新闻报道形式变相发布广告的行为的行政处罚</w:t>
            </w:r>
          </w:p>
        </w:tc>
        <w:tc>
          <w:tcPr>
            <w:tcW w:w="201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440225987000</w:t>
            </w:r>
          </w:p>
        </w:tc>
        <w:tc>
          <w:tcPr>
            <w:tcW w:w="170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《广告法》第十四条第二款、第五十九条第三款</w:t>
            </w:r>
          </w:p>
        </w:tc>
        <w:tc>
          <w:tcPr>
            <w:tcW w:w="27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首次被发现实施此类违法行为，立即自行改正或在行政机关责令改正的期限内改正，危害后果轻微。</w:t>
            </w:r>
          </w:p>
        </w:tc>
        <w:tc>
          <w:tcPr>
            <w:tcW w:w="246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《行政处罚法》第三十三条</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10</w:t>
            </w:r>
          </w:p>
        </w:tc>
        <w:tc>
          <w:tcPr>
            <w:tcW w:w="411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对违反《药品、医疗器械、保健食品、特殊医学用途配方食品广告审查管理暂行办法》第十条规定，未显著、清晰表示广告中应当显著标明内容的行为的行政处罚</w:t>
            </w:r>
          </w:p>
        </w:tc>
        <w:tc>
          <w:tcPr>
            <w:tcW w:w="201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440225047000</w:t>
            </w:r>
          </w:p>
        </w:tc>
        <w:tc>
          <w:tcPr>
            <w:tcW w:w="170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《药品、医疗器械、保健食品、特殊医学用途配方食品广告审查管理暂行办法》第十条、第二十五条、《广告法》第五十九条第一款</w:t>
            </w:r>
          </w:p>
        </w:tc>
        <w:tc>
          <w:tcPr>
            <w:tcW w:w="27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首次被发现实施此类违法行为，立即自行改正或在行政机关责令改正的期限内改正，危害后果轻微。</w:t>
            </w:r>
          </w:p>
        </w:tc>
        <w:tc>
          <w:tcPr>
            <w:tcW w:w="246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《行政处罚法》第三十三条</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11</w:t>
            </w:r>
          </w:p>
        </w:tc>
        <w:tc>
          <w:tcPr>
            <w:tcW w:w="411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对发布医疗广告未标注医疗机构第一名称和《医疗广告审查证明》文号的行为的行政处罚</w:t>
            </w:r>
          </w:p>
        </w:tc>
        <w:tc>
          <w:tcPr>
            <w:tcW w:w="201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440225845000</w:t>
            </w:r>
          </w:p>
        </w:tc>
        <w:tc>
          <w:tcPr>
            <w:tcW w:w="170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《医疗广告管理办法》第十四条、第二十二条</w:t>
            </w:r>
          </w:p>
        </w:tc>
        <w:tc>
          <w:tcPr>
            <w:tcW w:w="27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已取得广告批准文号，且发布的医疗广告内容与批准内容一致，且属于首次被发现实施此类违法行为，立即自行改正或在行政机关责令改正的期限内改正，危害后果轻微。</w:t>
            </w:r>
          </w:p>
        </w:tc>
        <w:tc>
          <w:tcPr>
            <w:tcW w:w="246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《行政处罚法》第三十三条</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12</w:t>
            </w:r>
          </w:p>
        </w:tc>
        <w:tc>
          <w:tcPr>
            <w:tcW w:w="411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对兽药广告内容未列出批准文号的行为的行政处罚</w:t>
            </w:r>
          </w:p>
        </w:tc>
        <w:tc>
          <w:tcPr>
            <w:tcW w:w="201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440225655000</w:t>
            </w:r>
          </w:p>
        </w:tc>
        <w:tc>
          <w:tcPr>
            <w:tcW w:w="170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《兽药广告审查发布标准》第十条、第十二条</w:t>
            </w:r>
          </w:p>
        </w:tc>
        <w:tc>
          <w:tcPr>
            <w:tcW w:w="27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已取得广告批准文号，且发布的兽药广告内容与批准内容一致，且属于首次被发现实施此类违法行为，立即自行改正或在行政机关责令改正的期限内改正，危害后果轻微。</w:t>
            </w:r>
          </w:p>
        </w:tc>
        <w:tc>
          <w:tcPr>
            <w:tcW w:w="246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《行政处罚法》第三十三条</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13</w:t>
            </w:r>
          </w:p>
        </w:tc>
        <w:tc>
          <w:tcPr>
            <w:tcW w:w="411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对农药广告内容未列出批准文号的行为的行政处罚</w:t>
            </w:r>
          </w:p>
        </w:tc>
        <w:tc>
          <w:tcPr>
            <w:tcW w:w="201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440226026000</w:t>
            </w:r>
          </w:p>
        </w:tc>
        <w:tc>
          <w:tcPr>
            <w:tcW w:w="170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《农药广告审查发布标准》第十一条、第十三条</w:t>
            </w:r>
          </w:p>
        </w:tc>
        <w:tc>
          <w:tcPr>
            <w:tcW w:w="27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已取得广告批准文号，且发布的农药广告内容与批准内容一致，且属于首次被发现实施此类违法行为，立即自行改正或在行政机关责令改正的期限内改正，危害后果轻微。</w:t>
            </w:r>
          </w:p>
        </w:tc>
        <w:tc>
          <w:tcPr>
            <w:tcW w:w="246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《行政处罚法》第三十三条</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14</w:t>
            </w:r>
          </w:p>
        </w:tc>
        <w:tc>
          <w:tcPr>
            <w:tcW w:w="411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使用非法定计量单位的，属出版物的行为的行政处罚</w:t>
            </w:r>
          </w:p>
        </w:tc>
        <w:tc>
          <w:tcPr>
            <w:tcW w:w="201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440225414000</w:t>
            </w:r>
          </w:p>
        </w:tc>
        <w:tc>
          <w:tcPr>
            <w:tcW w:w="170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《计量法》第三条、《计量法实施细则》第二条、第四十条</w:t>
            </w:r>
          </w:p>
        </w:tc>
        <w:tc>
          <w:tcPr>
            <w:tcW w:w="27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首次被发现实施此类违法行为，立即自行改正或在行政机关责令改正的期限内改正，危害后果轻微。</w:t>
            </w:r>
          </w:p>
        </w:tc>
        <w:tc>
          <w:tcPr>
            <w:tcW w:w="246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《行政处罚法》第三十三条</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15</w:t>
            </w:r>
          </w:p>
        </w:tc>
        <w:tc>
          <w:tcPr>
            <w:tcW w:w="411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部门和企业、事业单位的各项最高计量标准，未经有关人民政府计量行政部门考核合格而开展计量检定的行为的行政处罚</w:t>
            </w:r>
          </w:p>
        </w:tc>
        <w:tc>
          <w:tcPr>
            <w:tcW w:w="201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440225417000</w:t>
            </w:r>
          </w:p>
        </w:tc>
        <w:tc>
          <w:tcPr>
            <w:tcW w:w="170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《计量法》第七条、第八条、《计量法实施细则》第九条、第十条、第四十二条</w:t>
            </w:r>
          </w:p>
        </w:tc>
        <w:tc>
          <w:tcPr>
            <w:tcW w:w="27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首次被发现实施此类违法行为，持续时间不长，立即自行改正或在行政机关责令改正的期限内改正，危害后果轻微。</w:t>
            </w:r>
          </w:p>
        </w:tc>
        <w:tc>
          <w:tcPr>
            <w:tcW w:w="246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《行政处罚法》第三十三条</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16</w:t>
            </w:r>
          </w:p>
        </w:tc>
        <w:tc>
          <w:tcPr>
            <w:tcW w:w="411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属于强制检定范围的计量器具，未按照规定申请检定和属于非强制检定范围的计量器具未自行定期检定或者送其他计量检定机构定期检定的，以及经检定不合格继续使用的行为的行政处罚</w:t>
            </w:r>
          </w:p>
        </w:tc>
        <w:tc>
          <w:tcPr>
            <w:tcW w:w="201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440225416000</w:t>
            </w:r>
          </w:p>
        </w:tc>
        <w:tc>
          <w:tcPr>
            <w:tcW w:w="170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《计量法》第九条、《计量法实施细则》第十一条第二款、第十二条、第四十三条</w:t>
            </w:r>
          </w:p>
        </w:tc>
        <w:tc>
          <w:tcPr>
            <w:tcW w:w="27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首次被发现实施此类违法行为，计量器具经检定合格，立即自行改正或在行政机关责令改正的期限内改正，危害后果轻微。</w:t>
            </w:r>
          </w:p>
        </w:tc>
        <w:tc>
          <w:tcPr>
            <w:tcW w:w="246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《行政处罚法》第三十三条</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17</w:t>
            </w:r>
          </w:p>
        </w:tc>
        <w:tc>
          <w:tcPr>
            <w:tcW w:w="411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对生产、经营者将“驰名商标”字样用于商品、商品包装或者容器上，或者用于广告宣传、展览以及其他商业活动中的行为的行政处罚</w:t>
            </w:r>
          </w:p>
        </w:tc>
        <w:tc>
          <w:tcPr>
            <w:tcW w:w="201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440225223000</w:t>
            </w:r>
          </w:p>
        </w:tc>
        <w:tc>
          <w:tcPr>
            <w:tcW w:w="170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《商标法》第十四条第五款、第五十三条</w:t>
            </w:r>
          </w:p>
        </w:tc>
        <w:tc>
          <w:tcPr>
            <w:tcW w:w="27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有获得“驰名商标”认定或者保护记录，首次被发现实施此类违法行为，立即自行改正或在行政机关责令改正的期限内改正，危害后果轻微。</w:t>
            </w:r>
          </w:p>
        </w:tc>
        <w:tc>
          <w:tcPr>
            <w:tcW w:w="246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《行政处罚法》第三十三条</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leftChars="0" w:right="0" w:rightChars="0"/>
              <w:jc w:val="center"/>
              <w:rPr>
                <w:rFonts w:hint="default" w:eastAsiaTheme="minorEastAsia"/>
                <w:color w:val="424242"/>
                <w:lang w:val="en-US" w:eastAsia="zh-CN"/>
              </w:rPr>
            </w:pPr>
            <w:r>
              <w:rPr>
                <w:rFonts w:hint="eastAsia"/>
                <w:color w:val="424242"/>
                <w:lang w:val="en-US" w:eastAsia="zh-CN"/>
              </w:rPr>
              <w:t>18</w:t>
            </w:r>
          </w:p>
        </w:tc>
        <w:tc>
          <w:tcPr>
            <w:tcW w:w="411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numPr>
                <w:ilvl w:val="0"/>
                <w:numId w:val="0"/>
              </w:numPr>
              <w:rPr>
                <w:rFonts w:hint="eastAsia" w:ascii="宋体" w:hAnsi="宋体" w:eastAsia="宋体" w:cs="宋体"/>
                <w:b w:val="0"/>
                <w:bCs w:val="0"/>
                <w:sz w:val="24"/>
                <w:szCs w:val="24"/>
                <w:lang w:val="en-US" w:eastAsia="zh-CN"/>
              </w:rPr>
            </w:pPr>
            <w:r>
              <w:rPr>
                <w:rFonts w:hint="eastAsia" w:ascii="宋体" w:hAnsi="宋体" w:eastAsia="宋体" w:cs="宋体"/>
                <w:b w:val="0"/>
                <w:bCs w:val="0"/>
                <w:color w:val="auto"/>
                <w:sz w:val="24"/>
                <w:szCs w:val="24"/>
                <w:lang w:val="zh-TW" w:eastAsia="zh-CN" w:bidi="zh-TW"/>
              </w:rPr>
              <w:t>市场主体未经设立登记</w:t>
            </w:r>
            <w:r>
              <w:rPr>
                <w:rFonts w:hint="eastAsia" w:ascii="宋体" w:hAnsi="宋体" w:eastAsia="宋体" w:cs="宋体"/>
                <w:b w:val="0"/>
                <w:bCs w:val="0"/>
                <w:color w:val="auto"/>
                <w:sz w:val="24"/>
                <w:szCs w:val="24"/>
                <w:lang w:val="zh-TW" w:eastAsia="zh-TW" w:bidi="zh-TW"/>
              </w:rPr>
              <w:t>从事经营活动</w:t>
            </w:r>
            <w:r>
              <w:rPr>
                <w:rFonts w:hint="eastAsia" w:ascii="宋体" w:hAnsi="宋体" w:eastAsia="宋体" w:cs="宋体"/>
                <w:b w:val="0"/>
                <w:bCs w:val="0"/>
                <w:color w:val="auto"/>
                <w:sz w:val="24"/>
                <w:szCs w:val="24"/>
                <w:lang w:val="zh-TW" w:eastAsia="zh-CN" w:bidi="zh-TW"/>
              </w:rPr>
              <w:t>的行政处罚。</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leftChars="0" w:right="0" w:rightChars="0"/>
              <w:jc w:val="both"/>
              <w:rPr>
                <w:color w:val="424242"/>
              </w:rPr>
            </w:pPr>
          </w:p>
        </w:tc>
        <w:tc>
          <w:tcPr>
            <w:tcW w:w="201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leftChars="0" w:right="0" w:rightChars="0"/>
              <w:jc w:val="center"/>
              <w:rPr>
                <w:color w:val="424242"/>
              </w:rPr>
            </w:pPr>
            <w:r>
              <w:rPr>
                <w:rFonts w:hint="eastAsia"/>
                <w:color w:val="424242"/>
                <w:lang w:val="en-US" w:eastAsia="zh-CN"/>
              </w:rPr>
              <w:t>440225045000</w:t>
            </w:r>
          </w:p>
        </w:tc>
        <w:tc>
          <w:tcPr>
            <w:tcW w:w="170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numPr>
                <w:ilvl w:val="0"/>
                <w:numId w:val="0"/>
              </w:numPr>
              <w:rPr>
                <w:rFonts w:hint="eastAsia" w:ascii="宋体" w:hAnsi="宋体" w:eastAsia="宋体" w:cs="宋体"/>
                <w:b w:val="0"/>
                <w:bCs w:val="0"/>
                <w:color w:val="auto"/>
                <w:sz w:val="24"/>
                <w:szCs w:val="24"/>
                <w:lang w:val="en-US" w:eastAsia="zh-CN" w:bidi="zh-TW"/>
              </w:rPr>
            </w:pPr>
            <w:r>
              <w:rPr>
                <w:rFonts w:hint="eastAsia" w:ascii="宋体" w:hAnsi="宋体" w:eastAsia="宋体" w:cs="宋体"/>
                <w:sz w:val="24"/>
                <w:szCs w:val="24"/>
                <w:lang w:val="en-US" w:eastAsia="zh-CN"/>
              </w:rPr>
              <w:t>《市场主体登记管理条例》第三条、第四十三条。</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leftChars="0" w:right="0" w:rightChars="0"/>
              <w:jc w:val="both"/>
              <w:rPr>
                <w:color w:val="424242"/>
              </w:rPr>
            </w:pPr>
          </w:p>
        </w:tc>
        <w:tc>
          <w:tcPr>
            <w:tcW w:w="27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numPr>
                <w:ilvl w:val="0"/>
                <w:numId w:val="0"/>
              </w:numPr>
              <w:rPr>
                <w:rFonts w:hint="eastAsia" w:ascii="宋体" w:hAnsi="宋体" w:eastAsia="宋体" w:cs="宋体"/>
                <w:b w:val="0"/>
                <w:bCs w:val="0"/>
                <w:color w:val="auto"/>
                <w:sz w:val="24"/>
                <w:szCs w:val="24"/>
                <w:lang w:val="zh-TW" w:eastAsia="zh-CN" w:bidi="zh-TW"/>
              </w:rPr>
            </w:pPr>
            <w:r>
              <w:rPr>
                <w:rFonts w:hint="eastAsia" w:ascii="宋体" w:hAnsi="宋体" w:eastAsia="宋体" w:cs="宋体"/>
                <w:sz w:val="24"/>
                <w:szCs w:val="24"/>
                <w:lang w:val="en-US" w:eastAsia="zh-CN"/>
              </w:rPr>
              <w:t>首次被发现此类违法行为，</w:t>
            </w:r>
            <w:r>
              <w:rPr>
                <w:rFonts w:hint="eastAsia" w:ascii="宋体" w:hAnsi="宋体" w:eastAsia="宋体" w:cs="宋体"/>
                <w:b w:val="0"/>
                <w:bCs w:val="0"/>
                <w:color w:val="auto"/>
                <w:sz w:val="24"/>
                <w:szCs w:val="24"/>
                <w:lang w:val="zh-TW" w:eastAsia="zh-CN" w:bidi="zh-TW"/>
              </w:rPr>
              <w:t>不涉及食品、药品、特种设备、工业产品的安全和法律法规规定需要取得行政许可的项目，</w:t>
            </w:r>
            <w:r>
              <w:rPr>
                <w:rFonts w:hint="eastAsia" w:ascii="宋体" w:hAnsi="宋体" w:eastAsia="宋体" w:cs="宋体"/>
                <w:sz w:val="24"/>
                <w:szCs w:val="24"/>
                <w:lang w:val="en-US" w:eastAsia="zh-CN"/>
              </w:rPr>
              <w:t>立即自行改正或在行政机关责令改正的期限内改正</w:t>
            </w:r>
            <w:r>
              <w:rPr>
                <w:rFonts w:hint="eastAsia" w:ascii="宋体" w:hAnsi="宋体" w:eastAsia="宋体" w:cs="宋体"/>
                <w:b w:val="0"/>
                <w:bCs w:val="0"/>
                <w:color w:val="auto"/>
                <w:sz w:val="24"/>
                <w:szCs w:val="24"/>
                <w:lang w:val="zh-TW" w:eastAsia="zh-CN" w:bidi="zh-TW"/>
              </w:rPr>
              <w:t>，危害后果轻微。</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leftChars="0" w:right="0" w:rightChars="0"/>
              <w:jc w:val="both"/>
              <w:rPr>
                <w:color w:val="424242"/>
              </w:rPr>
            </w:pPr>
          </w:p>
        </w:tc>
        <w:tc>
          <w:tcPr>
            <w:tcW w:w="246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numPr>
                <w:ilvl w:val="0"/>
                <w:numId w:val="0"/>
              </w:numPr>
              <w:rPr>
                <w:rFonts w:hint="eastAsia" w:ascii="宋体" w:hAnsi="宋体" w:eastAsia="宋体" w:cs="宋体"/>
                <w:b w:val="0"/>
                <w:bCs w:val="0"/>
                <w:color w:val="auto"/>
                <w:sz w:val="24"/>
                <w:szCs w:val="24"/>
                <w:lang w:val="en-US" w:eastAsia="zh-CN" w:bidi="zh-TW"/>
              </w:rPr>
            </w:pPr>
            <w:r>
              <w:rPr>
                <w:rFonts w:hint="eastAsia" w:ascii="宋体" w:hAnsi="宋体" w:eastAsia="宋体" w:cs="宋体"/>
                <w:b w:val="0"/>
                <w:bCs w:val="0"/>
                <w:color w:val="auto"/>
                <w:sz w:val="24"/>
                <w:szCs w:val="24"/>
                <w:lang w:val="zh-TW" w:eastAsia="zh-CN" w:bidi="zh-TW"/>
              </w:rPr>
              <w:t>《行政处罚法》</w:t>
            </w:r>
            <w:r>
              <w:rPr>
                <w:rFonts w:hint="eastAsia" w:ascii="宋体" w:hAnsi="宋体" w:eastAsia="宋体" w:cs="宋体"/>
                <w:b w:val="0"/>
                <w:bCs w:val="0"/>
                <w:color w:val="auto"/>
                <w:sz w:val="24"/>
                <w:szCs w:val="24"/>
                <w:lang w:val="en-US" w:eastAsia="zh-CN" w:bidi="zh-TW"/>
              </w:rPr>
              <w:t>第三十三条。</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leftChars="0" w:right="0" w:rightChars="0"/>
              <w:jc w:val="both"/>
              <w:rPr>
                <w:color w:val="424242"/>
              </w:rPr>
            </w:pP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right="0" w:firstLine="6123" w:firstLineChars="1700"/>
        <w:jc w:val="both"/>
        <w:rPr>
          <w:rStyle w:val="7"/>
          <w:rFonts w:hint="eastAsia" w:ascii="微软雅黑" w:hAnsi="微软雅黑" w:eastAsia="微软雅黑" w:cs="微软雅黑"/>
          <w:i w:val="0"/>
          <w:iCs w:val="0"/>
          <w:caps w:val="0"/>
          <w:color w:val="424242"/>
          <w:spacing w:val="0"/>
          <w:sz w:val="36"/>
          <w:szCs w:val="36"/>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right="0" w:firstLine="6123" w:firstLineChars="1700"/>
        <w:jc w:val="both"/>
        <w:rPr>
          <w:rStyle w:val="7"/>
          <w:rFonts w:hint="eastAsia" w:ascii="微软雅黑" w:hAnsi="微软雅黑" w:eastAsia="微软雅黑" w:cs="微软雅黑"/>
          <w:i w:val="0"/>
          <w:iCs w:val="0"/>
          <w:caps w:val="0"/>
          <w:color w:val="424242"/>
          <w:spacing w:val="0"/>
          <w:sz w:val="36"/>
          <w:szCs w:val="36"/>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right="0" w:firstLine="6123" w:firstLineChars="1700"/>
        <w:jc w:val="both"/>
        <w:rPr>
          <w:rStyle w:val="7"/>
          <w:rFonts w:hint="eastAsia" w:ascii="微软雅黑" w:hAnsi="微软雅黑" w:eastAsia="微软雅黑" w:cs="微软雅黑"/>
          <w:i w:val="0"/>
          <w:iCs w:val="0"/>
          <w:caps w:val="0"/>
          <w:color w:val="424242"/>
          <w:spacing w:val="0"/>
          <w:sz w:val="36"/>
          <w:szCs w:val="36"/>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right="0" w:firstLine="6123" w:firstLineChars="1700"/>
        <w:jc w:val="both"/>
        <w:rPr>
          <w:rStyle w:val="7"/>
          <w:rFonts w:hint="eastAsia" w:ascii="微软雅黑" w:hAnsi="微软雅黑" w:eastAsia="微软雅黑" w:cs="微软雅黑"/>
          <w:i w:val="0"/>
          <w:iCs w:val="0"/>
          <w:caps w:val="0"/>
          <w:color w:val="424242"/>
          <w:spacing w:val="0"/>
          <w:sz w:val="36"/>
          <w:szCs w:val="36"/>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right="0" w:firstLine="6123" w:firstLineChars="1700"/>
        <w:jc w:val="both"/>
        <w:rPr>
          <w:rFonts w:hint="eastAsia" w:ascii="微软雅黑" w:hAnsi="微软雅黑" w:eastAsia="微软雅黑" w:cs="微软雅黑"/>
          <w:i w:val="0"/>
          <w:iCs w:val="0"/>
          <w:caps w:val="0"/>
          <w:color w:val="424242"/>
          <w:spacing w:val="0"/>
          <w:sz w:val="36"/>
          <w:szCs w:val="36"/>
        </w:rPr>
      </w:pPr>
      <w:r>
        <w:rPr>
          <w:rStyle w:val="7"/>
          <w:rFonts w:hint="eastAsia" w:ascii="微软雅黑" w:hAnsi="微软雅黑" w:eastAsia="微软雅黑" w:cs="微软雅黑"/>
          <w:i w:val="0"/>
          <w:iCs w:val="0"/>
          <w:caps w:val="0"/>
          <w:color w:val="424242"/>
          <w:spacing w:val="0"/>
          <w:sz w:val="36"/>
          <w:szCs w:val="36"/>
          <w:shd w:val="clear" w:fill="FFFFFF"/>
        </w:rPr>
        <w:t>减轻处罚清单</w:t>
      </w:r>
    </w:p>
    <w:tbl>
      <w:tblPr>
        <w:tblStyle w:val="5"/>
        <w:tblW w:w="13556"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451"/>
        <w:gridCol w:w="3191"/>
        <w:gridCol w:w="1991"/>
        <w:gridCol w:w="1050"/>
        <w:gridCol w:w="2223"/>
        <w:gridCol w:w="2195"/>
        <w:gridCol w:w="2455"/>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45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7"/>
                <w:color w:val="424242"/>
              </w:rPr>
              <w:t>序号</w:t>
            </w:r>
          </w:p>
        </w:tc>
        <w:tc>
          <w:tcPr>
            <w:tcW w:w="319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7"/>
                <w:color w:val="424242"/>
              </w:rPr>
              <w:t>事项名称</w:t>
            </w:r>
          </w:p>
        </w:tc>
        <w:tc>
          <w:tcPr>
            <w:tcW w:w="199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7"/>
                <w:color w:val="424242"/>
              </w:rPr>
              <w:t>基本编码</w:t>
            </w:r>
          </w:p>
        </w:tc>
        <w:tc>
          <w:tcPr>
            <w:tcW w:w="105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7"/>
                <w:color w:val="424242"/>
              </w:rPr>
              <w:t>设定依据</w:t>
            </w:r>
          </w:p>
        </w:tc>
        <w:tc>
          <w:tcPr>
            <w:tcW w:w="2223"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7"/>
                <w:color w:val="424242"/>
              </w:rPr>
              <w:t>适用情形</w:t>
            </w:r>
          </w:p>
        </w:tc>
        <w:tc>
          <w:tcPr>
            <w:tcW w:w="219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7"/>
                <w:color w:val="424242"/>
              </w:rPr>
              <w:t>减轻处罚依据</w:t>
            </w:r>
          </w:p>
        </w:tc>
        <w:tc>
          <w:tcPr>
            <w:tcW w:w="24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7"/>
                <w:color w:val="424242"/>
              </w:rPr>
              <w:t>裁量幅度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45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w:t>
            </w:r>
          </w:p>
        </w:tc>
        <w:tc>
          <w:tcPr>
            <w:tcW w:w="319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商品或者服务不存在；商品的性能、功能、产地、用途、质量、规格、成分、价格、生产者、有效期限、销售状况、曾获荣誉等信息，或者服务的内容、提供者、形式、质量、价格、销售状况、曾获荣誉等信息，以及与商品或者服务有关的允诺等信息与实际情况不符，对购买行为有实质性影响；使用虚构、伪造或者无法验证的科研成果、统计资料、调查结果、文摘、引用语等信息作证明材料；虚构使用商品或者接受服务的效果；以虚假或者引人误解的内容欺骗、误导消费者的其他情形的行为的行政处罚</w:t>
            </w:r>
          </w:p>
        </w:tc>
        <w:tc>
          <w:tcPr>
            <w:tcW w:w="199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44022600400Y</w:t>
            </w:r>
          </w:p>
        </w:tc>
        <w:tc>
          <w:tcPr>
            <w:tcW w:w="105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《广告法》第四条、第二十八条、第五十五条第三款</w:t>
            </w:r>
          </w:p>
        </w:tc>
        <w:tc>
          <w:tcPr>
            <w:tcW w:w="2223"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两种以上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（本项仅限广告经营者、广告发布者应知广告虚假仍设计、制作、代理、发布的违法行为）</w:t>
            </w:r>
          </w:p>
        </w:tc>
        <w:tc>
          <w:tcPr>
            <w:tcW w:w="219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24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没收广告费用，并处广告费用不超过3倍的罚款，广告费用无法计算或者明显偏低的，处不超过20万元的罚款。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45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2</w:t>
            </w:r>
          </w:p>
        </w:tc>
        <w:tc>
          <w:tcPr>
            <w:tcW w:w="319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对在广告中使用“国家级”、“最高级”、“最佳”等用语的行为的行政处罚</w:t>
            </w:r>
          </w:p>
        </w:tc>
        <w:tc>
          <w:tcPr>
            <w:tcW w:w="199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440225982010</w:t>
            </w:r>
          </w:p>
        </w:tc>
        <w:tc>
          <w:tcPr>
            <w:tcW w:w="105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《广告法》第九条第一款第三项、第五十七条第一款第一项</w:t>
            </w:r>
          </w:p>
        </w:tc>
        <w:tc>
          <w:tcPr>
            <w:tcW w:w="2223"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两种以上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tc>
        <w:tc>
          <w:tcPr>
            <w:tcW w:w="219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24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处不超过20万元的罚款。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45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3</w:t>
            </w:r>
          </w:p>
        </w:tc>
        <w:tc>
          <w:tcPr>
            <w:tcW w:w="319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对兽药广告内容未列出批准文号的行为的行政处罚</w:t>
            </w:r>
          </w:p>
        </w:tc>
        <w:tc>
          <w:tcPr>
            <w:tcW w:w="199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440225655000</w:t>
            </w:r>
          </w:p>
        </w:tc>
        <w:tc>
          <w:tcPr>
            <w:tcW w:w="105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《兽药广告审查发布标准》第十条、第十二条</w:t>
            </w:r>
          </w:p>
        </w:tc>
        <w:tc>
          <w:tcPr>
            <w:tcW w:w="2223"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两种以上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tc>
        <w:tc>
          <w:tcPr>
            <w:tcW w:w="219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24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警告。</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45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w:t>
            </w:r>
          </w:p>
        </w:tc>
        <w:tc>
          <w:tcPr>
            <w:tcW w:w="319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对农药广告内容未列出批准文号的行为的行政处罚</w:t>
            </w:r>
          </w:p>
        </w:tc>
        <w:tc>
          <w:tcPr>
            <w:tcW w:w="199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440226026000</w:t>
            </w:r>
          </w:p>
        </w:tc>
        <w:tc>
          <w:tcPr>
            <w:tcW w:w="105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《农药广告审查发布标准》第十一条、第十三条</w:t>
            </w:r>
          </w:p>
        </w:tc>
        <w:tc>
          <w:tcPr>
            <w:tcW w:w="2223"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两种以上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tc>
        <w:tc>
          <w:tcPr>
            <w:tcW w:w="219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24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警告。</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c>
          <w:tcPr>
            <w:tcW w:w="45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5</w:t>
            </w:r>
          </w:p>
        </w:tc>
        <w:tc>
          <w:tcPr>
            <w:tcW w:w="319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对生产、经营者将“驰名商标”字样用于商品、商品包装或者容器上，或者用于广告宣传、展览以及其他商业活动中的行为的行政处罚</w:t>
            </w:r>
          </w:p>
        </w:tc>
        <w:tc>
          <w:tcPr>
            <w:tcW w:w="199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440225223000</w:t>
            </w:r>
          </w:p>
        </w:tc>
        <w:tc>
          <w:tcPr>
            <w:tcW w:w="105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《商标法》第十四条第五款、第五十三条</w:t>
            </w:r>
          </w:p>
        </w:tc>
        <w:tc>
          <w:tcPr>
            <w:tcW w:w="2223"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两种以上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tc>
        <w:tc>
          <w:tcPr>
            <w:tcW w:w="219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24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处不超过10万元的罚款。</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0"/>
        <w:jc w:val="center"/>
        <w:rPr>
          <w:rStyle w:val="7"/>
          <w:rFonts w:hint="eastAsia" w:ascii="微软雅黑" w:hAnsi="微软雅黑" w:eastAsia="微软雅黑" w:cs="微软雅黑"/>
          <w:i w:val="0"/>
          <w:iCs w:val="0"/>
          <w:caps w:val="0"/>
          <w:color w:val="424242"/>
          <w:spacing w:val="0"/>
          <w:sz w:val="36"/>
          <w:szCs w:val="36"/>
          <w:shd w:val="clear" w:fill="FFFFFF"/>
        </w:rPr>
      </w:pPr>
      <w:bookmarkStart w:id="0" w:name="_GoBack"/>
      <w:bookmarkEnd w:id="0"/>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0"/>
        <w:jc w:val="center"/>
        <w:rPr>
          <w:rStyle w:val="7"/>
          <w:rFonts w:hint="eastAsia" w:ascii="微软雅黑" w:hAnsi="微软雅黑" w:eastAsia="微软雅黑" w:cs="微软雅黑"/>
          <w:i w:val="0"/>
          <w:iCs w:val="0"/>
          <w:caps w:val="0"/>
          <w:color w:val="424242"/>
          <w:spacing w:val="0"/>
          <w:sz w:val="27"/>
          <w:szCs w:val="27"/>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5763" w:firstLineChars="1600"/>
        <w:jc w:val="both"/>
        <w:rPr>
          <w:rStyle w:val="7"/>
          <w:rFonts w:hint="eastAsia" w:ascii="微软雅黑" w:hAnsi="微软雅黑" w:eastAsia="微软雅黑" w:cs="微软雅黑"/>
          <w:i w:val="0"/>
          <w:iCs w:val="0"/>
          <w:caps w:val="0"/>
          <w:color w:val="424242"/>
          <w:spacing w:val="0"/>
          <w:sz w:val="36"/>
          <w:szCs w:val="36"/>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5763" w:firstLineChars="1600"/>
        <w:jc w:val="both"/>
        <w:rPr>
          <w:rFonts w:hint="eastAsia" w:ascii="微软雅黑" w:hAnsi="微软雅黑" w:eastAsia="微软雅黑" w:cs="微软雅黑"/>
          <w:i w:val="0"/>
          <w:iCs w:val="0"/>
          <w:caps w:val="0"/>
          <w:color w:val="424242"/>
          <w:spacing w:val="0"/>
          <w:sz w:val="36"/>
          <w:szCs w:val="36"/>
        </w:rPr>
      </w:pPr>
      <w:r>
        <w:rPr>
          <w:rStyle w:val="7"/>
          <w:rFonts w:hint="eastAsia" w:ascii="微软雅黑" w:hAnsi="微软雅黑" w:eastAsia="微软雅黑" w:cs="微软雅黑"/>
          <w:i w:val="0"/>
          <w:iCs w:val="0"/>
          <w:caps w:val="0"/>
          <w:color w:val="424242"/>
          <w:spacing w:val="0"/>
          <w:sz w:val="36"/>
          <w:szCs w:val="36"/>
          <w:shd w:val="clear" w:fill="FFFFFF"/>
        </w:rPr>
        <w:t>从轻处罚清单</w:t>
      </w:r>
    </w:p>
    <w:tbl>
      <w:tblPr>
        <w:tblStyle w:val="5"/>
        <w:tblW w:w="13569"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540"/>
        <w:gridCol w:w="2938"/>
        <w:gridCol w:w="1787"/>
        <w:gridCol w:w="1500"/>
        <w:gridCol w:w="2516"/>
        <w:gridCol w:w="1472"/>
        <w:gridCol w:w="2816"/>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7"/>
                <w:color w:val="424242"/>
              </w:rPr>
              <w:t>序号</w:t>
            </w:r>
          </w:p>
        </w:tc>
        <w:tc>
          <w:tcPr>
            <w:tcW w:w="293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7"/>
                <w:color w:val="424242"/>
              </w:rPr>
              <w:t>事项名称</w:t>
            </w:r>
          </w:p>
        </w:tc>
        <w:tc>
          <w:tcPr>
            <w:tcW w:w="178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7"/>
                <w:color w:val="424242"/>
              </w:rPr>
              <w:t>基本编码</w:t>
            </w:r>
          </w:p>
        </w:tc>
        <w:tc>
          <w:tcPr>
            <w:tcW w:w="150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7"/>
                <w:color w:val="424242"/>
              </w:rPr>
              <w:t>设定依据</w:t>
            </w:r>
          </w:p>
        </w:tc>
        <w:tc>
          <w:tcPr>
            <w:tcW w:w="251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7"/>
                <w:color w:val="424242"/>
              </w:rPr>
              <w:t>适用情形</w:t>
            </w:r>
          </w:p>
        </w:tc>
        <w:tc>
          <w:tcPr>
            <w:tcW w:w="147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7"/>
                <w:color w:val="424242"/>
              </w:rPr>
              <w:t>从轻处罚依据</w:t>
            </w:r>
          </w:p>
        </w:tc>
        <w:tc>
          <w:tcPr>
            <w:tcW w:w="281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7"/>
                <w:color w:val="424242"/>
              </w:rPr>
              <w:t>裁量幅度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w:t>
            </w:r>
          </w:p>
        </w:tc>
        <w:tc>
          <w:tcPr>
            <w:tcW w:w="293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对违反《电子商务法》第七十六条，存在未在首页显著位置公示营业执照信息、行政许可信息、属于不需要办理市场主体登记情形等信息，或者上述信息的链接标识等行为的行政处罚</w:t>
            </w:r>
          </w:p>
        </w:tc>
        <w:tc>
          <w:tcPr>
            <w:tcW w:w="178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440225014000</w:t>
            </w:r>
          </w:p>
        </w:tc>
        <w:tc>
          <w:tcPr>
            <w:tcW w:w="150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《电子商务法》第十五条、第十六条、第二十四条、第七十六条第一款</w:t>
            </w:r>
          </w:p>
        </w:tc>
        <w:tc>
          <w:tcPr>
            <w:tcW w:w="251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一种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（本项仅限电子商务经营者）</w:t>
            </w:r>
          </w:p>
        </w:tc>
        <w:tc>
          <w:tcPr>
            <w:tcW w:w="147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281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可以处3000元以下的罚款。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2</w:t>
            </w:r>
          </w:p>
        </w:tc>
        <w:tc>
          <w:tcPr>
            <w:tcW w:w="293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对违反《电子商务法》第八十一条，存在未在首页显著位置持续公示平台服务协议、交易规则信息或者上述信息的链接标识等行为的行政处罚</w:t>
            </w:r>
          </w:p>
        </w:tc>
        <w:tc>
          <w:tcPr>
            <w:tcW w:w="178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44022500E000</w:t>
            </w:r>
          </w:p>
        </w:tc>
        <w:tc>
          <w:tcPr>
            <w:tcW w:w="150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《电子商务法》第三十三条、第三十四条、第三十七条第一款、第三十九条、第八十一条第一款</w:t>
            </w:r>
          </w:p>
        </w:tc>
        <w:tc>
          <w:tcPr>
            <w:tcW w:w="251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一种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（本项仅限非情节严重情形）</w:t>
            </w:r>
          </w:p>
        </w:tc>
        <w:tc>
          <w:tcPr>
            <w:tcW w:w="147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281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可以处2万元以上4.4万元以下的罚款。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3</w:t>
            </w:r>
          </w:p>
        </w:tc>
        <w:tc>
          <w:tcPr>
            <w:tcW w:w="293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对网络交易平台提供者未在其平台显著位置明示七日无理由退货规则及配套的有关制度的行为的行政处罚</w:t>
            </w:r>
          </w:p>
        </w:tc>
        <w:tc>
          <w:tcPr>
            <w:tcW w:w="178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440226126002</w:t>
            </w:r>
          </w:p>
        </w:tc>
        <w:tc>
          <w:tcPr>
            <w:tcW w:w="150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《网络购买商品七日无理由退货暂行办法》第二十二条、第三十二条、《电子商务法》第八十一条第一款第一项</w:t>
            </w:r>
          </w:p>
        </w:tc>
        <w:tc>
          <w:tcPr>
            <w:tcW w:w="251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一种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（本项仅限非情节严重情形）</w:t>
            </w:r>
          </w:p>
        </w:tc>
        <w:tc>
          <w:tcPr>
            <w:tcW w:w="147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281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可以处2万元以上4.4万元以下的罚款。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w:t>
            </w:r>
          </w:p>
        </w:tc>
        <w:tc>
          <w:tcPr>
            <w:tcW w:w="293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对网络交易平台提供者未在技术上保证消费者能够便利、完整地阅览和保存的行为的行政处罚</w:t>
            </w:r>
          </w:p>
        </w:tc>
        <w:tc>
          <w:tcPr>
            <w:tcW w:w="178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440226126001</w:t>
            </w:r>
          </w:p>
        </w:tc>
        <w:tc>
          <w:tcPr>
            <w:tcW w:w="150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《网络购买商品七日无理由退货暂行办法》第二十二条、第三十二条、《电子商务法》第八十一条第一款第一项</w:t>
            </w:r>
          </w:p>
        </w:tc>
        <w:tc>
          <w:tcPr>
            <w:tcW w:w="251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一种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（本项仅限非情节严重情形）</w:t>
            </w:r>
          </w:p>
        </w:tc>
        <w:tc>
          <w:tcPr>
            <w:tcW w:w="147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281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可以处2万元以上4.4万元以下的罚款。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5</w:t>
            </w:r>
          </w:p>
        </w:tc>
        <w:tc>
          <w:tcPr>
            <w:tcW w:w="293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商品或者服务不存在；商品的性能、功能、产地、用途、质量、规格、成分、价格、生产者、有效期限、销售状况、曾获荣誉等信息，或者服务的内容、提供者、形式、质量、价格、销售状况、曾获荣誉等信息，以及与商品或者服务有关的允诺等信息与实际情况不符，对购买行为有实质性影响；使用虚构、伪造或者无法验证的科研成果、统计资料、调查结果、文摘、引用语等信息作证明材料；虚构使用商品或者接受服务的效果；以虚假或者引人误解的内容欺骗、误导消费者的其他情形的行为的行政处罚</w:t>
            </w:r>
          </w:p>
        </w:tc>
        <w:tc>
          <w:tcPr>
            <w:tcW w:w="178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44022600400Y</w:t>
            </w:r>
          </w:p>
        </w:tc>
        <w:tc>
          <w:tcPr>
            <w:tcW w:w="150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《广告法》第四条、第二十八条、第五十五条第三款</w:t>
            </w:r>
          </w:p>
        </w:tc>
        <w:tc>
          <w:tcPr>
            <w:tcW w:w="251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一种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（本项仅限广告经营者、广告发布者应知广告虚假仍设计、制作、代理、发布的违法行为，且属于非情节严重情形）</w:t>
            </w:r>
          </w:p>
        </w:tc>
        <w:tc>
          <w:tcPr>
            <w:tcW w:w="147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281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没收广告费用，并处广告费用3倍以上3.6倍以下的罚款，广告费用无法计算或者明显偏低的，处20万元以上44万元以下的罚款。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6</w:t>
            </w:r>
          </w:p>
        </w:tc>
        <w:tc>
          <w:tcPr>
            <w:tcW w:w="293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对在广告中使用“国家级”、“最高级”、“最佳”等用语的行为的行政处罚</w:t>
            </w:r>
          </w:p>
        </w:tc>
        <w:tc>
          <w:tcPr>
            <w:tcW w:w="178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440225982010</w:t>
            </w:r>
          </w:p>
        </w:tc>
        <w:tc>
          <w:tcPr>
            <w:tcW w:w="150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《广告法》第九条第一款第三项、第五十七条第一款第一项</w:t>
            </w:r>
          </w:p>
        </w:tc>
        <w:tc>
          <w:tcPr>
            <w:tcW w:w="251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一种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（本项仅限非情节严重情形）</w:t>
            </w:r>
          </w:p>
        </w:tc>
        <w:tc>
          <w:tcPr>
            <w:tcW w:w="147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281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处20万元以上44万元以下的罚款。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7</w:t>
            </w:r>
          </w:p>
        </w:tc>
        <w:tc>
          <w:tcPr>
            <w:tcW w:w="293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对法律、行政法规规定广告中应当明示的内容，未显著、清晰表示的行为的行政处罚</w:t>
            </w:r>
          </w:p>
        </w:tc>
        <w:tc>
          <w:tcPr>
            <w:tcW w:w="178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440225981000</w:t>
            </w:r>
          </w:p>
        </w:tc>
        <w:tc>
          <w:tcPr>
            <w:tcW w:w="150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《广告法》第八条、第五十九条第一款第一项</w:t>
            </w:r>
          </w:p>
        </w:tc>
        <w:tc>
          <w:tcPr>
            <w:tcW w:w="251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一种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tc>
        <w:tc>
          <w:tcPr>
            <w:tcW w:w="147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281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处3万元以下的罚款。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8</w:t>
            </w:r>
          </w:p>
        </w:tc>
        <w:tc>
          <w:tcPr>
            <w:tcW w:w="293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对广告使用数据、统计资料、调查结果、文摘、引用语等引证内容未表明出处，引证内容有适用范围和有效期限未明确表示的行为的行政处罚</w:t>
            </w:r>
          </w:p>
        </w:tc>
        <w:tc>
          <w:tcPr>
            <w:tcW w:w="178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440225978000</w:t>
            </w:r>
          </w:p>
        </w:tc>
        <w:tc>
          <w:tcPr>
            <w:tcW w:w="150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《广告法》第十一条第二款、第五十九条第一款第二项</w:t>
            </w:r>
          </w:p>
        </w:tc>
        <w:tc>
          <w:tcPr>
            <w:tcW w:w="251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一种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tc>
        <w:tc>
          <w:tcPr>
            <w:tcW w:w="147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281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处3万元以下的罚款。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9</w:t>
            </w:r>
          </w:p>
        </w:tc>
        <w:tc>
          <w:tcPr>
            <w:tcW w:w="293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对广告中涉及专利产品或者专利方法，未标明专利号和专利种类的行为的行政处罚</w:t>
            </w:r>
          </w:p>
        </w:tc>
        <w:tc>
          <w:tcPr>
            <w:tcW w:w="178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440225980000</w:t>
            </w:r>
          </w:p>
        </w:tc>
        <w:tc>
          <w:tcPr>
            <w:tcW w:w="150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《广告法》第十二条第一款、第五十九条第一款第三项</w:t>
            </w:r>
          </w:p>
        </w:tc>
        <w:tc>
          <w:tcPr>
            <w:tcW w:w="251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一种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tc>
        <w:tc>
          <w:tcPr>
            <w:tcW w:w="147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281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处3万元以下的罚款。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10</w:t>
            </w:r>
          </w:p>
        </w:tc>
        <w:tc>
          <w:tcPr>
            <w:tcW w:w="293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对大众传播媒介以新闻报道形式变相发布广告的行为的行政处罚</w:t>
            </w:r>
          </w:p>
        </w:tc>
        <w:tc>
          <w:tcPr>
            <w:tcW w:w="178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440225987000</w:t>
            </w:r>
          </w:p>
        </w:tc>
        <w:tc>
          <w:tcPr>
            <w:tcW w:w="150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《广告法》第十四条第二款、第五十九条第三款</w:t>
            </w:r>
          </w:p>
        </w:tc>
        <w:tc>
          <w:tcPr>
            <w:tcW w:w="251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一种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tc>
        <w:tc>
          <w:tcPr>
            <w:tcW w:w="147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281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处3万元以下的罚款。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11</w:t>
            </w:r>
          </w:p>
        </w:tc>
        <w:tc>
          <w:tcPr>
            <w:tcW w:w="293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对违反《药品、医疗器械、保健食品、特殊医学用途配方食品广告审查管理暂行办法》第十条规定，未显著、清晰表示广告中应当显著标明内容的行为的行政处罚</w:t>
            </w:r>
          </w:p>
        </w:tc>
        <w:tc>
          <w:tcPr>
            <w:tcW w:w="178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440225047000</w:t>
            </w:r>
          </w:p>
        </w:tc>
        <w:tc>
          <w:tcPr>
            <w:tcW w:w="150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《药品、医疗器械、保健食品、特殊医学用途配方食品广告审查管理暂行办法》第十条、第二十五条、《广告法》第五十九条第一款</w:t>
            </w:r>
          </w:p>
        </w:tc>
        <w:tc>
          <w:tcPr>
            <w:tcW w:w="251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一种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tc>
        <w:tc>
          <w:tcPr>
            <w:tcW w:w="147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281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处3万元以下的罚款。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12</w:t>
            </w:r>
          </w:p>
        </w:tc>
        <w:tc>
          <w:tcPr>
            <w:tcW w:w="293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对发布医疗广告未标注医疗机构第一名称和《医疗广告审查证明》文号的行为的行政处罚</w:t>
            </w:r>
          </w:p>
        </w:tc>
        <w:tc>
          <w:tcPr>
            <w:tcW w:w="178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440225845000</w:t>
            </w:r>
          </w:p>
        </w:tc>
        <w:tc>
          <w:tcPr>
            <w:tcW w:w="150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《医疗广告管理办法》第十四条、第二十二条</w:t>
            </w:r>
          </w:p>
        </w:tc>
        <w:tc>
          <w:tcPr>
            <w:tcW w:w="251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一种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tc>
        <w:tc>
          <w:tcPr>
            <w:tcW w:w="147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281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给予警告或者处以1万元以上1.6万元以下的罚款。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13</w:t>
            </w:r>
          </w:p>
        </w:tc>
        <w:tc>
          <w:tcPr>
            <w:tcW w:w="293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对兽药广告内容未列出批准文号的行为的行政处罚</w:t>
            </w:r>
          </w:p>
        </w:tc>
        <w:tc>
          <w:tcPr>
            <w:tcW w:w="178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440225655000</w:t>
            </w:r>
          </w:p>
        </w:tc>
        <w:tc>
          <w:tcPr>
            <w:tcW w:w="150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《兽药广告审查发布标准》第十条、第十二条</w:t>
            </w:r>
          </w:p>
        </w:tc>
        <w:tc>
          <w:tcPr>
            <w:tcW w:w="251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一种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tc>
        <w:tc>
          <w:tcPr>
            <w:tcW w:w="147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281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处以违法所得0.9倍以下但不超过9000元的罚款；没有违法所得的，处以3000元以下的罚款。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14</w:t>
            </w:r>
          </w:p>
        </w:tc>
        <w:tc>
          <w:tcPr>
            <w:tcW w:w="293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对农药广告内容未列出批准文号的行为的行政处罚</w:t>
            </w:r>
          </w:p>
        </w:tc>
        <w:tc>
          <w:tcPr>
            <w:tcW w:w="178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440226026000</w:t>
            </w:r>
          </w:p>
        </w:tc>
        <w:tc>
          <w:tcPr>
            <w:tcW w:w="150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《农药广告审查发布标准》第十一条、第十三条</w:t>
            </w:r>
          </w:p>
        </w:tc>
        <w:tc>
          <w:tcPr>
            <w:tcW w:w="251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一种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tc>
        <w:tc>
          <w:tcPr>
            <w:tcW w:w="147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281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处以违法所得0.9倍以下但不超过9000元的罚款；没有违法所得的，处以3000元以下的罚款。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15</w:t>
            </w:r>
          </w:p>
        </w:tc>
        <w:tc>
          <w:tcPr>
            <w:tcW w:w="293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使用非法定计量单位的，属出版物的行为的行政处罚</w:t>
            </w:r>
          </w:p>
        </w:tc>
        <w:tc>
          <w:tcPr>
            <w:tcW w:w="178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440225414000</w:t>
            </w:r>
          </w:p>
        </w:tc>
        <w:tc>
          <w:tcPr>
            <w:tcW w:w="150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《计量法》第三条、《计量法实施细则》第二条、第四十条</w:t>
            </w:r>
          </w:p>
        </w:tc>
        <w:tc>
          <w:tcPr>
            <w:tcW w:w="251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一种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tc>
        <w:tc>
          <w:tcPr>
            <w:tcW w:w="147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281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可以处300元以下的罚款。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16</w:t>
            </w:r>
          </w:p>
        </w:tc>
        <w:tc>
          <w:tcPr>
            <w:tcW w:w="293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部门和企业、事业单位的各项最高计量标准，未经有关人民政府计量行政部门考核合格而开展计量检定的行为的行政处罚</w:t>
            </w:r>
          </w:p>
        </w:tc>
        <w:tc>
          <w:tcPr>
            <w:tcW w:w="178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440225417000</w:t>
            </w:r>
          </w:p>
        </w:tc>
        <w:tc>
          <w:tcPr>
            <w:tcW w:w="150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《计量法》第七条、第八条、《计量法实施细则》第九条、第十条、第四十二条</w:t>
            </w:r>
          </w:p>
        </w:tc>
        <w:tc>
          <w:tcPr>
            <w:tcW w:w="251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一种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tc>
        <w:tc>
          <w:tcPr>
            <w:tcW w:w="147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281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可以处300元以下的罚款。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17</w:t>
            </w:r>
          </w:p>
        </w:tc>
        <w:tc>
          <w:tcPr>
            <w:tcW w:w="293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属于强制检定范围的计量器具，未按照规定申请检定和属于非强制检定范围的计量器具未自行定期检定或者送其他计量检定机构定期检定的，以及经检定不合格继续使用的行为的行政处罚</w:t>
            </w:r>
          </w:p>
        </w:tc>
        <w:tc>
          <w:tcPr>
            <w:tcW w:w="178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440225416000</w:t>
            </w:r>
          </w:p>
        </w:tc>
        <w:tc>
          <w:tcPr>
            <w:tcW w:w="150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《计量法》第九条、《计量法实施细则》第十一条第二款、第十二条、第四十三条</w:t>
            </w:r>
          </w:p>
        </w:tc>
        <w:tc>
          <w:tcPr>
            <w:tcW w:w="251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一种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tc>
        <w:tc>
          <w:tcPr>
            <w:tcW w:w="147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281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可以处300元以下的罚款。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18</w:t>
            </w:r>
          </w:p>
        </w:tc>
        <w:tc>
          <w:tcPr>
            <w:tcW w:w="293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对违反明码标价规定的行为的行政处罚</w:t>
            </w:r>
          </w:p>
        </w:tc>
        <w:tc>
          <w:tcPr>
            <w:tcW w:w="178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440225169000</w:t>
            </w:r>
          </w:p>
        </w:tc>
        <w:tc>
          <w:tcPr>
            <w:tcW w:w="150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《价格法》第十三条、第四十二条</w:t>
            </w:r>
          </w:p>
        </w:tc>
        <w:tc>
          <w:tcPr>
            <w:tcW w:w="251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一种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tc>
        <w:tc>
          <w:tcPr>
            <w:tcW w:w="147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281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没收违法所得，可以处 1500元以下的罚款；没有违法所得的，可以处以1500元以下的罚款。</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0"/>
        <w:jc w:val="center"/>
        <w:rPr>
          <w:rStyle w:val="7"/>
          <w:rFonts w:hint="eastAsia" w:ascii="微软雅黑" w:hAnsi="微软雅黑" w:eastAsia="微软雅黑" w:cs="微软雅黑"/>
          <w:i w:val="0"/>
          <w:iCs w:val="0"/>
          <w:caps w:val="0"/>
          <w:color w:val="424242"/>
          <w:spacing w:val="0"/>
          <w:sz w:val="36"/>
          <w:szCs w:val="36"/>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0"/>
        <w:jc w:val="center"/>
        <w:rPr>
          <w:rStyle w:val="7"/>
          <w:rFonts w:ascii="Helvetica" w:hAnsi="Helvetica" w:eastAsia="Helvetica" w:cs="Helvetica"/>
          <w:i w:val="0"/>
          <w:iCs w:val="0"/>
          <w:caps w:val="0"/>
          <w:color w:val="424242"/>
          <w:spacing w:val="0"/>
          <w:sz w:val="27"/>
          <w:szCs w:val="27"/>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0"/>
        <w:jc w:val="center"/>
        <w:rPr>
          <w:rStyle w:val="7"/>
          <w:rFonts w:ascii="Helvetica" w:hAnsi="Helvetica" w:eastAsia="Helvetica" w:cs="Helvetica"/>
          <w:i w:val="0"/>
          <w:iCs w:val="0"/>
          <w:caps w:val="0"/>
          <w:color w:val="424242"/>
          <w:spacing w:val="0"/>
          <w:sz w:val="36"/>
          <w:szCs w:val="36"/>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0"/>
        <w:jc w:val="center"/>
        <w:rPr>
          <w:rStyle w:val="7"/>
          <w:rFonts w:ascii="Helvetica" w:hAnsi="Helvetica" w:eastAsia="Helvetica" w:cs="Helvetica"/>
          <w:i w:val="0"/>
          <w:iCs w:val="0"/>
          <w:caps w:val="0"/>
          <w:color w:val="424242"/>
          <w:spacing w:val="0"/>
          <w:sz w:val="36"/>
          <w:szCs w:val="36"/>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0"/>
        <w:jc w:val="center"/>
        <w:rPr>
          <w:rStyle w:val="7"/>
          <w:rFonts w:ascii="Helvetica" w:hAnsi="Helvetica" w:eastAsia="Helvetica" w:cs="Helvetica"/>
          <w:i w:val="0"/>
          <w:iCs w:val="0"/>
          <w:caps w:val="0"/>
          <w:color w:val="424242"/>
          <w:spacing w:val="0"/>
          <w:sz w:val="36"/>
          <w:szCs w:val="36"/>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0"/>
        <w:jc w:val="center"/>
        <w:rPr>
          <w:rStyle w:val="7"/>
          <w:rFonts w:ascii="Helvetica" w:hAnsi="Helvetica" w:eastAsia="Helvetica" w:cs="Helvetica"/>
          <w:i w:val="0"/>
          <w:iCs w:val="0"/>
          <w:caps w:val="0"/>
          <w:color w:val="424242"/>
          <w:spacing w:val="0"/>
          <w:sz w:val="36"/>
          <w:szCs w:val="36"/>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0"/>
        <w:jc w:val="center"/>
        <w:rPr>
          <w:rStyle w:val="7"/>
          <w:rFonts w:ascii="Helvetica" w:hAnsi="Helvetica" w:eastAsia="Helvetica" w:cs="Helvetica"/>
          <w:i w:val="0"/>
          <w:iCs w:val="0"/>
          <w:caps w:val="0"/>
          <w:color w:val="424242"/>
          <w:spacing w:val="0"/>
          <w:sz w:val="36"/>
          <w:szCs w:val="36"/>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0"/>
        <w:jc w:val="center"/>
        <w:rPr>
          <w:rStyle w:val="7"/>
          <w:rFonts w:ascii="Helvetica" w:hAnsi="Helvetica" w:eastAsia="Helvetica" w:cs="Helvetica"/>
          <w:i w:val="0"/>
          <w:iCs w:val="0"/>
          <w:caps w:val="0"/>
          <w:color w:val="424242"/>
          <w:spacing w:val="0"/>
          <w:sz w:val="36"/>
          <w:szCs w:val="36"/>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0"/>
        <w:jc w:val="center"/>
        <w:rPr>
          <w:rStyle w:val="7"/>
          <w:rFonts w:ascii="Helvetica" w:hAnsi="Helvetica" w:eastAsia="Helvetica" w:cs="Helvetica"/>
          <w:i w:val="0"/>
          <w:iCs w:val="0"/>
          <w:caps w:val="0"/>
          <w:color w:val="424242"/>
          <w:spacing w:val="0"/>
          <w:sz w:val="36"/>
          <w:szCs w:val="36"/>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0"/>
        <w:jc w:val="center"/>
        <w:rPr>
          <w:rFonts w:hint="eastAsia" w:ascii="微软雅黑" w:hAnsi="微软雅黑" w:eastAsia="微软雅黑" w:cs="微软雅黑"/>
          <w:i w:val="0"/>
          <w:iCs w:val="0"/>
          <w:caps w:val="0"/>
          <w:color w:val="424242"/>
          <w:spacing w:val="0"/>
          <w:sz w:val="27"/>
          <w:szCs w:val="27"/>
        </w:rPr>
      </w:pPr>
      <w:r>
        <w:rPr>
          <w:rStyle w:val="7"/>
          <w:rFonts w:ascii="Helvetica" w:hAnsi="Helvetica" w:eastAsia="Helvetica" w:cs="Helvetica"/>
          <w:i w:val="0"/>
          <w:iCs w:val="0"/>
          <w:caps w:val="0"/>
          <w:color w:val="424242"/>
          <w:spacing w:val="0"/>
          <w:sz w:val="36"/>
          <w:szCs w:val="36"/>
          <w:shd w:val="clear" w:fill="FFFFFF"/>
        </w:rPr>
        <w:t>免强制清单</w:t>
      </w:r>
    </w:p>
    <w:tbl>
      <w:tblPr>
        <w:tblStyle w:val="5"/>
        <w:tblW w:w="13583"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736"/>
        <w:gridCol w:w="2701"/>
        <w:gridCol w:w="1841"/>
        <w:gridCol w:w="1418"/>
        <w:gridCol w:w="3667"/>
        <w:gridCol w:w="3220"/>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73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7"/>
                <w:color w:val="424242"/>
              </w:rPr>
              <w:t>序号</w:t>
            </w:r>
          </w:p>
        </w:tc>
        <w:tc>
          <w:tcPr>
            <w:tcW w:w="270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7"/>
                <w:color w:val="424242"/>
              </w:rPr>
              <w:t>事项名称</w:t>
            </w:r>
          </w:p>
        </w:tc>
        <w:tc>
          <w:tcPr>
            <w:tcW w:w="184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7"/>
                <w:color w:val="424242"/>
              </w:rPr>
              <w:t>基本编码</w:t>
            </w:r>
          </w:p>
        </w:tc>
        <w:tc>
          <w:tcPr>
            <w:tcW w:w="141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7"/>
                <w:color w:val="424242"/>
              </w:rPr>
              <w:t>设定依据</w:t>
            </w:r>
          </w:p>
        </w:tc>
        <w:tc>
          <w:tcPr>
            <w:tcW w:w="366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7"/>
                <w:color w:val="424242"/>
              </w:rPr>
              <w:t>适用情形</w:t>
            </w:r>
          </w:p>
        </w:tc>
        <w:tc>
          <w:tcPr>
            <w:tcW w:w="322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7"/>
                <w:color w:val="424242"/>
              </w:rPr>
              <w:t>免强制依据</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73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w:t>
            </w:r>
          </w:p>
        </w:tc>
        <w:tc>
          <w:tcPr>
            <w:tcW w:w="270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对与直销活动有关的材料和非法财物进行查封等行政强制</w:t>
            </w:r>
          </w:p>
        </w:tc>
        <w:tc>
          <w:tcPr>
            <w:tcW w:w="184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440325032001</w:t>
            </w:r>
          </w:p>
        </w:tc>
        <w:tc>
          <w:tcPr>
            <w:tcW w:w="141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《直销管理条例》第三十五条第一款第四项</w:t>
            </w:r>
          </w:p>
        </w:tc>
        <w:tc>
          <w:tcPr>
            <w:tcW w:w="366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直销企业未依照有关规定进行信息报备和披露的，经责令限期改正后及时改正，未造成危害后果，可以采取其他非强制手段达到管理目的的。</w:t>
            </w:r>
          </w:p>
        </w:tc>
        <w:tc>
          <w:tcPr>
            <w:tcW w:w="322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《行政强制法》第五条、第十六条第二款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c>
          <w:tcPr>
            <w:tcW w:w="736"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2</w:t>
            </w:r>
          </w:p>
        </w:tc>
        <w:tc>
          <w:tcPr>
            <w:tcW w:w="270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对与直销活动有关的材料和非法财物进行扣押等行政强制</w:t>
            </w:r>
          </w:p>
        </w:tc>
        <w:tc>
          <w:tcPr>
            <w:tcW w:w="184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440325032002</w:t>
            </w:r>
          </w:p>
        </w:tc>
        <w:tc>
          <w:tcPr>
            <w:tcW w:w="1418"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《直销管理条例》第三十五条第一款第四项</w:t>
            </w:r>
          </w:p>
        </w:tc>
        <w:tc>
          <w:tcPr>
            <w:tcW w:w="366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直销企业未依照有关规定进行信息报备和披露的，经责令限期改正后及时改正，未造成危害后果，可以采取其他非强制手段达到管理目的的。</w:t>
            </w:r>
          </w:p>
        </w:tc>
        <w:tc>
          <w:tcPr>
            <w:tcW w:w="322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《行政强制法》第五条、第十六条第二款</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FlNzUzMWQ1YzRhNWQ4NjNmMmYzNTYyMGY4MTdmN2MifQ=="/>
  </w:docVars>
  <w:rsids>
    <w:rsidRoot w:val="13553D3E"/>
    <w:rsid w:val="03B060CE"/>
    <w:rsid w:val="03E9037A"/>
    <w:rsid w:val="04F63474"/>
    <w:rsid w:val="0568310F"/>
    <w:rsid w:val="08102DB9"/>
    <w:rsid w:val="0989125E"/>
    <w:rsid w:val="0B0E7E30"/>
    <w:rsid w:val="0BD71B41"/>
    <w:rsid w:val="124215C4"/>
    <w:rsid w:val="13553D3E"/>
    <w:rsid w:val="140C05B1"/>
    <w:rsid w:val="175B1444"/>
    <w:rsid w:val="193B4AC7"/>
    <w:rsid w:val="19901285"/>
    <w:rsid w:val="21994098"/>
    <w:rsid w:val="24D615BD"/>
    <w:rsid w:val="24E243DD"/>
    <w:rsid w:val="258E6BBC"/>
    <w:rsid w:val="26BC17D3"/>
    <w:rsid w:val="292C23DD"/>
    <w:rsid w:val="29490CEC"/>
    <w:rsid w:val="2A4631BF"/>
    <w:rsid w:val="2A704DAF"/>
    <w:rsid w:val="2ABB6C69"/>
    <w:rsid w:val="2B087DBB"/>
    <w:rsid w:val="2C1954FE"/>
    <w:rsid w:val="2C841778"/>
    <w:rsid w:val="2E7F172D"/>
    <w:rsid w:val="333C155E"/>
    <w:rsid w:val="35A4133C"/>
    <w:rsid w:val="35F07A1A"/>
    <w:rsid w:val="3617226F"/>
    <w:rsid w:val="38BD172F"/>
    <w:rsid w:val="3D466366"/>
    <w:rsid w:val="3DA251B1"/>
    <w:rsid w:val="3DC44075"/>
    <w:rsid w:val="441600A6"/>
    <w:rsid w:val="44BA4627"/>
    <w:rsid w:val="46CD00CF"/>
    <w:rsid w:val="4A7D26DB"/>
    <w:rsid w:val="4D0D2554"/>
    <w:rsid w:val="4D140864"/>
    <w:rsid w:val="4ED60DD5"/>
    <w:rsid w:val="4FFB5300"/>
    <w:rsid w:val="51837A55"/>
    <w:rsid w:val="563E454C"/>
    <w:rsid w:val="591436C0"/>
    <w:rsid w:val="5B1C4013"/>
    <w:rsid w:val="5C73745D"/>
    <w:rsid w:val="647508F0"/>
    <w:rsid w:val="671C56C1"/>
    <w:rsid w:val="6B1C336D"/>
    <w:rsid w:val="6C70372C"/>
    <w:rsid w:val="6EF56BFD"/>
    <w:rsid w:val="6FE27CE1"/>
    <w:rsid w:val="72F3362C"/>
    <w:rsid w:val="76ED4D57"/>
    <w:rsid w:val="78FE3086"/>
    <w:rsid w:val="7BD535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24</Pages>
  <Words>9167</Words>
  <Characters>9824</Characters>
  <Lines>0</Lines>
  <Paragraphs>0</Paragraphs>
  <TotalTime>2</TotalTime>
  <ScaleCrop>false</ScaleCrop>
  <LinksUpToDate>false</LinksUpToDate>
  <CharactersWithSpaces>9825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2022-08-16T08:55:00Z</dcterms:created>
  <dc:creator>张伟科</dc:creator>
  <cp:lastModifiedBy>张伟科</cp:lastModifiedBy>
  <cp:lastPrinted>2022-10-18T01:29:00Z</cp:lastPrinted>
  <dcterms:modified xsi:type="dcterms:W3CDTF">2022-10-18T05:52:27Z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7D4E8D6ADB3B48129E2A39A7BF839F9A</vt:lpwstr>
  </property>
</Properties>
</file>