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900" w:lineRule="exact"/>
        <w:jc w:val="distribute"/>
        <w:textAlignment w:val="auto"/>
        <w:rPr>
          <w:rFonts w:hint="eastAsia" w:ascii="方正小标宋简体" w:hAnsi="方正小标宋简体" w:eastAsia="方正小标宋简体" w:cs="方正小标宋简体"/>
          <w:b w:val="0"/>
          <w:bCs w:val="0"/>
          <w:color w:val="FF0000"/>
          <w:spacing w:val="-28"/>
          <w:w w:val="80"/>
          <w:sz w:val="72"/>
          <w:szCs w:val="72"/>
        </w:rPr>
      </w:pPr>
      <w:r>
        <w:rPr>
          <w:rFonts w:hint="eastAsia" w:ascii="方正小标宋简体" w:hAnsi="方正小标宋简体" w:eastAsia="方正小标宋简体" w:cs="方正小标宋简体"/>
          <w:b w:val="0"/>
          <w:bCs w:val="0"/>
          <w:color w:val="FF0000"/>
          <w:spacing w:val="-28"/>
          <w:w w:val="100"/>
          <w:sz w:val="72"/>
          <w:szCs w:val="72"/>
          <w:lang w:eastAsia="zh-CN"/>
        </w:rPr>
        <w:t>梅州市</w:t>
      </w:r>
      <w:r>
        <w:rPr>
          <w:rFonts w:hint="eastAsia" w:ascii="方正小标宋简体" w:hAnsi="方正小标宋简体" w:eastAsia="方正小标宋简体" w:cs="方正小标宋简体"/>
          <w:b w:val="0"/>
          <w:bCs w:val="0"/>
          <w:color w:val="FF0000"/>
          <w:spacing w:val="-28"/>
          <w:w w:val="100"/>
          <w:sz w:val="72"/>
          <w:szCs w:val="72"/>
        </w:rPr>
        <w:t>食品药品安全与高质量</w:t>
      </w:r>
    </w:p>
    <w:p>
      <w:pPr>
        <w:keepNext w:val="0"/>
        <w:keepLines w:val="0"/>
        <w:pageBreakBefore w:val="0"/>
        <w:widowControl w:val="0"/>
        <w:kinsoku/>
        <w:wordWrap/>
        <w:overflowPunct/>
        <w:topLinePunct w:val="0"/>
        <w:autoSpaceDE/>
        <w:autoSpaceDN/>
        <w:bidi w:val="0"/>
        <w:adjustRightInd/>
        <w:snapToGrid/>
        <w:spacing w:line="900" w:lineRule="exact"/>
        <w:jc w:val="distribute"/>
        <w:textAlignment w:val="auto"/>
        <w:rPr>
          <w:rFonts w:hint="eastAsia" w:ascii="方正小标宋简体" w:hAnsi="方正小标宋简体" w:eastAsia="方正小标宋简体" w:cs="方正小标宋简体"/>
          <w:b w:val="0"/>
          <w:bCs w:val="0"/>
          <w:color w:val="FF0000"/>
          <w:spacing w:val="-28"/>
          <w:w w:val="80"/>
          <w:sz w:val="72"/>
          <w:szCs w:val="72"/>
        </w:rPr>
      </w:pPr>
      <w:r>
        <w:rPr>
          <w:rFonts w:hint="eastAsia" w:ascii="方正小标宋简体" w:hAnsi="方正小标宋简体" w:eastAsia="方正小标宋简体" w:cs="方正小标宋简体"/>
          <w:b w:val="0"/>
          <w:bCs w:val="0"/>
          <w:color w:val="FF0000"/>
          <w:spacing w:val="0"/>
          <w:w w:val="100"/>
          <w:sz w:val="72"/>
          <w:szCs w:val="72"/>
        </w:rPr>
        <w:t>发展委员会办公室</w:t>
      </w:r>
    </w:p>
    <w:p>
      <w:pPr>
        <w:rPr>
          <w:rFonts w:hint="eastAsia"/>
          <w:lang w:val="en-US" w:eastAsia="zh-CN"/>
        </w:rPr>
      </w:pPr>
      <w:r>
        <mc:AlternateContent>
          <mc:Choice Requires="wps">
            <w:drawing>
              <wp:anchor distT="0" distB="0" distL="114300" distR="114300" simplePos="0" relativeHeight="251660288" behindDoc="0" locked="1" layoutInCell="1" allowOverlap="1">
                <wp:simplePos x="0" y="0"/>
                <wp:positionH relativeFrom="column">
                  <wp:posOffset>-223520</wp:posOffset>
                </wp:positionH>
                <wp:positionV relativeFrom="page">
                  <wp:posOffset>2221230</wp:posOffset>
                </wp:positionV>
                <wp:extent cx="5948680" cy="3175"/>
                <wp:effectExtent l="0" t="38100" r="10160" b="5016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948680" cy="3175"/>
                        </a:xfrm>
                        <a:prstGeom prst="line">
                          <a:avLst/>
                        </a:prstGeom>
                        <a:noFill/>
                        <a:ln w="76200" cmpd="thickThin">
                          <a:solidFill>
                            <a:srgbClr val="FF0000"/>
                          </a:solidFill>
                          <a:round/>
                        </a:ln>
                        <a:effectLst/>
                      </wps:spPr>
                      <wps:bodyPr/>
                    </wps:wsp>
                  </a:graphicData>
                </a:graphic>
              </wp:anchor>
            </w:drawing>
          </mc:Choice>
          <mc:Fallback>
            <w:pict>
              <v:line id="_x0000_s1026" o:spid="_x0000_s1026" o:spt="20" style="position:absolute;left:0pt;margin-left:-17.6pt;margin-top:174.9pt;height:0.25pt;width:468.4pt;mso-position-vertical-relative:page;z-index:251660288;mso-width-relative:page;mso-height-relative:page;" filled="f" stroked="t" coordsize="21600,21600" o:gfxdata="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Rq0pz2gAAAAsBAAAPAAAAAAAAAAEAIAAAACIAAABkcnMvZG93bnJl&#10;di54bWxQSwECFAAUAAAACACHTuJA9jVaM/sBAADNAwAADgAAAAAAAAABACAAAAApAQAAZHJzL2Uy&#10;b0RvYy54bWxQSwUGAAAAAAYABgBZAQAAlgUAAAAA&#10;">
                <v:fill on="f" focussize="0,0"/>
                <v:stroke weight="6pt" color="#FF0000" linestyle="thickThin" joinstyle="round"/>
                <v:imagedata o:title=""/>
                <o:lock v:ext="edit" aspectratio="f"/>
                <w10:anchorlock/>
              </v:line>
            </w:pict>
          </mc:Fallback>
        </mc:AlternateContent>
      </w:r>
      <w:r>
        <w:rPr>
          <w:rFonts w:hint="eastAsia"/>
          <w:lang w:val="en-US" w:eastAsia="zh-CN"/>
        </w:rPr>
        <w:t xml:space="preserve">       </w:t>
      </w:r>
    </w:p>
    <w:p>
      <w:pPr>
        <w:rPr>
          <w:rFonts w:hint="eastAsia"/>
          <w:lang w:val="en-US" w:eastAsia="zh-CN"/>
        </w:rPr>
      </w:pPr>
    </w:p>
    <w:p>
      <w:pPr>
        <w:spacing w:line="560" w:lineRule="exact"/>
        <w:jc w:val="center"/>
        <w:rPr>
          <w:rFonts w:hint="eastAsia" w:ascii="方正大标宋简体" w:hAnsi="方正大标宋简体" w:eastAsia="方正大标宋简体" w:cs="方正大标宋简体"/>
          <w:sz w:val="44"/>
          <w:szCs w:val="44"/>
          <w:lang w:eastAsia="zh-CN"/>
        </w:rPr>
      </w:pPr>
      <w:r>
        <w:rPr>
          <w:rFonts w:hint="eastAsia" w:ascii="方正大标宋简体" w:hAnsi="方正大标宋简体" w:eastAsia="方正大标宋简体" w:cs="方正大标宋简体"/>
          <w:sz w:val="44"/>
          <w:szCs w:val="44"/>
          <w:lang w:eastAsia="zh-CN"/>
        </w:rPr>
        <w:t>蕉岭县</w:t>
      </w:r>
      <w:r>
        <w:rPr>
          <w:rFonts w:hint="eastAsia" w:ascii="方正大标宋简体" w:hAnsi="方正大标宋简体" w:eastAsia="方正大标宋简体" w:cs="方正大标宋简体"/>
          <w:sz w:val="44"/>
          <w:szCs w:val="44"/>
        </w:rPr>
        <w:t>创建</w:t>
      </w:r>
      <w:r>
        <w:rPr>
          <w:rFonts w:hint="eastAsia" w:ascii="方正大标宋简体" w:hAnsi="方正大标宋简体" w:eastAsia="方正大标宋简体" w:cs="方正大标宋简体"/>
          <w:sz w:val="44"/>
          <w:szCs w:val="44"/>
          <w:lang w:eastAsia="zh-CN"/>
        </w:rPr>
        <w:t>广东省</w:t>
      </w:r>
      <w:r>
        <w:rPr>
          <w:rFonts w:hint="eastAsia" w:ascii="方正大标宋简体" w:hAnsi="方正大标宋简体" w:eastAsia="方正大标宋简体" w:cs="方正大标宋简体"/>
          <w:sz w:val="44"/>
          <w:szCs w:val="44"/>
        </w:rPr>
        <w:t>食品安全示范</w:t>
      </w:r>
      <w:r>
        <w:rPr>
          <w:rFonts w:hint="eastAsia" w:ascii="方正大标宋简体" w:hAnsi="方正大标宋简体" w:eastAsia="方正大标宋简体" w:cs="方正大标宋简体"/>
          <w:sz w:val="44"/>
          <w:szCs w:val="44"/>
          <w:lang w:eastAsia="zh-CN"/>
        </w:rPr>
        <w:t>县</w:t>
      </w:r>
    </w:p>
    <w:p>
      <w:pPr>
        <w:spacing w:line="560" w:lineRule="exact"/>
        <w:jc w:val="center"/>
        <w:rPr>
          <w:rFonts w:hint="eastAsia" w:ascii="方正大标宋简体" w:hAnsi="方正大标宋简体" w:eastAsia="方正大标宋简体" w:cs="方正大标宋简体"/>
          <w:sz w:val="44"/>
          <w:szCs w:val="44"/>
          <w:lang w:eastAsia="zh-CN"/>
        </w:rPr>
      </w:pPr>
      <w:r>
        <w:rPr>
          <w:rFonts w:hint="eastAsia" w:ascii="方正大标宋简体" w:hAnsi="方正大标宋简体" w:eastAsia="方正大标宋简体" w:cs="方正大标宋简体"/>
          <w:sz w:val="44"/>
          <w:szCs w:val="44"/>
          <w:lang w:eastAsia="zh-CN"/>
        </w:rPr>
        <w:t>市</w:t>
      </w:r>
      <w:r>
        <w:rPr>
          <w:rFonts w:hint="eastAsia" w:ascii="方正大标宋简体" w:hAnsi="方正大标宋简体" w:eastAsia="方正大标宋简体" w:cs="方正大标宋简体"/>
          <w:sz w:val="44"/>
          <w:szCs w:val="44"/>
        </w:rPr>
        <w:t>级初评</w:t>
      </w:r>
      <w:r>
        <w:rPr>
          <w:rFonts w:hint="eastAsia" w:ascii="方正大标宋简体" w:hAnsi="方正大标宋简体" w:eastAsia="方正大标宋简体" w:cs="方正大标宋简体"/>
          <w:sz w:val="44"/>
          <w:szCs w:val="44"/>
          <w:lang w:eastAsia="zh-CN"/>
        </w:rPr>
        <w:t>报告</w:t>
      </w:r>
    </w:p>
    <w:p>
      <w:pPr>
        <w:rPr>
          <w:rFonts w:ascii="Times New Roman" w:hAnsi="Times New Roman" w:eastAsia="仿宋_GB2312" w:cs="Times New Roman"/>
          <w:sz w:val="32"/>
          <w:szCs w:val="32"/>
        </w:rPr>
      </w:pPr>
    </w:p>
    <w:p>
      <w:pPr>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按照《广东省食品药品安全与高质量发展委员会办公室关于开展2022年度广东省食品安全示范城市（县）评价验收工作的通知》（粤食药安办〔2022〕24号）要求，</w:t>
      </w:r>
      <w:r>
        <w:rPr>
          <w:rFonts w:hint="eastAsia" w:ascii="Times New Roman" w:hAnsi="Times New Roman" w:eastAsia="仿宋_GB2312" w:cs="Times New Roman"/>
          <w:sz w:val="32"/>
          <w:szCs w:val="32"/>
          <w:lang w:eastAsia="zh-CN"/>
        </w:rPr>
        <w:t>蕉岭县</w:t>
      </w:r>
      <w:r>
        <w:rPr>
          <w:rFonts w:hint="eastAsia" w:ascii="Times New Roman" w:hAnsi="Times New Roman" w:eastAsia="仿宋_GB2312" w:cs="Times New Roman"/>
          <w:sz w:val="32"/>
          <w:szCs w:val="32"/>
        </w:rPr>
        <w:t>人民政府进行了全面自查，并向</w:t>
      </w:r>
      <w:r>
        <w:rPr>
          <w:rFonts w:hint="eastAsia" w:ascii="Times New Roman" w:hAnsi="Times New Roman" w:eastAsia="仿宋_GB2312" w:cs="Times New Roman"/>
          <w:sz w:val="32"/>
          <w:szCs w:val="32"/>
          <w:lang w:eastAsia="zh-CN"/>
        </w:rPr>
        <w:t>市</w:t>
      </w:r>
      <w:r>
        <w:rPr>
          <w:rFonts w:hint="eastAsia" w:ascii="Times New Roman" w:hAnsi="Times New Roman" w:eastAsia="仿宋_GB2312" w:cs="Times New Roman"/>
          <w:sz w:val="32"/>
          <w:szCs w:val="32"/>
        </w:rPr>
        <w:t>食</w:t>
      </w:r>
      <w:r>
        <w:rPr>
          <w:rFonts w:hint="eastAsia" w:ascii="Times New Roman" w:hAnsi="Times New Roman" w:eastAsia="仿宋_GB2312" w:cs="Times New Roman"/>
          <w:sz w:val="32"/>
          <w:szCs w:val="32"/>
          <w:lang w:eastAsia="zh-CN"/>
        </w:rPr>
        <w:t>药</w:t>
      </w:r>
      <w:r>
        <w:rPr>
          <w:rFonts w:hint="eastAsia" w:ascii="Times New Roman" w:hAnsi="Times New Roman" w:eastAsia="仿宋_GB2312" w:cs="Times New Roman"/>
          <w:sz w:val="32"/>
          <w:szCs w:val="32"/>
        </w:rPr>
        <w:t>安委</w:t>
      </w:r>
      <w:r>
        <w:rPr>
          <w:rFonts w:hint="eastAsia" w:ascii="Times New Roman" w:hAnsi="Times New Roman" w:eastAsia="仿宋_GB2312" w:cs="Times New Roman"/>
          <w:sz w:val="32"/>
          <w:szCs w:val="32"/>
          <w:lang w:eastAsia="zh-CN"/>
        </w:rPr>
        <w:t>提交了市</w:t>
      </w:r>
      <w:r>
        <w:rPr>
          <w:rFonts w:hint="eastAsia" w:ascii="Times New Roman" w:hAnsi="Times New Roman" w:eastAsia="仿宋_GB2312" w:cs="Times New Roman"/>
          <w:sz w:val="32"/>
          <w:szCs w:val="32"/>
        </w:rPr>
        <w:t>级初评申请。按照</w:t>
      </w:r>
      <w:r>
        <w:rPr>
          <w:rFonts w:hint="eastAsia" w:ascii="Times New Roman" w:hAnsi="Times New Roman" w:eastAsia="仿宋_GB2312" w:cs="Times New Roman"/>
          <w:sz w:val="32"/>
          <w:szCs w:val="32"/>
          <w:lang w:eastAsia="zh-CN"/>
        </w:rPr>
        <w:t>市</w:t>
      </w:r>
      <w:r>
        <w:rPr>
          <w:rFonts w:hint="eastAsia" w:ascii="Times New Roman" w:hAnsi="Times New Roman" w:eastAsia="仿宋_GB2312" w:cs="Times New Roman"/>
          <w:sz w:val="32"/>
          <w:szCs w:val="32"/>
        </w:rPr>
        <w:t>食</w:t>
      </w:r>
      <w:r>
        <w:rPr>
          <w:rFonts w:hint="eastAsia" w:ascii="Times New Roman" w:hAnsi="Times New Roman" w:eastAsia="仿宋_GB2312" w:cs="Times New Roman"/>
          <w:sz w:val="32"/>
          <w:szCs w:val="32"/>
          <w:lang w:eastAsia="zh-CN"/>
        </w:rPr>
        <w:t>药</w:t>
      </w:r>
      <w:r>
        <w:rPr>
          <w:rFonts w:hint="eastAsia" w:ascii="Times New Roman" w:hAnsi="Times New Roman" w:eastAsia="仿宋_GB2312" w:cs="Times New Roman"/>
          <w:sz w:val="32"/>
          <w:szCs w:val="32"/>
        </w:rPr>
        <w:t>安委工作部署，</w:t>
      </w:r>
      <w:r>
        <w:rPr>
          <w:rFonts w:hint="eastAsia" w:ascii="Times New Roman" w:hAnsi="Times New Roman" w:eastAsia="仿宋_GB2312" w:cs="Times New Roman"/>
          <w:sz w:val="32"/>
          <w:szCs w:val="32"/>
          <w:lang w:eastAsia="zh-CN"/>
        </w:rPr>
        <w:t>市</w:t>
      </w:r>
      <w:r>
        <w:rPr>
          <w:rFonts w:hint="eastAsia" w:ascii="Times New Roman" w:hAnsi="Times New Roman" w:eastAsia="仿宋_GB2312" w:cs="Times New Roman"/>
          <w:sz w:val="32"/>
          <w:szCs w:val="32"/>
        </w:rPr>
        <w:t>食</w:t>
      </w:r>
      <w:r>
        <w:rPr>
          <w:rFonts w:hint="eastAsia" w:ascii="Times New Roman" w:hAnsi="Times New Roman" w:eastAsia="仿宋_GB2312" w:cs="Times New Roman"/>
          <w:sz w:val="32"/>
          <w:szCs w:val="32"/>
          <w:lang w:eastAsia="zh-CN"/>
        </w:rPr>
        <w:t>药</w:t>
      </w:r>
      <w:r>
        <w:rPr>
          <w:rFonts w:hint="eastAsia" w:ascii="Times New Roman" w:hAnsi="Times New Roman" w:eastAsia="仿宋_GB2312" w:cs="Times New Roman"/>
          <w:sz w:val="32"/>
          <w:szCs w:val="32"/>
        </w:rPr>
        <w:t>安办</w:t>
      </w:r>
      <w:r>
        <w:rPr>
          <w:rFonts w:hint="eastAsia" w:ascii="Times New Roman" w:hAnsi="Times New Roman" w:eastAsia="仿宋_GB2312" w:cs="Times New Roman"/>
          <w:sz w:val="32"/>
          <w:szCs w:val="32"/>
          <w:lang w:eastAsia="zh-CN"/>
        </w:rPr>
        <w:t>会同市直有关单位，组织专业骨干</w:t>
      </w:r>
      <w:r>
        <w:rPr>
          <w:rFonts w:hint="eastAsia" w:ascii="Times New Roman" w:hAnsi="Times New Roman" w:eastAsia="仿宋_GB2312" w:cs="Times New Roman"/>
          <w:sz w:val="32"/>
          <w:szCs w:val="32"/>
        </w:rPr>
        <w:t>，依据《广东省食品药品安全与高质量发展委员会办公室关于印发广东省食品安全示范城市（县）评价细则的通知》（粤食药安办〔2022〕5号）（以下简称《评价细则》），对</w:t>
      </w:r>
      <w:r>
        <w:rPr>
          <w:rFonts w:hint="eastAsia" w:ascii="Times New Roman" w:hAnsi="Times New Roman" w:eastAsia="仿宋_GB2312" w:cs="Times New Roman"/>
          <w:sz w:val="32"/>
          <w:szCs w:val="32"/>
          <w:lang w:eastAsia="zh-CN"/>
        </w:rPr>
        <w:t>蕉岭县</w:t>
      </w:r>
      <w:r>
        <w:rPr>
          <w:rFonts w:hint="eastAsia" w:ascii="Times New Roman" w:hAnsi="Times New Roman" w:eastAsia="仿宋_GB2312" w:cs="Times New Roman"/>
          <w:sz w:val="32"/>
          <w:szCs w:val="32"/>
        </w:rPr>
        <w:t>创建国家食品安全示范</w:t>
      </w:r>
      <w:r>
        <w:rPr>
          <w:rFonts w:hint="eastAsia" w:ascii="Times New Roman" w:hAnsi="Times New Roman" w:eastAsia="仿宋_GB2312" w:cs="Times New Roman"/>
          <w:sz w:val="32"/>
          <w:szCs w:val="32"/>
          <w:lang w:eastAsia="zh-CN"/>
        </w:rPr>
        <w:t>县</w:t>
      </w:r>
      <w:r>
        <w:rPr>
          <w:rFonts w:hint="eastAsia" w:ascii="Times New Roman" w:hAnsi="Times New Roman" w:eastAsia="仿宋_GB2312" w:cs="Times New Roman"/>
          <w:sz w:val="32"/>
          <w:szCs w:val="32"/>
        </w:rPr>
        <w:t>进行</w:t>
      </w:r>
      <w:r>
        <w:rPr>
          <w:rFonts w:hint="eastAsia" w:ascii="Times New Roman" w:hAnsi="Times New Roman" w:eastAsia="仿宋_GB2312" w:cs="Times New Roman"/>
          <w:sz w:val="32"/>
          <w:szCs w:val="32"/>
          <w:lang w:eastAsia="zh-CN"/>
        </w:rPr>
        <w:t>了市级</w:t>
      </w:r>
      <w:r>
        <w:rPr>
          <w:rFonts w:hint="eastAsia" w:ascii="Times New Roman" w:hAnsi="Times New Roman" w:eastAsia="仿宋_GB2312" w:cs="Times New Roman"/>
          <w:sz w:val="32"/>
          <w:szCs w:val="32"/>
        </w:rPr>
        <w:t>初评。现将有关情况汇总如下。</w:t>
      </w:r>
    </w:p>
    <w:p>
      <w:pPr>
        <w:numPr>
          <w:ilvl w:val="0"/>
          <w:numId w:val="1"/>
        </w:numPr>
        <w:spacing w:line="600" w:lineRule="exact"/>
        <w:ind w:firstLine="640" w:firstLineChars="200"/>
        <w:outlineLvl w:val="1"/>
        <w:rPr>
          <w:rFonts w:ascii="Times New Roman" w:hAnsi="Times New Roman" w:eastAsia="黑体" w:cs="黑体"/>
          <w:sz w:val="32"/>
          <w:szCs w:val="32"/>
        </w:rPr>
      </w:pPr>
      <w:bookmarkStart w:id="0" w:name="_Toc46972112_WPSOffice_Level1"/>
      <w:r>
        <w:rPr>
          <w:rFonts w:hint="eastAsia" w:ascii="Times New Roman" w:hAnsi="Times New Roman" w:eastAsia="黑体" w:cs="黑体"/>
          <w:sz w:val="32"/>
          <w:szCs w:val="32"/>
          <w:lang w:eastAsia="zh-CN"/>
        </w:rPr>
        <w:t>市</w:t>
      </w:r>
      <w:r>
        <w:rPr>
          <w:rFonts w:hint="eastAsia" w:ascii="Times New Roman" w:hAnsi="Times New Roman" w:eastAsia="黑体" w:cs="黑体"/>
          <w:sz w:val="32"/>
          <w:szCs w:val="32"/>
        </w:rPr>
        <w:t>级初评</w:t>
      </w:r>
      <w:r>
        <w:rPr>
          <w:rFonts w:ascii="Times New Roman" w:hAnsi="Times New Roman" w:eastAsia="黑体" w:cs="黑体"/>
          <w:sz w:val="32"/>
          <w:szCs w:val="32"/>
        </w:rPr>
        <w:t>过程</w:t>
      </w:r>
      <w:bookmarkEnd w:id="0"/>
    </w:p>
    <w:p>
      <w:pPr>
        <w:numPr>
          <w:ilvl w:val="0"/>
          <w:numId w:val="2"/>
        </w:numPr>
        <w:spacing w:line="600" w:lineRule="exact"/>
        <w:ind w:firstLine="640" w:firstLineChars="200"/>
        <w:outlineLvl w:val="1"/>
        <w:rPr>
          <w:rFonts w:ascii="Times New Roman" w:hAnsi="Times New Roman" w:eastAsia="楷体_GB2312" w:cs="楷体_GB2312"/>
          <w:sz w:val="32"/>
          <w:szCs w:val="32"/>
        </w:rPr>
      </w:pPr>
      <w:bookmarkStart w:id="1" w:name="_Toc1408992911_WPSOffice_Level2"/>
      <w:r>
        <w:rPr>
          <w:rFonts w:hint="eastAsia" w:ascii="Times New Roman" w:hAnsi="Times New Roman" w:eastAsia="楷体_GB2312" w:cs="楷体_GB2312"/>
          <w:sz w:val="32"/>
          <w:szCs w:val="32"/>
        </w:rPr>
        <w:t>资料审核</w:t>
      </w:r>
      <w:bookmarkEnd w:id="1"/>
    </w:p>
    <w:p>
      <w:pPr>
        <w:widowControl w:val="0"/>
        <w:spacing w:after="0" w:line="600" w:lineRule="exact"/>
        <w:ind w:left="0" w:leftChars="0" w:firstLine="640" w:firstLineChars="200"/>
        <w:jc w:val="both"/>
        <w:rPr>
          <w:rFonts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市食药安办印发《蕉岭县创建食品安全示范县市级初评工作方案》，组织市市场监管局、市农业农村局、市卫生健康局、市发展和改革局、市教育局、市公安局、市工业和信息局等市直单位，根据蕉岭县自评材料及</w:t>
      </w:r>
      <w:r>
        <w:rPr>
          <w:rFonts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评价细则</w:t>
      </w:r>
      <w:r>
        <w:rPr>
          <w:rFonts w:ascii="Times New Roman" w:hAnsi="Times New Roman" w:eastAsia="仿宋_GB2312" w:cs="Times New Roman"/>
          <w:kern w:val="2"/>
          <w:sz w:val="32"/>
          <w:szCs w:val="32"/>
          <w:lang w:val="en-US" w:eastAsia="zh-CN" w:bidi="ar-SA"/>
        </w:rPr>
        <w:t>》</w:t>
      </w:r>
      <w:r>
        <w:rPr>
          <w:rFonts w:hint="eastAsia" w:ascii="Times New Roman" w:hAnsi="Times New Roman" w:eastAsia="仿宋_GB2312" w:cs="Times New Roman"/>
          <w:kern w:val="2"/>
          <w:sz w:val="32"/>
          <w:szCs w:val="32"/>
          <w:lang w:val="en-US" w:eastAsia="zh-CN" w:bidi="ar-SA"/>
        </w:rPr>
        <w:t>，并结合日常掌握情况，对由本单位负责评审的考核指标进行复核</w:t>
      </w:r>
      <w:r>
        <w:rPr>
          <w:rFonts w:ascii="Times New Roman" w:hAnsi="Times New Roman" w:eastAsia="仿宋_GB2312" w:cs="Times New Roman"/>
          <w:kern w:val="2"/>
          <w:sz w:val="32"/>
          <w:szCs w:val="32"/>
          <w:lang w:val="en-US" w:eastAsia="zh-CN" w:bidi="ar-SA"/>
        </w:rPr>
        <w:t>打分。</w:t>
      </w:r>
    </w:p>
    <w:p>
      <w:pPr>
        <w:numPr>
          <w:ilvl w:val="0"/>
          <w:numId w:val="2"/>
        </w:numPr>
        <w:spacing w:line="600" w:lineRule="exact"/>
        <w:ind w:firstLine="640" w:firstLineChars="200"/>
        <w:outlineLvl w:val="1"/>
        <w:rPr>
          <w:rFonts w:ascii="Times New Roman" w:hAnsi="Times New Roman" w:eastAsia="楷体_GB2312" w:cs="楷体_GB2312"/>
          <w:sz w:val="32"/>
          <w:szCs w:val="32"/>
        </w:rPr>
      </w:pPr>
      <w:bookmarkStart w:id="2" w:name="_Toc2065382866_WPSOffice_Level2"/>
      <w:r>
        <w:rPr>
          <w:rFonts w:hint="eastAsia" w:ascii="Times New Roman" w:hAnsi="Times New Roman" w:eastAsia="楷体_GB2312" w:cs="楷体_GB2312"/>
          <w:sz w:val="32"/>
          <w:szCs w:val="32"/>
        </w:rPr>
        <w:t>现场</w:t>
      </w:r>
      <w:bookmarkEnd w:id="2"/>
      <w:r>
        <w:rPr>
          <w:rFonts w:hint="eastAsia" w:ascii="Times New Roman" w:hAnsi="Times New Roman" w:eastAsia="楷体_GB2312" w:cs="楷体_GB2312"/>
          <w:sz w:val="32"/>
          <w:szCs w:val="32"/>
        </w:rPr>
        <w:t>检查</w:t>
      </w:r>
    </w:p>
    <w:p>
      <w:pPr>
        <w:spacing w:line="60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sz w:val="32"/>
          <w:szCs w:val="32"/>
          <w:lang w:eastAsia="zh-CN"/>
        </w:rPr>
        <w:t>市食药安办</w:t>
      </w:r>
      <w:r>
        <w:rPr>
          <w:rFonts w:hint="eastAsia" w:ascii="Times New Roman" w:hAnsi="Times New Roman" w:eastAsia="仿宋_GB2312" w:cs="Times New Roman"/>
          <w:sz w:val="32"/>
          <w:szCs w:val="32"/>
        </w:rPr>
        <w:t>组织</w:t>
      </w:r>
      <w:r>
        <w:rPr>
          <w:rFonts w:hint="eastAsia" w:ascii="Times New Roman" w:hAnsi="Times New Roman" w:eastAsia="仿宋_GB2312" w:cs="Times New Roman"/>
          <w:sz w:val="32"/>
          <w:szCs w:val="32"/>
          <w:lang w:eastAsia="zh-CN"/>
        </w:rPr>
        <w:t>了</w:t>
      </w:r>
      <w:r>
        <w:rPr>
          <w:rFonts w:hint="eastAsia" w:ascii="Times New Roman" w:hAnsi="Times New Roman" w:eastAsia="仿宋_GB2312" w:cs="Times New Roman"/>
          <w:sz w:val="32"/>
          <w:szCs w:val="32"/>
          <w:lang w:val="en-US" w:eastAsia="zh-CN"/>
        </w:rPr>
        <w:t>15</w:t>
      </w:r>
      <w:r>
        <w:rPr>
          <w:rFonts w:hint="eastAsia" w:ascii="Times New Roman" w:hAnsi="Times New Roman" w:eastAsia="仿宋_GB2312" w:cs="Times New Roman"/>
          <w:sz w:val="32"/>
          <w:szCs w:val="32"/>
        </w:rPr>
        <w:t>人的现场检查组，分为</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Times New Roman"/>
          <w:sz w:val="32"/>
          <w:szCs w:val="32"/>
        </w:rPr>
        <w:t>个</w:t>
      </w:r>
      <w:r>
        <w:rPr>
          <w:rFonts w:hint="eastAsia" w:ascii="Times New Roman" w:hAnsi="Times New Roman" w:eastAsia="仿宋_GB2312" w:cs="Times New Roman"/>
          <w:sz w:val="32"/>
          <w:szCs w:val="32"/>
          <w:lang w:eastAsia="zh-CN"/>
        </w:rPr>
        <w:t>大专业组（</w:t>
      </w:r>
      <w:r>
        <w:rPr>
          <w:rFonts w:hint="eastAsia" w:ascii="Times New Roman" w:hAnsi="Times New Roman" w:eastAsia="仿宋_GB2312" w:cs="Times New Roman"/>
          <w:sz w:val="32"/>
          <w:szCs w:val="32"/>
          <w:lang w:val="en-US" w:eastAsia="zh-CN"/>
        </w:rPr>
        <w:t>8个小组</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，对照</w:t>
      </w:r>
      <w:r>
        <w:rPr>
          <w:rFonts w:hint="eastAsia" w:ascii="Times New Roman" w:hAnsi="Times New Roman" w:eastAsia="仿宋_GB2312" w:cs="Times New Roman"/>
          <w:sz w:val="32"/>
          <w:szCs w:val="32"/>
          <w:lang w:eastAsia="zh-CN"/>
        </w:rPr>
        <w:t>《评价细则》</w:t>
      </w:r>
      <w:r>
        <w:rPr>
          <w:rFonts w:hint="eastAsia" w:ascii="Times New Roman" w:hAnsi="Times New Roman" w:eastAsia="仿宋_GB2312" w:cs="Times New Roman"/>
          <w:sz w:val="32"/>
          <w:szCs w:val="32"/>
        </w:rPr>
        <w:t>中现场检查打分表，对</w:t>
      </w:r>
      <w:r>
        <w:rPr>
          <w:rFonts w:hint="eastAsia" w:ascii="Times New Roman" w:hAnsi="Times New Roman" w:eastAsia="仿宋_GB2312" w:cs="Times New Roman"/>
          <w:sz w:val="32"/>
          <w:szCs w:val="32"/>
          <w:lang w:eastAsia="zh-CN"/>
        </w:rPr>
        <w:t>蕉岭县</w:t>
      </w:r>
      <w:r>
        <w:rPr>
          <w:rFonts w:hint="eastAsia" w:ascii="Times New Roman" w:hAnsi="Times New Roman" w:eastAsia="仿宋_GB2312" w:cs="Times New Roman"/>
          <w:sz w:val="32"/>
          <w:szCs w:val="32"/>
        </w:rPr>
        <w:t>的基层监管单位、农业种植企业、屠宰企业、农资经营单位、政策性粮食收储企业、食品生产企业、餐饮服务单位</w:t>
      </w:r>
      <w:bookmarkStart w:id="4" w:name="_GoBack"/>
      <w:bookmarkEnd w:id="4"/>
      <w:r>
        <w:rPr>
          <w:rFonts w:hint="eastAsia" w:ascii="Times New Roman" w:hAnsi="Times New Roman" w:eastAsia="仿宋_GB2312" w:cs="Times New Roman"/>
          <w:sz w:val="32"/>
          <w:szCs w:val="32"/>
        </w:rPr>
        <w:t>、食品批发市场、农贸市场、网络订餐平台等各类食品业态单位进行明查和暗访。</w:t>
      </w:r>
      <w:r>
        <w:rPr>
          <w:rFonts w:hint="eastAsia" w:ascii="Times New Roman" w:hAnsi="Times New Roman" w:eastAsia="仿宋_GB2312" w:cs="Times New Roman"/>
          <w:color w:val="000000" w:themeColor="text1"/>
          <w:sz w:val="32"/>
          <w:szCs w:val="32"/>
          <w14:textFill>
            <w14:solidFill>
              <w14:schemeClr w14:val="tx1"/>
            </w14:solidFill>
          </w14:textFill>
        </w:rPr>
        <w:t>随机抽取了</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6个</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镇各种</w:t>
      </w:r>
      <w:r>
        <w:rPr>
          <w:rFonts w:hint="eastAsia" w:ascii="Times New Roman" w:hAnsi="Times New Roman" w:eastAsia="仿宋_GB2312" w:cs="Times New Roman"/>
          <w:color w:val="000000" w:themeColor="text1"/>
          <w:sz w:val="32"/>
          <w:szCs w:val="32"/>
          <w14:textFill>
            <w14:solidFill>
              <w14:schemeClr w14:val="tx1"/>
            </w14:solidFill>
          </w14:textFill>
        </w:rPr>
        <w:t>业态</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共</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28 </w:t>
      </w:r>
      <w:r>
        <w:rPr>
          <w:rFonts w:hint="eastAsia" w:ascii="Times New Roman" w:hAnsi="Times New Roman" w:eastAsia="仿宋_GB2312" w:cs="Times New Roman"/>
          <w:color w:val="000000" w:themeColor="text1"/>
          <w:sz w:val="32"/>
          <w:szCs w:val="32"/>
          <w14:textFill>
            <w14:solidFill>
              <w14:schemeClr w14:val="tx1"/>
            </w14:solidFill>
          </w14:textFill>
        </w:rPr>
        <w:t>家（其中暗访</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3</w:t>
      </w:r>
      <w:r>
        <w:rPr>
          <w:rFonts w:hint="eastAsia" w:ascii="Times New Roman" w:hAnsi="Times New Roman" w:eastAsia="仿宋_GB2312" w:cs="Times New Roman"/>
          <w:color w:val="000000" w:themeColor="text1"/>
          <w:sz w:val="32"/>
          <w:szCs w:val="32"/>
          <w14:textFill>
            <w14:solidFill>
              <w14:schemeClr w14:val="tx1"/>
            </w14:solidFill>
          </w14:textFill>
        </w:rPr>
        <w:t>家）企业、单位进行明查和暗访。</w:t>
      </w:r>
    </w:p>
    <w:p>
      <w:pPr>
        <w:numPr>
          <w:ilvl w:val="0"/>
          <w:numId w:val="1"/>
        </w:numPr>
        <w:spacing w:line="600" w:lineRule="exact"/>
        <w:ind w:firstLine="640" w:firstLineChars="200"/>
        <w:outlineLvl w:val="1"/>
        <w:rPr>
          <w:rFonts w:ascii="Times New Roman" w:hAnsi="Times New Roman" w:eastAsia="黑体" w:cs="黑体"/>
          <w:color w:val="000000" w:themeColor="text1"/>
          <w:sz w:val="32"/>
          <w:szCs w:val="32"/>
          <w14:textFill>
            <w14:solidFill>
              <w14:schemeClr w14:val="tx1"/>
            </w14:solidFill>
          </w14:textFill>
        </w:rPr>
      </w:pPr>
      <w:bookmarkStart w:id="3" w:name="_Toc2065382866_WPSOffice_Level1"/>
      <w:r>
        <w:rPr>
          <w:rFonts w:hint="eastAsia" w:ascii="Times New Roman" w:hAnsi="Times New Roman" w:eastAsia="黑体" w:cs="黑体"/>
          <w:color w:val="000000" w:themeColor="text1"/>
          <w:sz w:val="32"/>
          <w:szCs w:val="32"/>
          <w:lang w:eastAsia="zh-CN"/>
          <w14:textFill>
            <w14:solidFill>
              <w14:schemeClr w14:val="tx1"/>
            </w14:solidFill>
          </w14:textFill>
        </w:rPr>
        <w:t>蕉岭县食品安全</w:t>
      </w:r>
      <w:r>
        <w:rPr>
          <w:rFonts w:ascii="Times New Roman" w:hAnsi="Times New Roman" w:eastAsia="黑体" w:cs="黑体"/>
          <w:color w:val="000000" w:themeColor="text1"/>
          <w:sz w:val="32"/>
          <w:szCs w:val="32"/>
          <w14:textFill>
            <w14:solidFill>
              <w14:schemeClr w14:val="tx1"/>
            </w14:solidFill>
          </w14:textFill>
        </w:rPr>
        <w:t>总体情况</w:t>
      </w:r>
      <w:bookmarkEnd w:id="3"/>
    </w:p>
    <w:p>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蕉岭县常住人口约 23.13万，食品市场主体 3489 户，其中省、市级龙头企业1 家，示范合作社 1 家。创建以来，蕉岭</w:t>
      </w:r>
      <w:r>
        <w:rPr>
          <w:rFonts w:hint="eastAsia" w:ascii="Times New Roman" w:hAnsi="Times New Roman" w:eastAsia="仿宋_GB2312" w:cs="Times New Roman"/>
          <w:sz w:val="32"/>
          <w:szCs w:val="32"/>
          <w:lang w:val="en-US" w:eastAsia="zh-CN"/>
        </w:rPr>
        <w:t>县食品安全状况持续良好、基础工作扎实推进、能力建设逐步强化、生产经营企业主体责任全面落实、食品安全状况日趋向好、示范引领作用逐步凸显。</w:t>
      </w:r>
    </w:p>
    <w:p>
      <w:pPr>
        <w:numPr>
          <w:ilvl w:val="0"/>
          <w:numId w:val="1"/>
        </w:numPr>
        <w:spacing w:line="600" w:lineRule="exact"/>
        <w:ind w:left="0" w:leftChars="0" w:firstLine="640" w:firstLineChars="200"/>
        <w:outlineLvl w:val="1"/>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工作措施和成效</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（一）落实党政同责，食安创建持续深化。</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一是加强组织领导。</w:t>
      </w:r>
      <w:r>
        <w:rPr>
          <w:rFonts w:hint="eastAsia" w:ascii="Times New Roman" w:hAnsi="Times New Roman" w:eastAsia="仿宋_GB2312" w:cs="Times New Roman"/>
          <w:sz w:val="32"/>
          <w:szCs w:val="32"/>
          <w:lang w:eastAsia="zh-CN"/>
        </w:rPr>
        <w:t>蕉岭</w:t>
      </w:r>
      <w:r>
        <w:rPr>
          <w:rFonts w:ascii="Times New Roman" w:hAnsi="Times New Roman" w:eastAsia="仿宋_GB2312" w:cs="Times New Roman"/>
          <w:sz w:val="32"/>
          <w:szCs w:val="32"/>
        </w:rPr>
        <w:t>县委</w:t>
      </w:r>
      <w:r>
        <w:rPr>
          <w:rFonts w:hint="eastAsia" w:ascii="Times New Roman" w:hAnsi="Times New Roman" w:eastAsia="仿宋_GB2312" w:cs="Times New Roman"/>
          <w:sz w:val="32"/>
          <w:szCs w:val="32"/>
          <w:lang w:eastAsia="zh-CN"/>
        </w:rPr>
        <w:t>、县政府</w:t>
      </w:r>
      <w:r>
        <w:rPr>
          <w:rFonts w:ascii="Times New Roman" w:hAnsi="Times New Roman" w:eastAsia="仿宋_GB2312" w:cs="Times New Roman"/>
          <w:sz w:val="32"/>
          <w:szCs w:val="32"/>
        </w:rPr>
        <w:t>主要领导亲自审定方案，担任组长创建工作领导小组，从经济社会全局角度统筹推动食品安全示范县建设，初步构建“党委领导、部门联动、企业主责、齐抓共管、协调推进”的工作格局，监管合力持续强化。</w:t>
      </w:r>
      <w:r>
        <w:rPr>
          <w:rFonts w:ascii="Times New Roman" w:hAnsi="Times New Roman" w:eastAsia="仿宋_GB2312" w:cs="Times New Roman"/>
          <w:b/>
          <w:sz w:val="32"/>
          <w:szCs w:val="32"/>
        </w:rPr>
        <w:t>二是明确目标责任。</w:t>
      </w:r>
      <w:r>
        <w:rPr>
          <w:rFonts w:ascii="Times New Roman" w:hAnsi="Times New Roman" w:eastAsia="仿宋_GB2312" w:cs="Times New Roman"/>
          <w:sz w:val="32"/>
          <w:szCs w:val="32"/>
        </w:rPr>
        <w:t>明确县委、县政府主要领导为食品安全第一责任人，制定党政领导干部食品安全责任清单，带头食品安全签订责任书，明晰责任链条，传导责任压力，全面提升食品安全治理能力，持续巩固“全域全年”食品安全稳定向好态。</w:t>
      </w:r>
      <w:r>
        <w:rPr>
          <w:rFonts w:ascii="Times New Roman" w:hAnsi="Times New Roman" w:eastAsia="仿宋_GB2312" w:cs="Times New Roman"/>
          <w:b/>
          <w:sz w:val="32"/>
          <w:szCs w:val="32"/>
        </w:rPr>
        <w:t>三是强化激励约束。</w:t>
      </w:r>
      <w:r>
        <w:rPr>
          <w:rFonts w:ascii="Times New Roman" w:hAnsi="Times New Roman" w:eastAsia="仿宋_GB2312" w:cs="Times New Roman"/>
          <w:sz w:val="32"/>
          <w:szCs w:val="32"/>
        </w:rPr>
        <w:t>进一步健全督查督办、评价激励等机制，把食品安全工作作为党委、政府督查督办，党委政治巡察重要内容。</w:t>
      </w:r>
      <w:r>
        <w:rPr>
          <w:rFonts w:ascii="Times New Roman" w:hAnsi="Times New Roman" w:eastAsia="仿宋_GB2312" w:cs="Times New Roman"/>
          <w:bCs/>
          <w:sz w:val="32"/>
          <w:szCs w:val="32"/>
        </w:rPr>
        <w:t>统筹</w:t>
      </w:r>
      <w:r>
        <w:rPr>
          <w:rFonts w:ascii="Times New Roman" w:hAnsi="Times New Roman" w:eastAsia="仿宋_GB2312" w:cs="Times New Roman"/>
          <w:sz w:val="32"/>
          <w:szCs w:val="32"/>
        </w:rPr>
        <w:t>党政领导干部考核、目标责任制绩效考核、年度评议考核，食品安全权重不低于3％，对年度食品安全考核“优秀”等次单位予以通报表扬。</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（二）加强源头治理，安全基础持续巩固。</w:t>
      </w:r>
    </w:p>
    <w:p>
      <w:pPr>
        <w:spacing w:line="560" w:lineRule="exact"/>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sz w:val="32"/>
          <w:szCs w:val="32"/>
        </w:rPr>
        <w:t>一是强化耕地安全治理。</w:t>
      </w:r>
      <w:r>
        <w:rPr>
          <w:rFonts w:ascii="Times New Roman" w:hAnsi="Times New Roman" w:eastAsia="仿宋_GB2312" w:cs="Times New Roman"/>
          <w:bCs/>
          <w:sz w:val="32"/>
          <w:szCs w:val="32"/>
        </w:rPr>
        <w:t>明确年度治理目标任务和实施要求，通过调控技术、土壤改良技术、生物技术等土壤安全利用和治理修复措施对轻中度污染耕地实施安全利用和治理修复，加强对化肥、农药、农膜等农业投入品使用管理，继续推动化肥、农药减量增效行动，大力推进绿色防控和统防统治，实施测土配方施肥和有机肥替代化肥行动，推进农业投入品包装废弃物回收及无害化处理，加强耕地污染源头防控，据统计近年来共安全利用和治理修复耕地30082.17亩，实施统防统治面积达32.4万亩次，绿色防控面积达32.1万亩次；</w:t>
      </w:r>
      <w:r>
        <w:rPr>
          <w:rFonts w:ascii="Times New Roman" w:hAnsi="Times New Roman" w:eastAsia="仿宋_GB2312" w:cs="Times New Roman"/>
          <w:b/>
          <w:sz w:val="32"/>
          <w:szCs w:val="32"/>
        </w:rPr>
        <w:t>二是加强农业投入品监管。</w:t>
      </w:r>
      <w:r>
        <w:rPr>
          <w:rFonts w:ascii="Times New Roman" w:hAnsi="Times New Roman" w:eastAsia="仿宋_GB2312" w:cs="Times New Roman"/>
          <w:bCs/>
          <w:sz w:val="32"/>
          <w:szCs w:val="32"/>
        </w:rPr>
        <w:t>建立农（兽）药生产经营主体监管名录，落实限用农药定点经营、实名购买、市场准入等相关制度，落实农药包装废弃物回收处理制度，全县共有农业经营主体有91家，定点经营9家，兽药经营主体11家，饲料添加剂生产厂家1家纳入管理。</w:t>
      </w:r>
      <w:r>
        <w:rPr>
          <w:rFonts w:ascii="Times New Roman" w:hAnsi="Times New Roman" w:eastAsia="仿宋_GB2312" w:cs="Times New Roman"/>
          <w:b/>
          <w:sz w:val="32"/>
          <w:szCs w:val="32"/>
        </w:rPr>
        <w:t>三是完善屠宰发展规划。</w:t>
      </w:r>
      <w:r>
        <w:rPr>
          <w:rFonts w:ascii="Times New Roman" w:hAnsi="Times New Roman" w:eastAsia="仿宋_GB2312" w:cs="Times New Roman"/>
          <w:bCs/>
          <w:sz w:val="32"/>
          <w:szCs w:val="32"/>
        </w:rPr>
        <w:t>全面完成清理小散乱差生猪屠宰场，仅保留县级一个中心屠宰场，并制订产品流向、进场查验、品质检验“瘦肉精”检测等制度，病死畜禽无害化处理率达到100%。</w:t>
      </w:r>
      <w:r>
        <w:rPr>
          <w:rFonts w:ascii="Times New Roman" w:hAnsi="Times New Roman" w:eastAsia="仿宋_GB2312" w:cs="Times New Roman"/>
          <w:b/>
          <w:sz w:val="32"/>
          <w:szCs w:val="32"/>
        </w:rPr>
        <w:t>四是推进追溯体系建设。</w:t>
      </w:r>
      <w:r>
        <w:rPr>
          <w:rFonts w:ascii="Times New Roman" w:hAnsi="Times New Roman" w:eastAsia="仿宋_GB2312" w:cs="Times New Roman"/>
          <w:bCs/>
          <w:sz w:val="32"/>
          <w:szCs w:val="32"/>
        </w:rPr>
        <w:t>完善食用农产品质量安全产地准出市场准入机制，抓好农产品质量安全示范基地建设，严格按照标准生产，严格遵守安全间隔期、休药期、禁限用高毒农药等管理规定，保障农产品质量安全。</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（三）树牢底线思维，风险防控持续强化</w:t>
      </w:r>
    </w:p>
    <w:p>
      <w:pPr>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一是加强检验检测体系建设。</w:t>
      </w:r>
      <w:r>
        <w:rPr>
          <w:rFonts w:ascii="Times New Roman" w:hAnsi="Times New Roman" w:eastAsia="仿宋_GB2312" w:cs="Times New Roman"/>
          <w:bCs/>
          <w:sz w:val="32"/>
          <w:szCs w:val="32"/>
        </w:rPr>
        <w:t>农产品检测体系建设项目顺利通过“双认证”，三年来，共开展定性检测5859批次，合格率99.9%，定量检测（包括监督抽查）1073批次，合格率99.8%。委托</w:t>
      </w:r>
      <w:r>
        <w:rPr>
          <w:rFonts w:ascii="Times New Roman" w:hAnsi="Times New Roman" w:eastAsia="仿宋_GB2312" w:cs="Times New Roman"/>
          <w:sz w:val="32"/>
          <w:szCs w:val="22"/>
        </w:rPr>
        <w:t>广东省林业科学研究院</w:t>
      </w:r>
      <w:r>
        <w:rPr>
          <w:rFonts w:ascii="Times New Roman" w:hAnsi="Times New Roman" w:eastAsia="仿宋_GB2312" w:cs="Times New Roman"/>
          <w:bCs/>
          <w:sz w:val="32"/>
          <w:szCs w:val="32"/>
        </w:rPr>
        <w:t>定期开展食用林产品安全监测工作，2020年以来，</w:t>
      </w:r>
      <w:r>
        <w:rPr>
          <w:rFonts w:hint="eastAsia" w:ascii="Times New Roman" w:hAnsi="Times New Roman" w:eastAsia="仿宋_GB2312" w:cs="Times New Roman"/>
          <w:bCs/>
          <w:sz w:val="32"/>
          <w:szCs w:val="32"/>
          <w:lang w:eastAsia="zh-CN"/>
        </w:rPr>
        <w:t>全</w:t>
      </w:r>
      <w:r>
        <w:rPr>
          <w:rFonts w:ascii="Times New Roman" w:hAnsi="Times New Roman" w:eastAsia="仿宋_GB2312" w:cs="Times New Roman"/>
          <w:bCs/>
          <w:sz w:val="32"/>
          <w:szCs w:val="32"/>
        </w:rPr>
        <w:t>县共计抽检产地土壤、食用林产品和培养基质共95批次，食用林产品质量持续向好。</w:t>
      </w:r>
      <w:r>
        <w:rPr>
          <w:rFonts w:ascii="Times New Roman" w:hAnsi="Times New Roman" w:eastAsia="仿宋_GB2312" w:cs="Times New Roman"/>
          <w:b/>
          <w:sz w:val="32"/>
          <w:szCs w:val="32"/>
        </w:rPr>
        <w:t>二是持续提升风险监测能力。</w:t>
      </w:r>
      <w:r>
        <w:rPr>
          <w:rFonts w:ascii="Times New Roman" w:hAnsi="Times New Roman" w:eastAsia="仿宋_GB2312" w:cs="Times New Roman"/>
          <w:sz w:val="32"/>
          <w:szCs w:val="32"/>
        </w:rPr>
        <w:t>把全县所有开展食源性疾病诊疗的医疗机构均纳入监测医院，目前累计设置监测医院12间，2020年以来，各监测医院共计报告食源性疾病130例，无死亡病例，完成食品安全风险监测样品采样190次，食品污染物和有害因素监测范围覆盖全县。</w:t>
      </w:r>
      <w:r>
        <w:rPr>
          <w:rFonts w:ascii="Times New Roman" w:hAnsi="Times New Roman" w:eastAsia="仿宋_GB2312" w:cs="Times New Roman"/>
          <w:b/>
          <w:bCs/>
          <w:sz w:val="32"/>
          <w:szCs w:val="32"/>
        </w:rPr>
        <w:t>三是有序开展食品安全检测。</w:t>
      </w:r>
      <w:r>
        <w:rPr>
          <w:rFonts w:ascii="Times New Roman" w:hAnsi="Times New Roman" w:eastAsia="仿宋_GB2312" w:cs="Times New Roman"/>
          <w:sz w:val="32"/>
          <w:szCs w:val="32"/>
        </w:rPr>
        <w:t>开展食品安全监督抽检以及农贸市场摊贩和周边超市开展食用农产品快速检测工作，三年来，累计完成农贸市场食用农产品快速检测33289批次，合格率稳定在98％以上，完成食品监督抽检3138批次，合格率稳定在97%以上。不合格食品处置率均为100％。</w:t>
      </w:r>
      <w:r>
        <w:rPr>
          <w:rFonts w:ascii="Times New Roman" w:hAnsi="Times New Roman" w:eastAsia="仿宋_GB2312" w:cs="Times New Roman"/>
          <w:b/>
          <w:bCs/>
          <w:sz w:val="32"/>
          <w:szCs w:val="32"/>
        </w:rPr>
        <w:t>四是强化应急处置能力建设。</w:t>
      </w:r>
      <w:r>
        <w:rPr>
          <w:rFonts w:ascii="Times New Roman" w:hAnsi="Times New Roman" w:eastAsia="仿宋_GB2312" w:cs="Times New Roman"/>
          <w:sz w:val="32"/>
          <w:szCs w:val="32"/>
        </w:rPr>
        <w:t>开展食品生产销售风险分级管理，目前，</w:t>
      </w:r>
      <w:r>
        <w:rPr>
          <w:rFonts w:hint="eastAsia" w:ascii="Times New Roman" w:hAnsi="Times New Roman" w:eastAsia="仿宋_GB2312" w:cs="Times New Roman"/>
          <w:sz w:val="32"/>
          <w:szCs w:val="32"/>
          <w:lang w:eastAsia="zh-CN"/>
        </w:rPr>
        <w:t>全</w:t>
      </w:r>
      <w:r>
        <w:rPr>
          <w:rFonts w:ascii="Times New Roman" w:hAnsi="Times New Roman" w:eastAsia="仿宋_GB2312" w:cs="Times New Roman"/>
          <w:sz w:val="32"/>
          <w:szCs w:val="32"/>
        </w:rPr>
        <w:t>县有效销售者总数2056家，已评定主体数2011家，完成率99.76%。定期组织开展全县食品安全应急演练培训，提升应急处置能力。</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（四）创新机制抓手，监管效能持续提升。</w:t>
      </w:r>
    </w:p>
    <w:p>
      <w:pPr>
        <w:spacing w:line="560" w:lineRule="exact"/>
        <w:ind w:firstLine="643" w:firstLineChars="200"/>
        <w:rPr>
          <w:rFonts w:ascii="Times New Roman" w:hAnsi="Times New Roman" w:eastAsia="黑体" w:cs="Times New Roman"/>
          <w:sz w:val="32"/>
          <w:szCs w:val="32"/>
        </w:rPr>
      </w:pPr>
      <w:r>
        <w:rPr>
          <w:rFonts w:ascii="Times New Roman" w:hAnsi="Times New Roman" w:eastAsia="仿宋_GB2312" w:cs="Times New Roman"/>
          <w:b/>
          <w:bCs/>
          <w:sz w:val="32"/>
          <w:szCs w:val="32"/>
        </w:rPr>
        <w:t>一是强化重点隐患整治。</w:t>
      </w:r>
      <w:r>
        <w:rPr>
          <w:rFonts w:ascii="Times New Roman" w:hAnsi="Times New Roman" w:eastAsia="仿宋_GB2312" w:cs="Times New Roman"/>
          <w:sz w:val="32"/>
          <w:szCs w:val="32"/>
        </w:rPr>
        <w:t>持续开展湿粉专项整治和生产经营企业风险管理</w:t>
      </w:r>
      <w:r>
        <w:rPr>
          <w:rFonts w:ascii="Times New Roman" w:hAnsi="Times New Roman" w:eastAsia="仿宋_GB2312" w:cs="Times New Roman"/>
          <w:bCs/>
          <w:sz w:val="32"/>
          <w:szCs w:val="32"/>
        </w:rPr>
        <w:t>，强化食品生产经营者的食品安全主体责任，加强生产经营过程控制。</w:t>
      </w:r>
      <w:r>
        <w:rPr>
          <w:rFonts w:ascii="Times New Roman" w:hAnsi="Times New Roman" w:eastAsia="仿宋_GB2312" w:cs="Times New Roman"/>
          <w:b/>
          <w:bCs/>
          <w:sz w:val="32"/>
          <w:szCs w:val="32"/>
        </w:rPr>
        <w:t>二是强化重点领域监管。</w:t>
      </w:r>
      <w:r>
        <w:rPr>
          <w:rFonts w:ascii="Times New Roman" w:hAnsi="Times New Roman" w:eastAsia="仿宋_GB2312" w:cs="Times New Roman"/>
          <w:sz w:val="32"/>
          <w:szCs w:val="32"/>
        </w:rPr>
        <w:t>开展入网餐饮服务监管，检查入网餐饮服务单位207家次，入网餐饮服务经营者持证率、公示率达100%。加强对餐饮具集中消毒单位的卫生监督管理，每年定期对餐饮具集中消毒单位梅州市绿洁餐具有限公司进行监督检查工作。近三年餐具抽检均合格。</w:t>
      </w:r>
      <w:r>
        <w:rPr>
          <w:rFonts w:ascii="Times New Roman" w:hAnsi="Times New Roman" w:eastAsia="仿宋_GB2312" w:cs="Times New Roman"/>
          <w:b/>
          <w:bCs/>
          <w:sz w:val="32"/>
          <w:szCs w:val="32"/>
        </w:rPr>
        <w:t>三是强化校园食品安全。</w:t>
      </w:r>
      <w:r>
        <w:rPr>
          <w:rFonts w:ascii="Times New Roman" w:hAnsi="Times New Roman" w:eastAsia="仿宋_GB2312" w:cs="Times New Roman"/>
          <w:sz w:val="32"/>
          <w:szCs w:val="32"/>
        </w:rPr>
        <w:t xml:space="preserve">部署开展校园食品安全守护行动，自2020年以来，全覆盖检查了持证学校及托幼机构食堂348家次，学校周边餐饮单位420家次，周边食品销售单位378家次，督促各校（园）严格按照国家标准和要求采购食品，并按规定索证索票。全面落实学校相关负责人陪餐制度，全县61家持证学校及托幼机构食堂，已全面纳入“互联网+明厨亮灶”监管系统，覆盖率达100%。 </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（五）健全防护体系，违法惩治持续发力。</w:t>
      </w:r>
    </w:p>
    <w:p>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一是建立联合执法机制。</w:t>
      </w:r>
      <w:r>
        <w:rPr>
          <w:rFonts w:ascii="Times New Roman" w:hAnsi="Times New Roman" w:eastAsia="仿宋_GB2312" w:cs="Times New Roman"/>
          <w:sz w:val="32"/>
          <w:szCs w:val="32"/>
        </w:rPr>
        <w:t>围绕“</w:t>
      </w:r>
      <w:r>
        <w:rPr>
          <w:rFonts w:hint="eastAsia" w:ascii="Times New Roman" w:hAnsi="Times New Roman" w:eastAsia="仿宋_GB2312" w:cs="Times New Roman"/>
          <w:sz w:val="32"/>
          <w:szCs w:val="32"/>
          <w:lang w:eastAsia="zh-CN"/>
        </w:rPr>
        <w:t>四个最严</w:t>
      </w:r>
      <w:r>
        <w:rPr>
          <w:rFonts w:ascii="Times New Roman" w:hAnsi="Times New Roman" w:eastAsia="仿宋_GB2312" w:cs="Times New Roman"/>
          <w:sz w:val="32"/>
          <w:szCs w:val="32"/>
        </w:rPr>
        <w:t>”的</w:t>
      </w:r>
      <w:r>
        <w:rPr>
          <w:rFonts w:hint="eastAsia" w:ascii="Times New Roman" w:hAnsi="Times New Roman" w:eastAsia="仿宋_GB2312" w:cs="Times New Roman"/>
          <w:sz w:val="32"/>
          <w:szCs w:val="32"/>
          <w:lang w:eastAsia="zh-CN"/>
        </w:rPr>
        <w:t>要求</w:t>
      </w:r>
      <w:r>
        <w:rPr>
          <w:rFonts w:ascii="Times New Roman" w:hAnsi="Times New Roman" w:eastAsia="仿宋_GB2312" w:cs="Times New Roman"/>
          <w:sz w:val="32"/>
          <w:szCs w:val="32"/>
        </w:rPr>
        <w:t>，进一步加强市场监管、公安等部门的协作配合，通过建立联席会议，推进行政执法与刑事司法衔接，及时做好“两法衔接”平台的录入工作及处罚案件的信息公开和上报工作，2020年以来共侦破涉食品领域违法犯罪案件4宗，涉环境领域违法犯罪案件2宗，涉案金额806万元。</w:t>
      </w:r>
      <w:r>
        <w:rPr>
          <w:rFonts w:ascii="Times New Roman" w:hAnsi="Times New Roman" w:eastAsia="仿宋_GB2312" w:cs="Times New Roman"/>
          <w:b/>
          <w:bCs/>
          <w:sz w:val="32"/>
          <w:szCs w:val="32"/>
        </w:rPr>
        <w:t>二是开展专项整治行动。</w:t>
      </w:r>
      <w:r>
        <w:rPr>
          <w:rFonts w:ascii="Times New Roman" w:hAnsi="Times New Roman" w:eastAsia="仿宋_GB2312" w:cs="Times New Roman"/>
          <w:sz w:val="32"/>
          <w:szCs w:val="32"/>
        </w:rPr>
        <w:t>开展了“治违禁 控药残 促提升”、农村假冒伪劣食品专项执法行动、民生领域案件查办“铁拳”行动、打击侵犯知识产权和制售假冒伪劣商品工作等专项行动，对执法检查中发现的违法违规问题，进行规范指导和立案查办。“蕉岭县广福镇增辉禽类肉产品店销售有毒、有害食品案”被选为典型案例。</w:t>
      </w:r>
      <w:r>
        <w:rPr>
          <w:rFonts w:ascii="Times New Roman" w:hAnsi="Times New Roman" w:eastAsia="仿宋_GB2312" w:cs="Times New Roman"/>
          <w:b/>
          <w:bCs/>
          <w:sz w:val="32"/>
          <w:szCs w:val="32"/>
        </w:rPr>
        <w:t>三是开展食品公益诉讼。</w:t>
      </w:r>
      <w:r>
        <w:rPr>
          <w:rFonts w:hint="eastAsia" w:ascii="Times New Roman" w:hAnsi="Times New Roman" w:eastAsia="仿宋_GB2312" w:cs="Times New Roman"/>
          <w:sz w:val="32"/>
          <w:szCs w:val="32"/>
          <w:lang w:eastAsia="zh-CN"/>
        </w:rPr>
        <w:t>蕉岭</w:t>
      </w:r>
      <w:r>
        <w:rPr>
          <w:rFonts w:ascii="Times New Roman" w:hAnsi="Times New Roman" w:eastAsia="仿宋_GB2312" w:cs="Times New Roman"/>
          <w:sz w:val="32"/>
          <w:szCs w:val="32"/>
        </w:rPr>
        <w:t>县人民检察院聚焦食品安全等重点领域，开展“公益诉讼守护美好生活”专项监督活动，发出食品安全相关检察建议书，并及时跟踪监督检察建议落实情况，召开了蕉岭县农家乐餐饮安全行政公益诉讼案公开听证会，提起梅州市首宗食品安全领域刑事附带民事公益诉讼案件。</w:t>
      </w:r>
    </w:p>
    <w:p>
      <w:p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（六）强化监督参与，共治格局持续拓展</w:t>
      </w:r>
    </w:p>
    <w:p>
      <w:pPr>
        <w:tabs>
          <w:tab w:val="left" w:pos="2568"/>
        </w:tabs>
        <w:spacing w:line="560" w:lineRule="exact"/>
        <w:ind w:firstLine="645"/>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一是加强食品安全宣传。</w:t>
      </w:r>
      <w:r>
        <w:rPr>
          <w:rFonts w:ascii="Times New Roman" w:hAnsi="Times New Roman" w:eastAsia="仿宋_GB2312" w:cs="Times New Roman"/>
          <w:sz w:val="32"/>
          <w:szCs w:val="32"/>
        </w:rPr>
        <w:t>依托蕉岭发布APP等媒体平台，全面加强食品安全法律法规、国家标准、科学知识网络宣传，持续开展全国食品安全宣传周等活动，加快普及高风险食品与有毒野生动植物中毒知识和防范食品保健食品虚假宣传知识。开展制止餐饮浪费行动，倡导勤俭节约消费新风尚。</w:t>
      </w:r>
      <w:r>
        <w:rPr>
          <w:rFonts w:ascii="Times New Roman" w:hAnsi="Times New Roman" w:eastAsia="仿宋_GB2312" w:cs="Times New Roman"/>
          <w:b/>
          <w:bCs/>
          <w:sz w:val="32"/>
          <w:szCs w:val="32"/>
        </w:rPr>
        <w:t>二是畅通投诉举报渠道。</w:t>
      </w:r>
      <w:r>
        <w:rPr>
          <w:rFonts w:ascii="Times New Roman" w:hAnsi="Times New Roman" w:eastAsia="仿宋_GB2312" w:cs="Times New Roman"/>
          <w:sz w:val="32"/>
          <w:szCs w:val="32"/>
        </w:rPr>
        <w:t>发动社会力量参与监督，成立食品安全志愿服务队伍，引导市民积极关注和参与食品安全志愿活动。同时，充分发挥餐饮行业协会自律作用，积极发动食品安全志愿者开展食品安全违法行为社会监督举报行动，成为食品安全社会共治的重要力量。</w:t>
      </w:r>
      <w:r>
        <w:rPr>
          <w:rFonts w:ascii="Times New Roman" w:hAnsi="Times New Roman" w:eastAsia="仿宋_GB2312" w:cs="Times New Roman"/>
          <w:b/>
          <w:bCs/>
          <w:sz w:val="32"/>
          <w:szCs w:val="32"/>
        </w:rPr>
        <w:t>三是强化人大政协监督。</w:t>
      </w:r>
      <w:r>
        <w:rPr>
          <w:rFonts w:ascii="Times New Roman" w:hAnsi="Times New Roman" w:eastAsia="仿宋_GB2312" w:cs="Times New Roman"/>
          <w:sz w:val="32"/>
          <w:szCs w:val="32"/>
        </w:rPr>
        <w:t>建立食品安全工作人大代表、政协委员常态化监督参与机制，每年组织人大代表和政协委员参与“你点</w:t>
      </w:r>
      <w:r>
        <w:rPr>
          <w:rFonts w:hint="eastAsia" w:ascii="Times New Roman" w:hAnsi="Times New Roman" w:eastAsia="仿宋_GB2312" w:cs="Times New Roman"/>
          <w:sz w:val="32"/>
          <w:szCs w:val="32"/>
          <w:lang w:eastAsia="zh-CN"/>
        </w:rPr>
        <w:t>全</w:t>
      </w:r>
      <w:r>
        <w:rPr>
          <w:rFonts w:ascii="Times New Roman" w:hAnsi="Times New Roman" w:eastAsia="仿宋_GB2312" w:cs="Times New Roman"/>
          <w:sz w:val="32"/>
          <w:szCs w:val="32"/>
        </w:rPr>
        <w:t>检”“你送</w:t>
      </w:r>
      <w:r>
        <w:rPr>
          <w:rFonts w:hint="eastAsia" w:ascii="Times New Roman" w:hAnsi="Times New Roman" w:eastAsia="仿宋_GB2312" w:cs="Times New Roman"/>
          <w:sz w:val="32"/>
          <w:szCs w:val="32"/>
          <w:lang w:eastAsia="zh-CN"/>
        </w:rPr>
        <w:t>全</w:t>
      </w:r>
      <w:r>
        <w:rPr>
          <w:rFonts w:ascii="Times New Roman" w:hAnsi="Times New Roman" w:eastAsia="仿宋_GB2312" w:cs="Times New Roman"/>
          <w:sz w:val="32"/>
          <w:szCs w:val="32"/>
        </w:rPr>
        <w:t>检”等食品安全监管工作。</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（七）强化要素保障，产业发展持续壮大</w:t>
      </w:r>
    </w:p>
    <w:p>
      <w:pPr>
        <w:tabs>
          <w:tab w:val="left" w:pos="2568"/>
        </w:tabs>
        <w:spacing w:line="560" w:lineRule="exact"/>
        <w:ind w:firstLine="645"/>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一是健全经费保障机制。</w:t>
      </w:r>
      <w:r>
        <w:rPr>
          <w:rFonts w:hint="eastAsia" w:ascii="Times New Roman" w:hAnsi="Times New Roman" w:eastAsia="仿宋_GB2312" w:cs="Times New Roman"/>
          <w:sz w:val="32"/>
          <w:szCs w:val="32"/>
          <w:lang w:eastAsia="zh-CN"/>
        </w:rPr>
        <w:t>全</w:t>
      </w:r>
      <w:r>
        <w:rPr>
          <w:rFonts w:ascii="Times New Roman" w:hAnsi="Times New Roman" w:eastAsia="仿宋_GB2312" w:cs="Times New Roman"/>
          <w:sz w:val="32"/>
          <w:szCs w:val="32"/>
        </w:rPr>
        <w:t>县将食品安全综合监管经费纳入财政预算，每年在财政预算的基础上还增加拨款用于各类专项整治的开展和各级食品安全机构建设，保障食品安全监管工作需要。2020年以来，</w:t>
      </w:r>
      <w:r>
        <w:rPr>
          <w:rFonts w:hint="eastAsia" w:ascii="Times New Roman" w:hAnsi="Times New Roman" w:eastAsia="仿宋_GB2312" w:cs="Times New Roman"/>
          <w:sz w:val="32"/>
          <w:szCs w:val="32"/>
          <w:lang w:eastAsia="zh-CN"/>
        </w:rPr>
        <w:t>该</w:t>
      </w:r>
      <w:r>
        <w:rPr>
          <w:rFonts w:ascii="Times New Roman" w:hAnsi="Times New Roman" w:eastAsia="仿宋_GB2312" w:cs="Times New Roman"/>
          <w:sz w:val="32"/>
          <w:szCs w:val="32"/>
        </w:rPr>
        <w:t>县财政在“三保”的情况下，每年坚持把示范县创建经费列入县年度财政预算，累计投入经费1400多万元，用于食品安全监管和宣传工作，为全县人民投保了食品安全险。</w:t>
      </w:r>
      <w:r>
        <w:rPr>
          <w:rFonts w:ascii="Times New Roman" w:hAnsi="Times New Roman" w:eastAsia="仿宋_GB2312" w:cs="Times New Roman"/>
          <w:b/>
          <w:bCs/>
          <w:sz w:val="32"/>
          <w:szCs w:val="32"/>
        </w:rPr>
        <w:t>二是加强专业队伍建设。</w:t>
      </w:r>
      <w:r>
        <w:rPr>
          <w:rFonts w:ascii="Times New Roman" w:hAnsi="Times New Roman" w:eastAsia="仿宋_GB2312" w:cs="Times New Roman"/>
          <w:sz w:val="32"/>
          <w:szCs w:val="32"/>
        </w:rPr>
        <w:t>引进食品相关专业急需紧缺人才4人，投入140多万元资金支持监管队伍建设，目前</w:t>
      </w:r>
      <w:r>
        <w:rPr>
          <w:rFonts w:hint="eastAsia" w:ascii="Times New Roman" w:hAnsi="Times New Roman" w:eastAsia="仿宋_GB2312" w:cs="Times New Roman"/>
          <w:sz w:val="32"/>
          <w:szCs w:val="32"/>
          <w:lang w:eastAsia="zh-CN"/>
        </w:rPr>
        <w:t>全</w:t>
      </w:r>
      <w:r>
        <w:rPr>
          <w:rFonts w:ascii="Times New Roman" w:hAnsi="Times New Roman" w:eastAsia="仿宋_GB2312" w:cs="Times New Roman"/>
          <w:sz w:val="32"/>
          <w:szCs w:val="32"/>
        </w:rPr>
        <w:t>县从事食品安全监管人员的专业化比例超过70%。每年结合工作实际制定年度培训计划，通过网络培训、专项培训、视频教学等方式组织开展业务培训和能力考核，食品安全监管人员业务培训覆盖率达到100%，人均累计每学年总学时达到60小时以上。</w:t>
      </w:r>
      <w:r>
        <w:rPr>
          <w:rFonts w:ascii="Times New Roman" w:hAnsi="Times New Roman" w:eastAsia="仿宋_GB2312" w:cs="Times New Roman"/>
          <w:b/>
          <w:bCs/>
          <w:sz w:val="32"/>
          <w:szCs w:val="32"/>
        </w:rPr>
        <w:t>三是创新食品质量标准。</w:t>
      </w:r>
      <w:r>
        <w:rPr>
          <w:rFonts w:ascii="Times New Roman" w:hAnsi="Times New Roman" w:eastAsia="仿宋_GB2312" w:cs="Times New Roman"/>
          <w:bCs/>
          <w:sz w:val="32"/>
          <w:szCs w:val="32"/>
        </w:rPr>
        <w:t>“蕉岭绿茶”、“桂岭蜂蜜”已经制定符合国家标准的质量技术生产规范，并通过国家相关部门审查合格，批准实施国家地理标志产品保护。</w:t>
      </w:r>
      <w:r>
        <w:rPr>
          <w:rFonts w:ascii="Times New Roman" w:hAnsi="Times New Roman" w:eastAsia="仿宋_GB2312" w:cs="Times New Roman"/>
          <w:b/>
          <w:bCs/>
          <w:sz w:val="32"/>
          <w:szCs w:val="32"/>
        </w:rPr>
        <w:t>四是打造高质量发展平台。</w:t>
      </w:r>
      <w:r>
        <w:rPr>
          <w:rFonts w:ascii="Times New Roman" w:hAnsi="Times New Roman" w:eastAsia="仿宋_GB2312" w:cs="Times New Roman"/>
          <w:sz w:val="32"/>
          <w:szCs w:val="32"/>
        </w:rPr>
        <w:t>依托世界长寿乡品牌，擦亮蕉岭富硒食品金字招牌，加快推动蕉岭县丝苗米产业园、冷链物流产业园建设，推进小作坊集中加工区建设，不断延伸蕉岭“三及第”、真庄“盐</w:t>
      </w:r>
      <w:r>
        <w:rPr>
          <w:rFonts w:ascii="Times New Roman" w:hAnsi="Times New Roman" w:eastAsia="微软雅黑" w:cs="Times New Roman"/>
          <w:sz w:val="32"/>
          <w:szCs w:val="32"/>
        </w:rPr>
        <w:t>焗</w:t>
      </w:r>
      <w:r>
        <w:rPr>
          <w:rFonts w:ascii="Times New Roman" w:hAnsi="Times New Roman" w:eastAsia="仿宋_GB2312" w:cs="Times New Roman"/>
          <w:sz w:val="32"/>
          <w:szCs w:val="32"/>
        </w:rPr>
        <w:t>鸡”等预制菜制作产业链，推动</w:t>
      </w:r>
      <w:r>
        <w:rPr>
          <w:rFonts w:hint="eastAsia" w:ascii="Times New Roman" w:hAnsi="Times New Roman" w:eastAsia="仿宋_GB2312" w:cs="Times New Roman"/>
          <w:sz w:val="32"/>
          <w:szCs w:val="32"/>
          <w:lang w:eastAsia="zh-CN"/>
        </w:rPr>
        <w:t>全</w:t>
      </w:r>
      <w:r>
        <w:rPr>
          <w:rFonts w:ascii="Times New Roman" w:hAnsi="Times New Roman" w:eastAsia="仿宋_GB2312" w:cs="Times New Roman"/>
          <w:sz w:val="32"/>
          <w:szCs w:val="32"/>
        </w:rPr>
        <w:t>县食品产业集群高质量发展。</w:t>
      </w:r>
    </w:p>
    <w:p>
      <w:pPr>
        <w:spacing w:line="600" w:lineRule="exact"/>
        <w:ind w:firstLine="643" w:firstLineChars="200"/>
        <w:rPr>
          <w:rFonts w:hint="eastAsia" w:ascii="Times New Roman" w:hAnsi="Times New Roman" w:eastAsia="楷体" w:cs="Times New Roman"/>
          <w:b/>
          <w:sz w:val="32"/>
          <w:szCs w:val="32"/>
          <w:lang w:val="en-US" w:eastAsia="zh-CN"/>
        </w:rPr>
      </w:pPr>
      <w:r>
        <w:rPr>
          <w:rFonts w:hint="eastAsia" w:ascii="Times New Roman" w:hAnsi="Times New Roman" w:eastAsia="楷体" w:cs="Times New Roman"/>
          <w:b/>
          <w:sz w:val="32"/>
          <w:szCs w:val="32"/>
          <w:lang w:val="en-US" w:eastAsia="zh-CN"/>
        </w:rPr>
        <w:t>四、下一步工作建议</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一是坚持“零容忍”防范化解食品安全风险隐患。</w:t>
      </w:r>
      <w:r>
        <w:rPr>
          <w:rFonts w:hint="eastAsia" w:ascii="仿宋_GB2312" w:hAnsi="仿宋_GB2312" w:eastAsia="仿宋_GB2312" w:cs="仿宋_GB2312"/>
          <w:kern w:val="2"/>
          <w:sz w:val="32"/>
          <w:szCs w:val="32"/>
          <w:lang w:val="en-US" w:eastAsia="zh-CN" w:bidi="ar-SA"/>
        </w:rPr>
        <w:t>进一步落实“党政同责、一岗双责”和食品安全属地责任，各级各部门做到认真履职尽责，依法履行监管责任，对监管不严、执法不力、失职渎职的责任人依法严肃追究责任。紧盯监管重点，加强监督检查，牢牢守住食品安全工作底线。实施最严处罚，大幅提高食品安全违法成本，让违法者、失信者寸步难行。</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二是进一步强化食品生产经营者主体责任意识。</w:t>
      </w:r>
      <w:r>
        <w:rPr>
          <w:rFonts w:hint="eastAsia" w:ascii="仿宋_GB2312" w:hAnsi="仿宋_GB2312" w:eastAsia="仿宋_GB2312" w:cs="仿宋_GB2312"/>
          <w:kern w:val="2"/>
          <w:sz w:val="32"/>
          <w:szCs w:val="32"/>
          <w:lang w:val="en-US" w:eastAsia="zh-CN" w:bidi="ar-SA"/>
        </w:rPr>
        <w:t>进一步督促食品生产经营企业履行法律法规赋予的职责，严格执行供货者管理、进货查验和出厂检验、生产经营过程控制、食品安全自查、从业人员健康检查和培训等制度，及时发现并消除安全隐患，有效防控食品安全风险；加强企业负责人及食品安全管理人员法律法规知识培训，强化食品安全法律意识和诚信意识，提升企业内部质量安全管理水平；规范生产经营行为，切实落实生产经营过程中记录核查、全过程管理和控制等主体责任；依法建立食品安全追溯体系，农产品和食品生产企业应对其产品进行追踪溯源，所有记录应确保真实完整、做到来源可查、去向可追；采取多种形式推动食品生产经营者自觉落实食品安全主体责任，不断打造树立食品安全生产经营典范，引领食品企业做强做优。</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三是以创新驱动提升食品安全监管现代化水平。</w:t>
      </w:r>
      <w:r>
        <w:rPr>
          <w:rFonts w:hint="eastAsia" w:ascii="仿宋_GB2312" w:hAnsi="仿宋_GB2312" w:eastAsia="仿宋_GB2312" w:cs="仿宋_GB2312"/>
          <w:kern w:val="2"/>
          <w:sz w:val="32"/>
          <w:szCs w:val="32"/>
          <w:lang w:val="en-US" w:eastAsia="zh-CN" w:bidi="ar-SA"/>
        </w:rPr>
        <w:t>建立健全以“双随机、一公开”为基本手段、以重点监管为补充、以信用监管为基础的新型监管机制，完善“从农田到餐桌”全链条全过程食品安全监管机制。创新食品安全重点领域、关键环节智慧化监管，综合运用互联网技术、大数据思维，用好用活信息化、无纸化监管平台，提升监管水平和效能，探索更多新鲜实践经验。</w:t>
      </w:r>
    </w:p>
    <w:p>
      <w:pPr>
        <w:spacing w:beforeLines="0" w:afterLines="0" w:line="600" w:lineRule="exact"/>
        <w:ind w:firstLine="640" w:firstLineChars="200"/>
        <w:jc w:val="both"/>
        <w:rPr>
          <w:rFonts w:hint="default" w:ascii="仿宋_GB2312" w:hAnsi="仿宋_GB2312" w:eastAsia="仿宋_GB2312" w:cs="仿宋_GB2312"/>
          <w:spacing w:val="-6"/>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四是积极构建共治共享的食品安全社会治理体系。</w:t>
      </w:r>
      <w:r>
        <w:rPr>
          <w:rFonts w:hint="eastAsia" w:ascii="仿宋_GB2312" w:hAnsi="仿宋_GB2312" w:eastAsia="仿宋_GB2312" w:cs="仿宋_GB2312"/>
          <w:spacing w:val="-6"/>
          <w:kern w:val="2"/>
          <w:sz w:val="32"/>
          <w:szCs w:val="32"/>
          <w:lang w:val="en-US" w:eastAsia="zh-CN" w:bidi="ar-SA"/>
        </w:rPr>
        <w:t>大力倡导行业自律，引导食品生产经营者恪守法规标准，严格落实食品安全主体责任。健全信息公开机制，畅通投诉举报渠道，加强食品安全科普、普法，动员社会各界积极参与。把食品安全融入到美食文化当中，擦亮蕉岭“世界长寿乡”的城市名片。</w:t>
      </w:r>
    </w:p>
    <w:p>
      <w:pPr>
        <w:spacing w:beforeLines="0" w:afterLines="0" w:line="600" w:lineRule="exact"/>
        <w:ind w:firstLine="616" w:firstLineChars="200"/>
        <w:jc w:val="both"/>
        <w:rPr>
          <w:rFonts w:hint="eastAsia" w:ascii="仿宋_GB2312" w:hAnsi="仿宋_GB2312" w:eastAsia="仿宋_GB2312" w:cs="仿宋_GB2312"/>
          <w:spacing w:val="-6"/>
          <w:kern w:val="2"/>
          <w:sz w:val="32"/>
          <w:szCs w:val="32"/>
          <w:lang w:val="en-US" w:eastAsia="zh-CN" w:bidi="ar-SA"/>
        </w:rPr>
      </w:pPr>
      <w:r>
        <w:rPr>
          <w:rFonts w:hint="eastAsia" w:ascii="黑体" w:hAnsi="黑体" w:eastAsia="黑体" w:cs="黑体"/>
          <w:spacing w:val="-6"/>
          <w:kern w:val="2"/>
          <w:sz w:val="32"/>
          <w:szCs w:val="32"/>
          <w:lang w:val="en-US" w:eastAsia="zh-CN" w:bidi="ar-SA"/>
        </w:rPr>
        <w:t>五、市级初评意见</w:t>
      </w:r>
      <w:r>
        <w:rPr>
          <w:rFonts w:hint="eastAsia" w:ascii="仿宋_GB2312" w:hAnsi="仿宋_GB2312" w:eastAsia="仿宋_GB2312" w:cs="仿宋_GB2312"/>
          <w:spacing w:val="-6"/>
          <w:kern w:val="2"/>
          <w:sz w:val="32"/>
          <w:szCs w:val="32"/>
          <w:lang w:val="en-US" w:eastAsia="zh-CN" w:bidi="ar-SA"/>
        </w:rPr>
        <w:t xml:space="preserve"> </w:t>
      </w:r>
    </w:p>
    <w:p>
      <w:pPr>
        <w:spacing w:beforeLines="0" w:afterLines="0" w:line="600" w:lineRule="exact"/>
        <w:ind w:firstLine="640" w:firstLineChars="200"/>
        <w:jc w:val="both"/>
        <w:rPr>
          <w:rFonts w:hint="eastAsia" w:ascii="仿宋_GB2312" w:hAnsi="仿宋_GB2312" w:eastAsia="仿宋_GB2312" w:cs="仿宋_GB2312"/>
          <w:spacing w:val="-6"/>
          <w:kern w:val="2"/>
          <w:sz w:val="32"/>
          <w:szCs w:val="32"/>
          <w:lang w:val="en-US" w:eastAsia="zh-CN" w:bidi="ar-SA"/>
        </w:rPr>
      </w:pPr>
      <w:r>
        <w:rPr>
          <w:rFonts w:hint="default" w:ascii="Times New Roman" w:hAnsi="Times New Roman" w:eastAsia="仿宋_GB2312" w:cs="Times New Roman"/>
          <w:sz w:val="32"/>
          <w:szCs w:val="32"/>
        </w:rPr>
        <w:t>经综合评价，</w:t>
      </w:r>
      <w:r>
        <w:rPr>
          <w:rFonts w:hint="eastAsia" w:ascii="Times New Roman" w:hAnsi="Times New Roman" w:eastAsia="仿宋_GB2312" w:cs="Times New Roman"/>
          <w:sz w:val="32"/>
          <w:szCs w:val="32"/>
          <w:lang w:eastAsia="zh-CN"/>
        </w:rPr>
        <w:t>蕉岭县</w:t>
      </w:r>
      <w:r>
        <w:rPr>
          <w:rFonts w:hint="eastAsia" w:ascii="仿宋_GB2312" w:hAnsi="仿宋_GB2312" w:eastAsia="仿宋_GB2312" w:cs="仿宋_GB2312"/>
          <w:kern w:val="2"/>
          <w:sz w:val="32"/>
          <w:szCs w:val="32"/>
          <w:lang w:val="en-US" w:eastAsia="zh-CN" w:bidi="ar-SA"/>
        </w:rPr>
        <w:t>委、县政府坚决贯彻习近平总书记关于食品安全工作的重要指示批示精神，坚持以人民为中心的发展思想，以创建广东省食品安全示范县为契机，认真落实“四个最严”要求，围绕与人民群众生活密切相关的食品安全领域重点难点，做好“规定动作”，创新“自选动作”，切实推动食品安全工作水平整体提升</w:t>
      </w:r>
      <w:r>
        <w:rPr>
          <w:rFonts w:hint="eastAsia" w:ascii="仿宋_GB2312" w:hAnsi="仿宋_GB2312" w:eastAsia="仿宋_GB2312" w:cs="仿宋_GB2312"/>
          <w:spacing w:val="-6"/>
          <w:kern w:val="2"/>
          <w:sz w:val="32"/>
          <w:szCs w:val="32"/>
          <w:lang w:val="en-US" w:eastAsia="zh-CN" w:bidi="ar-SA"/>
        </w:rPr>
        <w:t>，</w:t>
      </w:r>
      <w:r>
        <w:rPr>
          <w:rFonts w:hint="default" w:ascii="Times New Roman" w:hAnsi="Times New Roman" w:eastAsia="仿宋_GB2312" w:cs="Times New Roman"/>
          <w:sz w:val="32"/>
          <w:szCs w:val="32"/>
        </w:rPr>
        <w:t>通过了</w:t>
      </w:r>
      <w:r>
        <w:rPr>
          <w:rFonts w:hint="eastAsia"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级初评，示范作用明显，有力提升了全</w:t>
      </w:r>
      <w:r>
        <w:rPr>
          <w:rFonts w:hint="eastAsia" w:ascii="Times New Roman" w:hAnsi="Times New Roman" w:eastAsia="仿宋_GB2312" w:cs="Times New Roman"/>
          <w:sz w:val="32"/>
          <w:szCs w:val="32"/>
          <w:lang w:eastAsia="zh-CN"/>
        </w:rPr>
        <w:t>市</w:t>
      </w:r>
      <w:r>
        <w:rPr>
          <w:rFonts w:hint="default" w:ascii="Times New Roman" w:hAnsi="Times New Roman" w:eastAsia="仿宋_GB2312" w:cs="Times New Roman"/>
          <w:sz w:val="32"/>
          <w:szCs w:val="32"/>
        </w:rPr>
        <w:t>食品安全整体水平</w:t>
      </w:r>
      <w:r>
        <w:rPr>
          <w:rFonts w:hint="eastAsia" w:ascii="仿宋_GB2312" w:hAnsi="仿宋_GB2312" w:eastAsia="仿宋_GB2312" w:cs="仿宋_GB2312"/>
          <w:spacing w:val="-6"/>
          <w:kern w:val="2"/>
          <w:sz w:val="32"/>
          <w:szCs w:val="32"/>
          <w:lang w:val="en-US" w:eastAsia="zh-CN" w:bidi="ar-SA"/>
        </w:rPr>
        <w:t>。</w:t>
      </w:r>
    </w:p>
    <w:p>
      <w:pPr>
        <w:spacing w:beforeLines="0" w:afterLines="0" w:line="600" w:lineRule="exact"/>
        <w:ind w:firstLine="616" w:firstLineChars="200"/>
        <w:jc w:val="both"/>
        <w:rPr>
          <w:rFonts w:hint="eastAsia" w:ascii="仿宋_GB2312" w:hAnsi="仿宋_GB2312" w:eastAsia="仿宋_GB2312" w:cs="仿宋_GB2312"/>
          <w:spacing w:val="-6"/>
          <w:kern w:val="2"/>
          <w:sz w:val="32"/>
          <w:szCs w:val="32"/>
          <w:lang w:val="en-US" w:eastAsia="zh-CN" w:bidi="ar-SA"/>
        </w:rPr>
      </w:pPr>
    </w:p>
    <w:p>
      <w:pPr>
        <w:pStyle w:val="2"/>
        <w:rPr>
          <w:rFonts w:hint="eastAsia" w:ascii="仿宋_GB2312" w:hAnsi="仿宋_GB2312" w:eastAsia="仿宋_GB2312" w:cs="仿宋_GB2312"/>
          <w:spacing w:val="-6"/>
          <w:kern w:val="2"/>
          <w:sz w:val="32"/>
          <w:szCs w:val="32"/>
          <w:lang w:val="en-US" w:eastAsia="zh-CN" w:bidi="ar-SA"/>
        </w:rPr>
      </w:pPr>
    </w:p>
    <w:p>
      <w:pPr>
        <w:rPr>
          <w:rFonts w:hint="eastAsia" w:ascii="仿宋_GB2312" w:hAnsi="仿宋_GB2312" w:eastAsia="仿宋_GB2312" w:cs="仿宋_GB2312"/>
          <w:spacing w:val="-6"/>
          <w:kern w:val="2"/>
          <w:sz w:val="32"/>
          <w:szCs w:val="32"/>
          <w:lang w:val="en-US" w:eastAsia="zh-CN" w:bidi="ar-SA"/>
        </w:rPr>
      </w:pPr>
    </w:p>
    <w:p>
      <w:pPr>
        <w:pStyle w:val="2"/>
        <w:rPr>
          <w:rFonts w:hint="eastAsia" w:ascii="仿宋_GB2312" w:hAnsi="仿宋_GB2312" w:eastAsia="仿宋_GB2312" w:cs="仿宋_GB2312"/>
          <w:spacing w:val="-6"/>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3200" w:firstLineChars="10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梅州市</w:t>
      </w:r>
      <w:r>
        <w:rPr>
          <w:rFonts w:hint="eastAsia" w:ascii="仿宋_GB2312" w:hAnsi="仿宋_GB2312" w:eastAsia="仿宋_GB2312" w:cs="仿宋_GB2312"/>
          <w:sz w:val="32"/>
          <w:szCs w:val="32"/>
        </w:rPr>
        <w:t>食品药品安全与高质量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发展委员会办公室</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2022年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p>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sz w:val="32"/>
          <w:szCs w:val="32"/>
        </w:rPr>
      </w:pPr>
    </w:p>
    <w:sectPr>
      <w:footerReference r:id="rId3" w:type="default"/>
      <w:pgSz w:w="11906" w:h="16838"/>
      <w:pgMar w:top="1440" w:right="1587" w:bottom="113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pPr>
        <w:ind w:left="0" w:firstLine="420"/>
      </w:pPr>
      <w:rPr>
        <w:rFonts w:hint="eastAsia"/>
      </w:rPr>
    </w:lvl>
  </w:abstractNum>
  <w:abstractNum w:abstractNumId="1">
    <w:nsid w:val="00000003"/>
    <w:multiLevelType w:val="singleLevel"/>
    <w:tmpl w:val="00000003"/>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hMDA5NzFjMjJhOGZiY2NmM2Q4YzdjMTNjNzcwNzIifQ=="/>
  </w:docVars>
  <w:rsids>
    <w:rsidRoot w:val="00000000"/>
    <w:rsid w:val="01E51968"/>
    <w:rsid w:val="11BE0D37"/>
    <w:rsid w:val="15C250F2"/>
    <w:rsid w:val="15DF7C91"/>
    <w:rsid w:val="164611ED"/>
    <w:rsid w:val="1FA65037"/>
    <w:rsid w:val="20A0790B"/>
    <w:rsid w:val="312124F8"/>
    <w:rsid w:val="37747580"/>
    <w:rsid w:val="4C1B0D71"/>
    <w:rsid w:val="4EEF244B"/>
    <w:rsid w:val="530B6DCD"/>
    <w:rsid w:val="53D52FDE"/>
    <w:rsid w:val="67C11472"/>
    <w:rsid w:val="68AC7782"/>
    <w:rsid w:val="711C5320"/>
    <w:rsid w:val="755567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authorities"/>
    <w:next w:val="1"/>
    <w:qFormat/>
    <w:uiPriority w:val="0"/>
    <w:pPr>
      <w:widowControl w:val="0"/>
      <w:ind w:left="420" w:leftChars="200"/>
      <w:jc w:val="both"/>
    </w:pPr>
    <w:rPr>
      <w:rFonts w:ascii="Times New Roman" w:hAnsi="Times New Roman" w:eastAsia="宋体" w:cs="Times New Roman"/>
      <w:kern w:val="2"/>
      <w:sz w:val="32"/>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4809</Words>
  <Characters>4940</Characters>
  <Lines>0</Lines>
  <Paragraphs>0</Paragraphs>
  <TotalTime>124</TotalTime>
  <ScaleCrop>false</ScaleCrop>
  <LinksUpToDate>false</LinksUpToDate>
  <CharactersWithSpaces>4980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2022-08-26T08:42:00Z</dcterms:created>
  <dc:creator>Administrator</dc:creator>
  <cp:lastModifiedBy>常想一二</cp:lastModifiedBy>
  <cp:lastPrinted>2022-08-30T02:04:00Z</cp:lastPrinted>
  <dcterms:modified xsi:type="dcterms:W3CDTF">2022-10-24T09:42:38Z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EF8078C579974EEC8169198F23433E3A</vt:lpwstr>
  </property>
</Properties>
</file>