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both"/>
        <w:rPr>
          <w:rFonts w:hint="default" w:eastAsia="方正小标宋简体"/>
          <w:spacing w:val="-1"/>
          <w:position w:val="1"/>
          <w:sz w:val="44"/>
          <w:szCs w:val="44"/>
          <w:lang w:val="en-US" w:eastAsia="zh-CN"/>
        </w:rPr>
      </w:pPr>
      <w:r>
        <w:rPr>
          <w:rFonts w:hint="eastAsia" w:ascii="黑体" w:hAnsi="黑体" w:eastAsia="黑体" w:cs="黑体"/>
          <w:spacing w:val="-1"/>
          <w:position w:val="1"/>
          <w:sz w:val="32"/>
          <w:szCs w:val="32"/>
          <w:lang w:eastAsia="zh-CN"/>
        </w:rPr>
        <w:t>附件</w:t>
      </w:r>
      <w:r>
        <w:rPr>
          <w:rFonts w:hint="eastAsia" w:ascii="黑体" w:hAnsi="黑体" w:eastAsia="黑体" w:cs="黑体"/>
          <w:spacing w:val="-1"/>
          <w:position w:val="1"/>
          <w:sz w:val="32"/>
          <w:szCs w:val="32"/>
          <w:lang w:val="en-US" w:eastAsia="zh-CN"/>
        </w:rPr>
        <w:t>2</w:t>
      </w:r>
    </w:p>
    <w:p>
      <w:pPr>
        <w:spacing w:line="590" w:lineRule="exact"/>
        <w:jc w:val="center"/>
        <w:rPr>
          <w:rFonts w:eastAsia="方正小标宋简体"/>
          <w:spacing w:val="-1"/>
          <w:position w:val="1"/>
          <w:sz w:val="44"/>
          <w:szCs w:val="44"/>
        </w:rPr>
      </w:pPr>
      <w:r>
        <w:rPr>
          <w:rFonts w:hint="eastAsia" w:eastAsia="方正小标宋简体"/>
          <w:spacing w:val="-1"/>
          <w:position w:val="1"/>
          <w:sz w:val="44"/>
          <w:szCs w:val="44"/>
          <w:lang w:eastAsia="zh-CN"/>
        </w:rPr>
        <w:t>梅州市</w:t>
      </w:r>
      <w:r>
        <w:rPr>
          <w:rFonts w:eastAsia="方正小标宋简体"/>
          <w:spacing w:val="-1"/>
          <w:position w:val="1"/>
          <w:sz w:val="44"/>
          <w:szCs w:val="44"/>
        </w:rPr>
        <w:t>电动自行车产品质量</w:t>
      </w:r>
    </w:p>
    <w:p>
      <w:pPr>
        <w:spacing w:line="590" w:lineRule="exact"/>
        <w:jc w:val="center"/>
        <w:rPr>
          <w:rFonts w:eastAsia="方正小标宋简体"/>
          <w:spacing w:val="-1"/>
          <w:position w:val="1"/>
          <w:sz w:val="44"/>
          <w:szCs w:val="44"/>
        </w:rPr>
      </w:pPr>
      <w:r>
        <w:rPr>
          <w:rFonts w:eastAsia="方正小标宋简体"/>
          <w:spacing w:val="-1"/>
          <w:position w:val="1"/>
          <w:sz w:val="44"/>
          <w:szCs w:val="44"/>
        </w:rPr>
        <w:t>监督抽查实施细则</w:t>
      </w:r>
    </w:p>
    <w:p>
      <w:pPr>
        <w:adjustRightInd w:val="0"/>
        <w:snapToGrid w:val="0"/>
        <w:spacing w:line="360" w:lineRule="auto"/>
        <w:rPr>
          <w:rFonts w:eastAsia="仿宋"/>
          <w:color w:val="000000"/>
          <w:sz w:val="32"/>
          <w:szCs w:val="32"/>
        </w:rPr>
      </w:pPr>
    </w:p>
    <w:p>
      <w:pPr>
        <w:adjustRightInd w:val="0"/>
        <w:snapToGrid w:val="0"/>
        <w:spacing w:line="360" w:lineRule="auto"/>
        <w:ind w:firstLine="640" w:firstLineChars="200"/>
        <w:rPr>
          <w:rFonts w:eastAsia="黑体"/>
          <w:color w:val="000000"/>
          <w:sz w:val="32"/>
          <w:szCs w:val="32"/>
        </w:rPr>
      </w:pPr>
      <w:r>
        <w:rPr>
          <w:rFonts w:eastAsia="黑体"/>
          <w:color w:val="000000"/>
          <w:sz w:val="32"/>
          <w:szCs w:val="32"/>
        </w:rPr>
        <w:t>一、抽样方法</w:t>
      </w:r>
    </w:p>
    <w:p>
      <w:pPr>
        <w:adjustRightInd w:val="0"/>
        <w:snapToGrid w:val="0"/>
        <w:ind w:firstLine="420"/>
        <w:rPr>
          <w:rFonts w:hint="eastAsia" w:ascii="仿宋_GB2312" w:eastAsia="仿宋_GB2312"/>
          <w:color w:val="000000"/>
          <w:sz w:val="32"/>
          <w:szCs w:val="32"/>
        </w:rPr>
      </w:pPr>
      <w:r>
        <w:rPr>
          <w:rFonts w:hint="eastAsia" w:ascii="仿宋_GB2312" w:eastAsia="仿宋_GB2312"/>
          <w:color w:val="000000"/>
          <w:sz w:val="32"/>
          <w:szCs w:val="32"/>
        </w:rPr>
        <w:t>以随机抽样的方式在被抽样生产者、销售者的待销产品中抽取。</w:t>
      </w:r>
    </w:p>
    <w:p>
      <w:pPr>
        <w:adjustRightInd w:val="0"/>
        <w:snapToGrid w:val="0"/>
        <w:ind w:firstLine="420"/>
        <w:rPr>
          <w:rFonts w:hint="eastAsia" w:ascii="仿宋_GB2312" w:eastAsia="仿宋_GB2312"/>
          <w:color w:val="000000"/>
          <w:sz w:val="32"/>
          <w:szCs w:val="32"/>
        </w:rPr>
      </w:pPr>
      <w:r>
        <w:rPr>
          <w:rFonts w:hint="eastAsia" w:ascii="仿宋_GB2312" w:eastAsia="仿宋_GB2312"/>
          <w:color w:val="000000"/>
          <w:sz w:val="32"/>
          <w:szCs w:val="32"/>
        </w:rPr>
        <w:t>随机数一般可使用随机数表等方法产生。</w:t>
      </w:r>
    </w:p>
    <w:p>
      <w:pPr>
        <w:adjustRightInd w:val="0"/>
        <w:snapToGrid w:val="0"/>
        <w:ind w:firstLine="420"/>
        <w:rPr>
          <w:rFonts w:hint="eastAsia" w:ascii="仿宋_GB2312" w:eastAsia="仿宋_GB2312"/>
          <w:kern w:val="0"/>
          <w:sz w:val="32"/>
          <w:szCs w:val="32"/>
        </w:rPr>
      </w:pPr>
      <w:r>
        <w:rPr>
          <w:rFonts w:hint="eastAsia" w:ascii="仿宋_GB2312" w:eastAsia="仿宋_GB2312"/>
          <w:color w:val="000000"/>
          <w:sz w:val="32"/>
          <w:szCs w:val="32"/>
        </w:rPr>
        <w:t>每批次产品抽取样品2辆，其中1辆作为检验样品，1辆作为备用样品。</w:t>
      </w:r>
    </w:p>
    <w:p>
      <w:pPr>
        <w:spacing w:line="600" w:lineRule="exact"/>
        <w:ind w:firstLine="640" w:firstLineChars="200"/>
        <w:rPr>
          <w:rFonts w:eastAsia="黑体"/>
          <w:color w:val="000000"/>
          <w:sz w:val="32"/>
          <w:szCs w:val="32"/>
        </w:rPr>
      </w:pPr>
      <w:r>
        <w:rPr>
          <w:rFonts w:eastAsia="黑体"/>
          <w:color w:val="000000"/>
          <w:sz w:val="32"/>
          <w:szCs w:val="32"/>
        </w:rPr>
        <w:t>二、主要检验项目及检验项目属性划分</w:t>
      </w:r>
    </w:p>
    <w:tbl>
      <w:tblPr>
        <w:tblStyle w:val="6"/>
        <w:tblW w:w="9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2134"/>
        <w:gridCol w:w="2509"/>
        <w:gridCol w:w="769"/>
        <w:gridCol w:w="891"/>
        <w:gridCol w:w="911"/>
        <w:gridCol w:w="750"/>
        <w:gridCol w:w="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783" w:type="dxa"/>
            <w:shd w:val="clear" w:color="auto" w:fill="auto"/>
            <w:vAlign w:val="center"/>
          </w:tcPr>
          <w:p>
            <w:pPr>
              <w:adjustRightInd w:val="0"/>
              <w:snapToGrid w:val="0"/>
              <w:jc w:val="center"/>
              <w:rPr>
                <w:rFonts w:eastAsia="仿宋"/>
                <w:b/>
                <w:sz w:val="24"/>
              </w:rPr>
            </w:pPr>
            <w:r>
              <w:rPr>
                <w:rFonts w:eastAsia="仿宋"/>
                <w:b/>
                <w:sz w:val="24"/>
              </w:rPr>
              <w:t>序号</w:t>
            </w:r>
          </w:p>
        </w:tc>
        <w:tc>
          <w:tcPr>
            <w:tcW w:w="2134" w:type="dxa"/>
            <w:shd w:val="clear" w:color="auto" w:fill="auto"/>
            <w:vAlign w:val="center"/>
          </w:tcPr>
          <w:p>
            <w:pPr>
              <w:adjustRightInd w:val="0"/>
              <w:snapToGrid w:val="0"/>
              <w:jc w:val="center"/>
              <w:rPr>
                <w:rFonts w:eastAsia="仿宋"/>
                <w:b/>
                <w:sz w:val="24"/>
              </w:rPr>
            </w:pPr>
            <w:r>
              <w:rPr>
                <w:rFonts w:eastAsia="仿宋"/>
                <w:b/>
                <w:sz w:val="24"/>
              </w:rPr>
              <w:t>检验项目</w:t>
            </w:r>
          </w:p>
        </w:tc>
        <w:tc>
          <w:tcPr>
            <w:tcW w:w="2509" w:type="dxa"/>
            <w:shd w:val="clear" w:color="auto" w:fill="auto"/>
            <w:vAlign w:val="center"/>
          </w:tcPr>
          <w:p>
            <w:pPr>
              <w:adjustRightInd w:val="0"/>
              <w:snapToGrid w:val="0"/>
              <w:jc w:val="center"/>
              <w:rPr>
                <w:rFonts w:eastAsia="仿宋"/>
                <w:b/>
                <w:sz w:val="24"/>
              </w:rPr>
            </w:pPr>
            <w:r>
              <w:rPr>
                <w:rFonts w:eastAsia="仿宋"/>
                <w:b/>
                <w:sz w:val="24"/>
              </w:rPr>
              <w:t>检验方法</w:t>
            </w:r>
          </w:p>
        </w:tc>
        <w:tc>
          <w:tcPr>
            <w:tcW w:w="769" w:type="dxa"/>
            <w:shd w:val="clear" w:color="auto" w:fill="auto"/>
            <w:vAlign w:val="center"/>
          </w:tcPr>
          <w:p>
            <w:pPr>
              <w:adjustRightInd w:val="0"/>
              <w:snapToGrid w:val="0"/>
              <w:jc w:val="center"/>
              <w:rPr>
                <w:rFonts w:eastAsia="仿宋"/>
                <w:b/>
                <w:sz w:val="24"/>
              </w:rPr>
            </w:pPr>
            <w:r>
              <w:rPr>
                <w:rFonts w:eastAsia="仿宋"/>
                <w:b/>
                <w:sz w:val="24"/>
              </w:rPr>
              <w:t>强制性</w:t>
            </w:r>
          </w:p>
        </w:tc>
        <w:tc>
          <w:tcPr>
            <w:tcW w:w="891" w:type="dxa"/>
            <w:shd w:val="clear" w:color="auto" w:fill="auto"/>
            <w:vAlign w:val="center"/>
          </w:tcPr>
          <w:p>
            <w:pPr>
              <w:adjustRightInd w:val="0"/>
              <w:snapToGrid w:val="0"/>
              <w:jc w:val="center"/>
              <w:rPr>
                <w:rFonts w:eastAsia="仿宋"/>
                <w:b/>
                <w:sz w:val="24"/>
              </w:rPr>
            </w:pPr>
            <w:r>
              <w:rPr>
                <w:rFonts w:eastAsia="仿宋"/>
                <w:b/>
                <w:sz w:val="24"/>
              </w:rPr>
              <w:t>非强制性</w:t>
            </w:r>
          </w:p>
        </w:tc>
        <w:tc>
          <w:tcPr>
            <w:tcW w:w="911" w:type="dxa"/>
            <w:shd w:val="clear" w:color="auto" w:fill="auto"/>
            <w:vAlign w:val="center"/>
          </w:tcPr>
          <w:p>
            <w:pPr>
              <w:adjustRightInd w:val="0"/>
              <w:snapToGrid w:val="0"/>
              <w:jc w:val="center"/>
              <w:rPr>
                <w:rFonts w:eastAsia="仿宋"/>
                <w:b/>
                <w:sz w:val="24"/>
              </w:rPr>
            </w:pPr>
            <w:r>
              <w:rPr>
                <w:rFonts w:eastAsia="仿宋"/>
                <w:b/>
                <w:sz w:val="24"/>
              </w:rPr>
              <w:t>重要项</w:t>
            </w:r>
          </w:p>
        </w:tc>
        <w:tc>
          <w:tcPr>
            <w:tcW w:w="750" w:type="dxa"/>
            <w:shd w:val="clear" w:color="auto" w:fill="auto"/>
            <w:vAlign w:val="center"/>
          </w:tcPr>
          <w:p>
            <w:pPr>
              <w:adjustRightInd w:val="0"/>
              <w:snapToGrid w:val="0"/>
              <w:jc w:val="center"/>
              <w:rPr>
                <w:rFonts w:eastAsia="仿宋"/>
                <w:b/>
                <w:sz w:val="24"/>
              </w:rPr>
            </w:pPr>
            <w:r>
              <w:rPr>
                <w:rFonts w:eastAsia="仿宋"/>
                <w:b/>
                <w:sz w:val="24"/>
              </w:rPr>
              <w:t>较重要项</w:t>
            </w:r>
          </w:p>
        </w:tc>
        <w:tc>
          <w:tcPr>
            <w:tcW w:w="733" w:type="dxa"/>
            <w:shd w:val="clear" w:color="auto" w:fill="auto"/>
            <w:vAlign w:val="center"/>
          </w:tcPr>
          <w:p>
            <w:pPr>
              <w:adjustRightInd w:val="0"/>
              <w:snapToGrid w:val="0"/>
              <w:jc w:val="center"/>
              <w:rPr>
                <w:rFonts w:eastAsia="仿宋"/>
                <w:b/>
                <w:sz w:val="24"/>
              </w:rPr>
            </w:pPr>
            <w:r>
              <w:rPr>
                <w:rFonts w:eastAsia="仿宋"/>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1</w:t>
            </w:r>
          </w:p>
        </w:tc>
        <w:tc>
          <w:tcPr>
            <w:tcW w:w="2134" w:type="dxa"/>
            <w:shd w:val="clear" w:color="auto" w:fill="auto"/>
            <w:vAlign w:val="center"/>
          </w:tcPr>
          <w:p>
            <w:pPr>
              <w:adjustRightInd w:val="0"/>
              <w:snapToGrid w:val="0"/>
              <w:jc w:val="center"/>
              <w:rPr>
                <w:rFonts w:eastAsia="仿宋"/>
                <w:sz w:val="24"/>
              </w:rPr>
            </w:pPr>
            <w:r>
              <w:rPr>
                <w:rFonts w:eastAsia="仿宋"/>
                <w:sz w:val="24"/>
              </w:rPr>
              <w:t>车速限值</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vAlign w:val="center"/>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vAlign w:val="center"/>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2</w:t>
            </w:r>
          </w:p>
        </w:tc>
        <w:tc>
          <w:tcPr>
            <w:tcW w:w="2134" w:type="dxa"/>
            <w:shd w:val="clear" w:color="auto" w:fill="auto"/>
            <w:vAlign w:val="center"/>
          </w:tcPr>
          <w:p>
            <w:pPr>
              <w:adjustRightInd w:val="0"/>
              <w:snapToGrid w:val="0"/>
              <w:jc w:val="center"/>
              <w:rPr>
                <w:rFonts w:eastAsia="仿宋"/>
                <w:sz w:val="24"/>
              </w:rPr>
            </w:pPr>
            <w:r>
              <w:rPr>
                <w:rFonts w:eastAsia="仿宋"/>
                <w:sz w:val="24"/>
              </w:rPr>
              <w:t>制动性能(干态)</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vAlign w:val="center"/>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3</w:t>
            </w:r>
          </w:p>
        </w:tc>
        <w:tc>
          <w:tcPr>
            <w:tcW w:w="2134" w:type="dxa"/>
            <w:shd w:val="clear" w:color="auto" w:fill="auto"/>
            <w:vAlign w:val="center"/>
          </w:tcPr>
          <w:p>
            <w:pPr>
              <w:adjustRightInd w:val="0"/>
              <w:snapToGrid w:val="0"/>
              <w:jc w:val="center"/>
              <w:rPr>
                <w:rFonts w:eastAsia="仿宋"/>
                <w:sz w:val="24"/>
              </w:rPr>
            </w:pPr>
            <w:r>
              <w:rPr>
                <w:rFonts w:eastAsia="仿宋"/>
                <w:sz w:val="24"/>
              </w:rPr>
              <w:t>整车质量</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vAlign w:val="center"/>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4</w:t>
            </w:r>
          </w:p>
        </w:tc>
        <w:tc>
          <w:tcPr>
            <w:tcW w:w="2134" w:type="dxa"/>
            <w:shd w:val="clear" w:color="auto" w:fill="auto"/>
            <w:vAlign w:val="center"/>
          </w:tcPr>
          <w:p>
            <w:pPr>
              <w:adjustRightInd w:val="0"/>
              <w:snapToGrid w:val="0"/>
              <w:jc w:val="center"/>
              <w:rPr>
                <w:rFonts w:eastAsia="仿宋"/>
                <w:sz w:val="24"/>
              </w:rPr>
            </w:pPr>
            <w:r>
              <w:rPr>
                <w:rFonts w:eastAsia="仿宋"/>
                <w:sz w:val="24"/>
              </w:rPr>
              <w:t>结构</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p>
        </w:tc>
        <w:tc>
          <w:tcPr>
            <w:tcW w:w="750"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5</w:t>
            </w:r>
          </w:p>
        </w:tc>
        <w:tc>
          <w:tcPr>
            <w:tcW w:w="2134" w:type="dxa"/>
            <w:shd w:val="clear" w:color="auto" w:fill="auto"/>
            <w:vAlign w:val="center"/>
          </w:tcPr>
          <w:p>
            <w:pPr>
              <w:adjustRightInd w:val="0"/>
              <w:snapToGrid w:val="0"/>
              <w:jc w:val="center"/>
              <w:rPr>
                <w:rFonts w:eastAsia="仿宋"/>
                <w:sz w:val="24"/>
              </w:rPr>
            </w:pPr>
            <w:r>
              <w:rPr>
                <w:rFonts w:eastAsia="仿宋"/>
                <w:sz w:val="24"/>
              </w:rPr>
              <w:t>车速提示音</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color w:val="000000"/>
                <w:sz w:val="24"/>
              </w:rPr>
            </w:pPr>
          </w:p>
        </w:tc>
        <w:tc>
          <w:tcPr>
            <w:tcW w:w="750"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6</w:t>
            </w:r>
          </w:p>
        </w:tc>
        <w:tc>
          <w:tcPr>
            <w:tcW w:w="2134" w:type="dxa"/>
            <w:shd w:val="clear" w:color="auto" w:fill="auto"/>
            <w:vAlign w:val="center"/>
          </w:tcPr>
          <w:p>
            <w:pPr>
              <w:adjustRightInd w:val="0"/>
              <w:snapToGrid w:val="0"/>
              <w:jc w:val="center"/>
              <w:rPr>
                <w:rFonts w:eastAsia="仿宋"/>
                <w:sz w:val="24"/>
              </w:rPr>
            </w:pPr>
            <w:r>
              <w:rPr>
                <w:rFonts w:eastAsia="仿宋"/>
                <w:sz w:val="24"/>
              </w:rPr>
              <w:t>淋水涉水性能</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7</w:t>
            </w:r>
          </w:p>
        </w:tc>
        <w:tc>
          <w:tcPr>
            <w:tcW w:w="2134" w:type="dxa"/>
            <w:shd w:val="clear" w:color="auto" w:fill="auto"/>
            <w:vAlign w:val="center"/>
          </w:tcPr>
          <w:p>
            <w:pPr>
              <w:adjustRightInd w:val="0"/>
              <w:snapToGrid w:val="0"/>
              <w:jc w:val="center"/>
              <w:rPr>
                <w:rFonts w:eastAsia="仿宋"/>
                <w:sz w:val="24"/>
              </w:rPr>
            </w:pPr>
            <w:r>
              <w:rPr>
                <w:rFonts w:eastAsia="仿宋"/>
                <w:sz w:val="24"/>
              </w:rPr>
              <w:t>反射器、照明和鸣号装置</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8</w:t>
            </w:r>
          </w:p>
        </w:tc>
        <w:tc>
          <w:tcPr>
            <w:tcW w:w="2134" w:type="dxa"/>
            <w:shd w:val="clear" w:color="auto" w:fill="auto"/>
            <w:vAlign w:val="center"/>
          </w:tcPr>
          <w:p>
            <w:pPr>
              <w:adjustRightInd w:val="0"/>
              <w:snapToGrid w:val="0"/>
              <w:jc w:val="center"/>
              <w:rPr>
                <w:rFonts w:eastAsia="仿宋"/>
                <w:sz w:val="24"/>
              </w:rPr>
            </w:pPr>
            <w:r>
              <w:rPr>
                <w:rFonts w:eastAsia="仿宋"/>
                <w:sz w:val="24"/>
              </w:rPr>
              <w:t>电气装置</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9</w:t>
            </w:r>
          </w:p>
        </w:tc>
        <w:tc>
          <w:tcPr>
            <w:tcW w:w="2134" w:type="dxa"/>
            <w:shd w:val="clear" w:color="auto" w:fill="auto"/>
            <w:vAlign w:val="center"/>
          </w:tcPr>
          <w:p>
            <w:pPr>
              <w:adjustRightInd w:val="0"/>
              <w:snapToGrid w:val="0"/>
              <w:jc w:val="center"/>
              <w:rPr>
                <w:rFonts w:eastAsia="仿宋"/>
                <w:sz w:val="24"/>
              </w:rPr>
            </w:pPr>
            <w:r>
              <w:rPr>
                <w:rFonts w:eastAsia="仿宋"/>
                <w:sz w:val="24"/>
              </w:rPr>
              <w:t>充电器与蓄电池</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891" w:type="dxa"/>
            <w:shd w:val="clear" w:color="auto" w:fill="auto"/>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tcPr>
          <w:p>
            <w:pPr>
              <w:adjustRightInd w:val="0"/>
              <w:snapToGrid w:val="0"/>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83" w:type="dxa"/>
            <w:shd w:val="clear" w:color="auto" w:fill="auto"/>
            <w:vAlign w:val="center"/>
          </w:tcPr>
          <w:p>
            <w:pPr>
              <w:adjustRightInd w:val="0"/>
              <w:snapToGrid w:val="0"/>
              <w:jc w:val="center"/>
              <w:rPr>
                <w:rFonts w:eastAsia="仿宋"/>
                <w:sz w:val="24"/>
              </w:rPr>
            </w:pPr>
            <w:r>
              <w:rPr>
                <w:rFonts w:eastAsia="仿宋"/>
                <w:sz w:val="24"/>
              </w:rPr>
              <w:t>10</w:t>
            </w:r>
          </w:p>
        </w:tc>
        <w:tc>
          <w:tcPr>
            <w:tcW w:w="2134" w:type="dxa"/>
            <w:shd w:val="clear" w:color="auto" w:fill="auto"/>
            <w:vAlign w:val="center"/>
          </w:tcPr>
          <w:p>
            <w:pPr>
              <w:adjustRightInd w:val="0"/>
              <w:snapToGrid w:val="0"/>
              <w:jc w:val="center"/>
              <w:rPr>
                <w:rFonts w:eastAsia="仿宋"/>
                <w:sz w:val="24"/>
              </w:rPr>
            </w:pPr>
            <w:r>
              <w:rPr>
                <w:rFonts w:eastAsia="仿宋"/>
                <w:sz w:val="24"/>
              </w:rPr>
              <w:t>防火性能</w:t>
            </w:r>
          </w:p>
        </w:tc>
        <w:tc>
          <w:tcPr>
            <w:tcW w:w="2509" w:type="dxa"/>
            <w:shd w:val="clear" w:color="auto" w:fill="auto"/>
            <w:vAlign w:val="center"/>
          </w:tcPr>
          <w:p>
            <w:pPr>
              <w:adjustRightInd w:val="0"/>
              <w:snapToGrid w:val="0"/>
              <w:jc w:val="center"/>
              <w:rPr>
                <w:rFonts w:eastAsia="仿宋"/>
                <w:sz w:val="24"/>
              </w:rPr>
            </w:pPr>
            <w:r>
              <w:rPr>
                <w:rFonts w:eastAsia="仿宋"/>
                <w:sz w:val="24"/>
              </w:rPr>
              <w:t>GB 17761-2018</w:t>
            </w:r>
          </w:p>
        </w:tc>
        <w:tc>
          <w:tcPr>
            <w:tcW w:w="769" w:type="dxa"/>
            <w:shd w:val="clear" w:color="auto" w:fill="auto"/>
            <w:vAlign w:val="center"/>
          </w:tcPr>
          <w:p>
            <w:pPr>
              <w:adjustRightInd w:val="0"/>
              <w:snapToGrid w:val="0"/>
              <w:jc w:val="center"/>
              <w:rPr>
                <w:rFonts w:eastAsia="仿宋"/>
                <w:color w:val="000000"/>
                <w:sz w:val="24"/>
              </w:rPr>
            </w:pPr>
            <w:r>
              <w:rPr>
                <w:rFonts w:eastAsia="仿宋"/>
                <w:color w:val="000000"/>
                <w:sz w:val="24"/>
              </w:rPr>
              <w:t>●</w:t>
            </w:r>
          </w:p>
        </w:tc>
        <w:tc>
          <w:tcPr>
            <w:tcW w:w="891" w:type="dxa"/>
            <w:shd w:val="clear" w:color="auto" w:fill="auto"/>
          </w:tcPr>
          <w:p>
            <w:pPr>
              <w:adjustRightInd w:val="0"/>
              <w:snapToGrid w:val="0"/>
              <w:jc w:val="center"/>
              <w:rPr>
                <w:rFonts w:eastAsia="仿宋"/>
                <w:sz w:val="24"/>
              </w:rPr>
            </w:pPr>
          </w:p>
        </w:tc>
        <w:tc>
          <w:tcPr>
            <w:tcW w:w="911" w:type="dxa"/>
            <w:shd w:val="clear" w:color="auto" w:fill="auto"/>
            <w:vAlign w:val="center"/>
          </w:tcPr>
          <w:p>
            <w:pPr>
              <w:adjustRightInd w:val="0"/>
              <w:snapToGrid w:val="0"/>
              <w:jc w:val="center"/>
              <w:rPr>
                <w:rFonts w:eastAsia="仿宋"/>
                <w:color w:val="000000"/>
                <w:sz w:val="24"/>
              </w:rPr>
            </w:pPr>
            <w:r>
              <w:rPr>
                <w:rFonts w:eastAsia="仿宋"/>
                <w:color w:val="000000"/>
                <w:sz w:val="24"/>
              </w:rPr>
              <w:t>●</w:t>
            </w:r>
          </w:p>
        </w:tc>
        <w:tc>
          <w:tcPr>
            <w:tcW w:w="750" w:type="dxa"/>
            <w:shd w:val="clear" w:color="auto" w:fill="auto"/>
            <w:vAlign w:val="center"/>
          </w:tcPr>
          <w:p>
            <w:pPr>
              <w:adjustRightInd w:val="0"/>
              <w:snapToGrid w:val="0"/>
              <w:jc w:val="center"/>
              <w:rPr>
                <w:rFonts w:eastAsia="仿宋"/>
                <w:sz w:val="24"/>
              </w:rPr>
            </w:pPr>
          </w:p>
        </w:tc>
        <w:tc>
          <w:tcPr>
            <w:tcW w:w="733" w:type="dxa"/>
            <w:shd w:val="clear" w:color="auto" w:fill="auto"/>
          </w:tcPr>
          <w:p>
            <w:pPr>
              <w:adjustRightInd w:val="0"/>
              <w:snapToGrid w:val="0"/>
              <w:jc w:val="center"/>
              <w:rPr>
                <w:rFonts w:eastAsia="仿宋"/>
                <w:sz w:val="24"/>
              </w:rPr>
            </w:pPr>
          </w:p>
        </w:tc>
      </w:tr>
    </w:tbl>
    <w:p>
      <w:pPr>
        <w:spacing w:line="600" w:lineRule="exact"/>
        <w:ind w:firstLine="640" w:firstLineChars="200"/>
        <w:rPr>
          <w:rFonts w:eastAsia="黑体"/>
          <w:sz w:val="32"/>
          <w:szCs w:val="48"/>
        </w:rPr>
      </w:pPr>
      <w:r>
        <w:rPr>
          <w:rFonts w:eastAsia="黑体"/>
          <w:sz w:val="32"/>
          <w:szCs w:val="48"/>
        </w:rPr>
        <w:t>三、判定规则</w:t>
      </w:r>
    </w:p>
    <w:p>
      <w:pPr>
        <w:adjustRightInd w:val="0"/>
        <w:snapToGrid w:val="0"/>
        <w:ind w:firstLine="639" w:firstLineChars="199"/>
        <w:rPr>
          <w:rFonts w:eastAsia="仿宋"/>
          <w:b/>
          <w:bCs/>
          <w:color w:val="000000"/>
          <w:sz w:val="32"/>
          <w:szCs w:val="32"/>
        </w:rPr>
      </w:pPr>
      <w:r>
        <w:rPr>
          <w:rFonts w:eastAsia="仿宋"/>
          <w:b/>
          <w:bCs/>
          <w:color w:val="000000"/>
          <w:sz w:val="32"/>
          <w:szCs w:val="32"/>
        </w:rPr>
        <w:t>（一）依据标准</w:t>
      </w:r>
    </w:p>
    <w:p>
      <w:pPr>
        <w:adjustRightInd w:val="0"/>
        <w:snapToGrid w:val="0"/>
        <w:ind w:firstLine="636" w:firstLineChars="199"/>
        <w:rPr>
          <w:rFonts w:eastAsia="仿宋"/>
          <w:color w:val="000000"/>
          <w:sz w:val="32"/>
          <w:szCs w:val="32"/>
        </w:rPr>
      </w:pPr>
      <w:r>
        <w:rPr>
          <w:rFonts w:eastAsia="仿宋"/>
          <w:color w:val="000000"/>
          <w:sz w:val="32"/>
          <w:szCs w:val="32"/>
        </w:rPr>
        <w:t>GB 17761-2018 电动自行车安全技术规范</w:t>
      </w:r>
    </w:p>
    <w:p>
      <w:pPr>
        <w:adjustRightInd w:val="0"/>
        <w:snapToGrid w:val="0"/>
        <w:ind w:firstLine="636" w:firstLineChars="199"/>
        <w:rPr>
          <w:rFonts w:eastAsia="仿宋"/>
          <w:color w:val="000000"/>
          <w:sz w:val="32"/>
          <w:szCs w:val="32"/>
        </w:rPr>
      </w:pPr>
      <w:r>
        <w:rPr>
          <w:rFonts w:eastAsia="仿宋"/>
          <w:color w:val="000000"/>
          <w:sz w:val="32"/>
          <w:szCs w:val="32"/>
        </w:rPr>
        <w:t>现行有效的企业标准、团体标准、地方标准及产品明示质量要求</w:t>
      </w:r>
    </w:p>
    <w:p>
      <w:pPr>
        <w:adjustRightInd w:val="0"/>
        <w:snapToGrid w:val="0"/>
        <w:ind w:firstLine="639" w:firstLineChars="199"/>
        <w:rPr>
          <w:rFonts w:eastAsia="仿宋"/>
          <w:b/>
          <w:bCs/>
          <w:color w:val="000000"/>
          <w:sz w:val="32"/>
          <w:szCs w:val="32"/>
        </w:rPr>
      </w:pPr>
      <w:r>
        <w:rPr>
          <w:rFonts w:eastAsia="仿宋"/>
          <w:b/>
          <w:bCs/>
          <w:color w:val="000000"/>
          <w:sz w:val="32"/>
          <w:szCs w:val="32"/>
        </w:rPr>
        <w:t>（二）判定原则</w:t>
      </w:r>
    </w:p>
    <w:p>
      <w:pPr>
        <w:adjustRightInd w:val="0"/>
        <w:snapToGrid w:val="0"/>
        <w:ind w:firstLine="636" w:firstLineChars="199"/>
        <w:rPr>
          <w:rFonts w:eastAsia="仿宋"/>
          <w:color w:val="000000"/>
          <w:sz w:val="32"/>
          <w:szCs w:val="32"/>
        </w:rPr>
      </w:pPr>
      <w:r>
        <w:rPr>
          <w:rFonts w:eastAsia="仿宋"/>
          <w:color w:val="000000"/>
          <w:sz w:val="32"/>
          <w:szCs w:val="32"/>
        </w:rPr>
        <w:t>经检验，检验项目全部合格，判定为被抽查产品所检项目未发现不合格；检验项目中任一项或一项以上不合格，判定为被抽查产品不合格。</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当被检样品明示的质量要求优于监督抽查实施细则中依据的标准要求时，应按被检样品明示的质量要求判定；</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当被检样品明示的质量要求劣于或不包含监督抽查实施细则中依据的强制性标准要求时，应按照强制性标准要求判定；</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adjustRightInd w:val="0"/>
        <w:snapToGrid w:val="0"/>
        <w:ind w:firstLine="636" w:firstLineChars="199"/>
        <w:rPr>
          <w:rFonts w:eastAsia="仿宋"/>
          <w:color w:val="000000"/>
          <w:sz w:val="32"/>
          <w:szCs w:val="32"/>
        </w:rPr>
      </w:pPr>
      <w:r>
        <w:rPr>
          <w:rFonts w:eastAsia="仿宋"/>
          <w:color w:val="000000"/>
          <w:sz w:val="32"/>
          <w:szCs w:val="32"/>
        </w:rPr>
        <w:t>当被检样品明示的质量要求不包含监督抽查实施细则中依据的推荐性标准要求时，该指标不参与判定，但应在检验报告中作出说明；</w:t>
      </w:r>
    </w:p>
    <w:p>
      <w:pPr>
        <w:adjustRightInd w:val="0"/>
        <w:snapToGrid w:val="0"/>
        <w:ind w:firstLine="636" w:firstLineChars="199"/>
        <w:rPr>
          <w:rFonts w:eastAsia="仿宋"/>
          <w:color w:val="000000"/>
          <w:sz w:val="32"/>
          <w:szCs w:val="32"/>
        </w:rPr>
      </w:pPr>
      <w:r>
        <w:rPr>
          <w:rFonts w:eastAsia="仿宋"/>
          <w:color w:val="000000"/>
          <w:sz w:val="32"/>
          <w:szCs w:val="32"/>
        </w:rPr>
        <w:t>当被检样品未能提供有效的企业标准时，按相关国家或行业标准进行判定；</w:t>
      </w:r>
    </w:p>
    <w:p>
      <w:pPr>
        <w:adjustRightInd w:val="0"/>
        <w:snapToGrid w:val="0"/>
        <w:ind w:firstLine="636" w:firstLineChars="199"/>
        <w:rPr>
          <w:rFonts w:eastAsia="仿宋"/>
          <w:color w:val="000000"/>
          <w:sz w:val="32"/>
          <w:szCs w:val="32"/>
        </w:rPr>
      </w:pPr>
      <w:r>
        <w:rPr>
          <w:rFonts w:eastAsia="仿宋"/>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adjustRightInd w:val="0"/>
        <w:snapToGrid w:val="0"/>
        <w:ind w:firstLine="636" w:firstLineChars="199"/>
        <w:rPr>
          <w:rFonts w:eastAsia="仿宋"/>
          <w:color w:val="000000"/>
          <w:sz w:val="32"/>
          <w:szCs w:val="32"/>
        </w:rPr>
      </w:pPr>
      <w:r>
        <w:rPr>
          <w:rFonts w:eastAsia="仿宋"/>
          <w:color w:val="000000"/>
          <w:sz w:val="32"/>
          <w:szCs w:val="32"/>
        </w:rPr>
        <w:t>按照产品质量相关法律法规的规定判定。</w:t>
      </w:r>
    </w:p>
    <w:p>
      <w:pPr>
        <w:adjustRightInd w:val="0"/>
        <w:snapToGrid w:val="0"/>
        <w:ind w:firstLine="636" w:firstLineChars="199"/>
        <w:rPr>
          <w:rFonts w:eastAsia="仿宋"/>
          <w:color w:val="000000"/>
          <w:sz w:val="32"/>
          <w:szCs w:val="32"/>
        </w:rPr>
      </w:pPr>
      <w:r>
        <w:rPr>
          <w:rFonts w:eastAsia="仿宋"/>
          <w:color w:val="000000"/>
          <w:sz w:val="32"/>
          <w:szCs w:val="32"/>
        </w:rPr>
        <w:t>检验中发现因样品失效或者其他原因致使检验无法进行的，检验人员应如实记录，并提供相关证明材料，报送组织监督抽查的市场监管部门。</w:t>
      </w:r>
    </w:p>
    <w:p>
      <w:pPr>
        <w:adjustRightInd w:val="0"/>
        <w:snapToGrid w:val="0"/>
        <w:ind w:firstLine="417" w:firstLineChars="199"/>
        <w:rPr>
          <w:color w:val="000000"/>
          <w:szCs w:val="21"/>
        </w:rPr>
      </w:pPr>
    </w:p>
    <w:sectPr>
      <w:headerReference r:id="rId3" w:type="default"/>
      <w:footerReference r:id="rId4" w:type="default"/>
      <w:footerReference r:id="rId5" w:type="even"/>
      <w:pgSz w:w="11906" w:h="16838"/>
      <w:pgMar w:top="1985" w:right="1474" w:bottom="1644" w:left="1474" w:header="851" w:footer="11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jc w:val="center"/>
                          </w:pPr>
                          <w:r>
                            <w:rPr>
                              <w:lang w:val="zh-CN"/>
                            </w:rPr>
                            <w:fldChar w:fldCharType="begin"/>
                          </w:r>
                          <w:r>
                            <w:rPr>
                              <w:lang w:val="zh-CN"/>
                            </w:rPr>
                            <w:instrText xml:space="preserve"> PAGE   \* MERGEFORMAT </w:instrText>
                          </w:r>
                          <w:r>
                            <w:rPr>
                              <w:lang w:val="zh-CN"/>
                            </w:rPr>
                            <w:fldChar w:fldCharType="separate"/>
                          </w:r>
                          <w:r>
                            <w:t>2</w:t>
                          </w:r>
                          <w:r>
                            <w:rPr>
                              <w:lang w:val="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4"/>
                      <w:jc w:val="center"/>
                    </w:pPr>
                    <w:r>
                      <w:rPr>
                        <w:lang w:val="zh-CN"/>
                      </w:rPr>
                      <w:fldChar w:fldCharType="begin"/>
                    </w:r>
                    <w:r>
                      <w:rPr>
                        <w:lang w:val="zh-CN"/>
                      </w:rPr>
                      <w:instrText xml:space="preserve"> PAGE   \* MERGEFORMAT </w:instrText>
                    </w:r>
                    <w:r>
                      <w:rPr>
                        <w:lang w:val="zh-CN"/>
                      </w:rPr>
                      <w:fldChar w:fldCharType="separate"/>
                    </w:r>
                    <w:r>
                      <w:t>2</w:t>
                    </w:r>
                    <w:r>
                      <w:rPr>
                        <w:lang w:val="zh-CN"/>
                      </w:rPr>
                      <w:fldChar w:fldCharType="end"/>
                    </w:r>
                  </w:p>
                </w:txbxContent>
              </v:textbox>
            </v:shape>
          </w:pict>
        </mc:Fallback>
      </mc:AlternateContent>
    </w:r>
  </w:p>
  <w:p>
    <w:pPr>
      <w:pStyle w:val="4"/>
      <w:ind w:right="360"/>
    </w:pPr>
    <w:bookmarkStart w:id="0" w:name="_GoBack"/>
    <w:bookmarkEnd w:id="0"/>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1ZmY1ODNmNDMyYjQ5NWNmOTU3NTQzZTVjOTNkMjAifQ=="/>
  </w:docVars>
  <w:rsids>
    <w:rsidRoot w:val="00172A27"/>
    <w:rsid w:val="00051A44"/>
    <w:rsid w:val="00081CBD"/>
    <w:rsid w:val="000976DE"/>
    <w:rsid w:val="000A31EC"/>
    <w:rsid w:val="000A592B"/>
    <w:rsid w:val="000B6AB8"/>
    <w:rsid w:val="000C2658"/>
    <w:rsid w:val="000F28A6"/>
    <w:rsid w:val="00101894"/>
    <w:rsid w:val="001131A9"/>
    <w:rsid w:val="001141F4"/>
    <w:rsid w:val="00144BFC"/>
    <w:rsid w:val="00172A27"/>
    <w:rsid w:val="001809DD"/>
    <w:rsid w:val="001A150E"/>
    <w:rsid w:val="001B0F33"/>
    <w:rsid w:val="001D557A"/>
    <w:rsid w:val="00210008"/>
    <w:rsid w:val="0021315D"/>
    <w:rsid w:val="00253624"/>
    <w:rsid w:val="002843C3"/>
    <w:rsid w:val="002872C4"/>
    <w:rsid w:val="00292420"/>
    <w:rsid w:val="002B38DA"/>
    <w:rsid w:val="002B65E1"/>
    <w:rsid w:val="002C226C"/>
    <w:rsid w:val="002D7F8A"/>
    <w:rsid w:val="002E0D1D"/>
    <w:rsid w:val="002F5874"/>
    <w:rsid w:val="003102FB"/>
    <w:rsid w:val="003203A3"/>
    <w:rsid w:val="0032500F"/>
    <w:rsid w:val="003443EE"/>
    <w:rsid w:val="003775B3"/>
    <w:rsid w:val="003C388C"/>
    <w:rsid w:val="003D5B85"/>
    <w:rsid w:val="003E4B35"/>
    <w:rsid w:val="003E61BF"/>
    <w:rsid w:val="00420E48"/>
    <w:rsid w:val="00445E86"/>
    <w:rsid w:val="00462808"/>
    <w:rsid w:val="00474E04"/>
    <w:rsid w:val="004D0C5A"/>
    <w:rsid w:val="004D370C"/>
    <w:rsid w:val="004E1396"/>
    <w:rsid w:val="005255D7"/>
    <w:rsid w:val="00563EBC"/>
    <w:rsid w:val="00564F4C"/>
    <w:rsid w:val="0058351D"/>
    <w:rsid w:val="00585820"/>
    <w:rsid w:val="005B7ED8"/>
    <w:rsid w:val="00610555"/>
    <w:rsid w:val="006369D6"/>
    <w:rsid w:val="00650E62"/>
    <w:rsid w:val="006617A4"/>
    <w:rsid w:val="006922F6"/>
    <w:rsid w:val="006E0056"/>
    <w:rsid w:val="006F0971"/>
    <w:rsid w:val="0072334C"/>
    <w:rsid w:val="00752088"/>
    <w:rsid w:val="0075488B"/>
    <w:rsid w:val="007863DC"/>
    <w:rsid w:val="007946AB"/>
    <w:rsid w:val="007A5BF4"/>
    <w:rsid w:val="007C51AC"/>
    <w:rsid w:val="007E1246"/>
    <w:rsid w:val="007E4B64"/>
    <w:rsid w:val="008141C1"/>
    <w:rsid w:val="00826E57"/>
    <w:rsid w:val="00845A82"/>
    <w:rsid w:val="00895BEA"/>
    <w:rsid w:val="008A3497"/>
    <w:rsid w:val="008B58E4"/>
    <w:rsid w:val="008E7DAB"/>
    <w:rsid w:val="008F789C"/>
    <w:rsid w:val="00917A54"/>
    <w:rsid w:val="0092406B"/>
    <w:rsid w:val="00994640"/>
    <w:rsid w:val="009A1CCE"/>
    <w:rsid w:val="009C1995"/>
    <w:rsid w:val="009D51BA"/>
    <w:rsid w:val="009E4601"/>
    <w:rsid w:val="00A00931"/>
    <w:rsid w:val="00A12D5C"/>
    <w:rsid w:val="00A21847"/>
    <w:rsid w:val="00A25823"/>
    <w:rsid w:val="00A372A4"/>
    <w:rsid w:val="00A375A8"/>
    <w:rsid w:val="00A43553"/>
    <w:rsid w:val="00A609A0"/>
    <w:rsid w:val="00A6162B"/>
    <w:rsid w:val="00A92CFB"/>
    <w:rsid w:val="00AD2DB1"/>
    <w:rsid w:val="00B559C8"/>
    <w:rsid w:val="00C10448"/>
    <w:rsid w:val="00C2599C"/>
    <w:rsid w:val="00C26074"/>
    <w:rsid w:val="00C6571B"/>
    <w:rsid w:val="00C83B0A"/>
    <w:rsid w:val="00CA7DB8"/>
    <w:rsid w:val="00CC33F8"/>
    <w:rsid w:val="00CD02D7"/>
    <w:rsid w:val="00CE1E0C"/>
    <w:rsid w:val="00CE277E"/>
    <w:rsid w:val="00D000E0"/>
    <w:rsid w:val="00D56867"/>
    <w:rsid w:val="00D71EAE"/>
    <w:rsid w:val="00D772EF"/>
    <w:rsid w:val="00E02A7F"/>
    <w:rsid w:val="00E07880"/>
    <w:rsid w:val="00E24A15"/>
    <w:rsid w:val="00E35E78"/>
    <w:rsid w:val="00E65439"/>
    <w:rsid w:val="00E82621"/>
    <w:rsid w:val="00E91DF8"/>
    <w:rsid w:val="00EA5ED4"/>
    <w:rsid w:val="00F66FA1"/>
    <w:rsid w:val="00F77C9A"/>
    <w:rsid w:val="00FB576C"/>
    <w:rsid w:val="00FC2905"/>
    <w:rsid w:val="00FC5382"/>
    <w:rsid w:val="00FD2AA6"/>
    <w:rsid w:val="00FE39D9"/>
    <w:rsid w:val="00FE7E8A"/>
    <w:rsid w:val="130651C0"/>
    <w:rsid w:val="14203E74"/>
    <w:rsid w:val="15001D0E"/>
    <w:rsid w:val="1B3F68A5"/>
    <w:rsid w:val="1DB422BC"/>
    <w:rsid w:val="278827D9"/>
    <w:rsid w:val="29727E07"/>
    <w:rsid w:val="2C0927BF"/>
    <w:rsid w:val="3FF780DD"/>
    <w:rsid w:val="6006326F"/>
    <w:rsid w:val="603161B4"/>
    <w:rsid w:val="606E0AA6"/>
    <w:rsid w:val="63AC38EB"/>
    <w:rsid w:val="66F31C68"/>
    <w:rsid w:val="677805D7"/>
    <w:rsid w:val="6B3D5917"/>
    <w:rsid w:val="6FD9375B"/>
    <w:rsid w:val="71025CA2"/>
    <w:rsid w:val="757B559F"/>
    <w:rsid w:val="768A78C8"/>
    <w:rsid w:val="79077078"/>
    <w:rsid w:val="799804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0"/>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脚 字符"/>
    <w:link w:val="4"/>
    <w:qFormat/>
    <w:uiPriority w:val="99"/>
    <w:rPr>
      <w:kern w:val="2"/>
      <w:sz w:val="18"/>
      <w:szCs w:val="18"/>
    </w:rPr>
  </w:style>
  <w:style w:type="character" w:customStyle="1" w:styleId="10">
    <w:name w:val="批注框文本 字符"/>
    <w:link w:val="3"/>
    <w:semiHidden/>
    <w:qFormat/>
    <w:uiPriority w:val="99"/>
    <w:rPr>
      <w:kern w:val="2"/>
      <w:sz w:val="18"/>
      <w:szCs w:val="18"/>
    </w:rPr>
  </w:style>
  <w:style w:type="character" w:customStyle="1" w:styleId="11">
    <w:name w:val="页眉 字符"/>
    <w:link w:val="5"/>
    <w:semiHidden/>
    <w:qFormat/>
    <w:uiPriority w:val="99"/>
    <w:rPr>
      <w:kern w:val="2"/>
      <w:sz w:val="18"/>
      <w:szCs w:val="18"/>
    </w:rPr>
  </w:style>
  <w:style w:type="paragraph" w:customStyle="1" w:styleId="12">
    <w:name w:val="列出段落1"/>
    <w:basedOn w:val="1"/>
    <w:qFormat/>
    <w:uiPriority w:val="34"/>
    <w:pPr>
      <w:ind w:firstLine="420" w:firstLineChars="200"/>
    </w:pPr>
    <w:rPr>
      <w:rFonts w:ascii="Calibri" w:hAnsi="Calibri"/>
      <w:szCs w:val="22"/>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Legend (Beijing) Limited</Company>
  <Pages>2</Pages>
  <Words>160</Words>
  <Characters>913</Characters>
  <Lines>7</Lines>
  <Paragraphs>2</Paragraphs>
  <TotalTime>0</TotalTime>
  <ScaleCrop>false</ScaleCrop>
  <LinksUpToDate>false</LinksUpToDate>
  <CharactersWithSpaces>1071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2022-01-18T08:23:00Z</dcterms:created>
  <dc:creator>Legend User</dc:creator>
  <cp:lastModifiedBy>greatwall</cp:lastModifiedBy>
  <cp:lastPrinted>2019-12-05T23:53:00Z</cp:lastPrinted>
  <dcterms:modified xsi:type="dcterms:W3CDTF">2023-08-30T15:21:07Z</dcterms:modified>
  <dc:title>××产品质量监督抽查实施细则</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704F374C78C0462D8AE3C1C2C19FABEC_12</vt:lpwstr>
  </property>
</Properties>
</file>