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line="600" w:lineRule="exact"/>
        <w:jc w:val="both"/>
        <w:rPr>
          <w:rFonts w:hint="eastAsia" w:ascii="黑体" w:hAnsi="黑体" w:eastAsia="黑体" w:cs="黑体"/>
          <w:bCs/>
          <w:kern w:val="2"/>
          <w:sz w:val="32"/>
          <w:szCs w:val="32"/>
          <w:lang w:val="en-US" w:eastAsia="zh-CN"/>
        </w:rPr>
      </w:pPr>
      <w:r>
        <w:rPr>
          <w:rFonts w:hint="eastAsia" w:ascii="黑体" w:hAnsi="黑体" w:eastAsia="黑体" w:cs="黑体"/>
          <w:bCs/>
          <w:kern w:val="2"/>
          <w:sz w:val="32"/>
          <w:szCs w:val="32"/>
          <w:lang w:eastAsia="zh-CN"/>
        </w:rPr>
        <w:t>附件</w:t>
      </w:r>
      <w:r>
        <w:rPr>
          <w:rFonts w:hint="eastAsia" w:ascii="黑体" w:hAnsi="黑体" w:eastAsia="黑体" w:cs="黑体"/>
          <w:bCs/>
          <w:kern w:val="2"/>
          <w:sz w:val="32"/>
          <w:szCs w:val="32"/>
          <w:lang w:val="en-US" w:eastAsia="zh-CN"/>
        </w:rPr>
        <w:t>12</w:t>
      </w:r>
    </w:p>
    <w:p>
      <w:pPr>
        <w:adjustRightInd/>
        <w:snapToGrid/>
        <w:spacing w:after="0" w:line="600" w:lineRule="exact"/>
        <w:jc w:val="center"/>
        <w:rPr>
          <w:rFonts w:hint="eastAsia" w:ascii="方正小标宋简体" w:hAnsi="方正小标宋简体" w:eastAsia="方正小标宋简体" w:cs="方正小标宋简体"/>
          <w:bCs/>
          <w:kern w:val="2"/>
          <w:sz w:val="44"/>
          <w:szCs w:val="44"/>
        </w:rPr>
      </w:pPr>
    </w:p>
    <w:p>
      <w:pPr>
        <w:adjustRightInd/>
        <w:snapToGrid/>
        <w:spacing w:after="0" w:line="600" w:lineRule="exact"/>
        <w:jc w:val="center"/>
        <w:rPr>
          <w:rFonts w:ascii="方正小标宋简体" w:hAnsi="方正小标宋简体" w:eastAsia="方正小标宋简体" w:cs="方正小标宋简体"/>
          <w:bCs/>
          <w:kern w:val="2"/>
          <w:sz w:val="44"/>
          <w:szCs w:val="44"/>
        </w:rPr>
      </w:pPr>
      <w:r>
        <w:rPr>
          <w:rFonts w:hint="eastAsia" w:ascii="方正小标宋简体" w:hAnsi="方正小标宋简体" w:eastAsia="方正小标宋简体" w:cs="方正小标宋简体"/>
          <w:bCs/>
          <w:kern w:val="2"/>
          <w:sz w:val="44"/>
          <w:szCs w:val="44"/>
        </w:rPr>
        <w:t>梅州市扬声器产品质量监督抽查</w:t>
      </w:r>
    </w:p>
    <w:p>
      <w:pPr>
        <w:adjustRightInd/>
        <w:snapToGrid/>
        <w:spacing w:after="0" w:line="600" w:lineRule="exact"/>
        <w:jc w:val="center"/>
        <w:rPr>
          <w:rFonts w:ascii="方正小标宋简体" w:hAnsi="方正小标宋简体" w:eastAsia="方正小标宋简体" w:cs="方正小标宋简体"/>
          <w:bCs/>
          <w:kern w:val="2"/>
          <w:sz w:val="44"/>
          <w:szCs w:val="44"/>
        </w:rPr>
      </w:pPr>
      <w:r>
        <w:rPr>
          <w:rFonts w:hint="eastAsia" w:ascii="方正小标宋简体" w:hAnsi="方正小标宋简体" w:eastAsia="方正小标宋简体" w:cs="方正小标宋简体"/>
          <w:bCs/>
          <w:kern w:val="2"/>
          <w:sz w:val="44"/>
          <w:szCs w:val="44"/>
        </w:rPr>
        <w:t>实施细则</w:t>
      </w:r>
    </w:p>
    <w:p>
      <w:pPr>
        <w:widowControl w:val="0"/>
        <w:adjustRightInd/>
        <w:snapToGrid/>
        <w:spacing w:after="0" w:line="600" w:lineRule="exact"/>
        <w:ind w:firstLine="616" w:firstLineChars="200"/>
        <w:jc w:val="both"/>
        <w:rPr>
          <w:rFonts w:ascii="Times New Roman" w:hAnsi="Times New Roman" w:eastAsia="黑体" w:cs="黑体"/>
          <w:color w:val="000000"/>
          <w:spacing w:val="-6"/>
          <w:kern w:val="2"/>
          <w:sz w:val="32"/>
          <w:szCs w:val="32"/>
        </w:rPr>
      </w:pPr>
      <w:bookmarkStart w:id="0" w:name="_GoBack"/>
      <w:bookmarkEnd w:id="0"/>
    </w:p>
    <w:p>
      <w:pPr>
        <w:widowControl w:val="0"/>
        <w:adjustRightInd/>
        <w:snapToGrid/>
        <w:spacing w:after="0" w:line="600" w:lineRule="exact"/>
        <w:ind w:firstLine="616" w:firstLineChars="200"/>
        <w:jc w:val="both"/>
        <w:rPr>
          <w:rFonts w:ascii="Times New Roman" w:hAnsi="Times New Roman" w:eastAsia="黑体" w:cs="黑体"/>
          <w:color w:val="000000"/>
          <w:spacing w:val="-6"/>
          <w:kern w:val="2"/>
          <w:sz w:val="32"/>
          <w:szCs w:val="32"/>
        </w:rPr>
      </w:pPr>
      <w:r>
        <w:rPr>
          <w:rFonts w:hint="eastAsia" w:ascii="Times New Roman" w:hAnsi="Times New Roman" w:eastAsia="黑体" w:cs="黑体"/>
          <w:color w:val="000000"/>
          <w:spacing w:val="-6"/>
          <w:kern w:val="2"/>
          <w:sz w:val="32"/>
          <w:szCs w:val="32"/>
        </w:rPr>
        <w:t>一、抽样方法</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以随机抽样的方式在被抽查经营主体的待销产品中抽取。</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随机数一般可使用随机数表等方法产生。</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每款产品抽取2组样本，第1组用于检验，第2组用于备样。每组样本需抽取样品数量如下表所示：</w:t>
      </w:r>
    </w:p>
    <w:tbl>
      <w:tblPr>
        <w:tblStyle w:val="5"/>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268"/>
        <w:gridCol w:w="2551"/>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vAlign w:val="center"/>
          </w:tcPr>
          <w:p>
            <w:pPr>
              <w:widowControl w:val="0"/>
              <w:spacing w:after="0"/>
              <w:jc w:val="center"/>
              <w:rPr>
                <w:rFonts w:ascii="Times New Roman" w:hAnsi="Times New Roman" w:eastAsia="黑体" w:cs="Times New Roman"/>
                <w:bCs/>
                <w:color w:val="000000"/>
                <w:spacing w:val="-6"/>
                <w:kern w:val="2"/>
                <w:sz w:val="21"/>
                <w:szCs w:val="21"/>
              </w:rPr>
            </w:pPr>
            <w:r>
              <w:rPr>
                <w:rFonts w:ascii="Times New Roman" w:hAnsi="Times New Roman" w:eastAsia="黑体" w:cs="Times New Roman"/>
                <w:bCs/>
                <w:color w:val="000000"/>
                <w:spacing w:val="-6"/>
                <w:kern w:val="2"/>
                <w:sz w:val="21"/>
                <w:szCs w:val="21"/>
              </w:rPr>
              <w:t>序号</w:t>
            </w:r>
          </w:p>
        </w:tc>
        <w:tc>
          <w:tcPr>
            <w:tcW w:w="2268" w:type="dxa"/>
            <w:vAlign w:val="center"/>
          </w:tcPr>
          <w:p>
            <w:pPr>
              <w:widowControl w:val="0"/>
              <w:spacing w:after="0"/>
              <w:jc w:val="center"/>
              <w:rPr>
                <w:rFonts w:ascii="Times New Roman" w:hAnsi="Times New Roman" w:eastAsia="黑体" w:cs="Times New Roman"/>
                <w:bCs/>
                <w:color w:val="000000"/>
                <w:spacing w:val="-6"/>
                <w:kern w:val="2"/>
                <w:sz w:val="21"/>
                <w:szCs w:val="21"/>
              </w:rPr>
            </w:pPr>
            <w:r>
              <w:rPr>
                <w:rFonts w:hint="eastAsia" w:ascii="Times New Roman" w:hAnsi="Times New Roman" w:eastAsia="黑体" w:cs="Times New Roman"/>
                <w:bCs/>
                <w:color w:val="000000"/>
                <w:spacing w:val="-6"/>
                <w:kern w:val="2"/>
                <w:sz w:val="21"/>
                <w:szCs w:val="21"/>
              </w:rPr>
              <w:t>产品名称</w:t>
            </w:r>
          </w:p>
        </w:tc>
        <w:tc>
          <w:tcPr>
            <w:tcW w:w="2551" w:type="dxa"/>
            <w:vAlign w:val="center"/>
          </w:tcPr>
          <w:p>
            <w:pPr>
              <w:widowControl w:val="0"/>
              <w:spacing w:after="0"/>
              <w:jc w:val="center"/>
              <w:rPr>
                <w:rFonts w:ascii="Times New Roman" w:hAnsi="Times New Roman" w:eastAsia="黑体" w:cs="Times New Roman"/>
                <w:bCs/>
                <w:color w:val="000000"/>
                <w:spacing w:val="-6"/>
                <w:kern w:val="2"/>
                <w:sz w:val="21"/>
                <w:szCs w:val="21"/>
              </w:rPr>
            </w:pPr>
            <w:r>
              <w:rPr>
                <w:rFonts w:ascii="Times New Roman" w:hAnsi="Times New Roman" w:eastAsia="黑体" w:cs="Times New Roman"/>
                <w:bCs/>
                <w:color w:val="000000"/>
                <w:spacing w:val="-6"/>
                <w:kern w:val="2"/>
                <w:sz w:val="21"/>
                <w:szCs w:val="21"/>
              </w:rPr>
              <w:t>第1组数量</w:t>
            </w:r>
          </w:p>
        </w:tc>
        <w:tc>
          <w:tcPr>
            <w:tcW w:w="2410" w:type="dxa"/>
          </w:tcPr>
          <w:p>
            <w:pPr>
              <w:widowControl w:val="0"/>
              <w:spacing w:after="0"/>
              <w:jc w:val="center"/>
              <w:rPr>
                <w:rFonts w:ascii="Times New Roman" w:hAnsi="Times New Roman" w:eastAsia="黑体" w:cs="Times New Roman"/>
                <w:bCs/>
                <w:color w:val="000000"/>
                <w:spacing w:val="-6"/>
                <w:kern w:val="2"/>
                <w:sz w:val="21"/>
                <w:szCs w:val="21"/>
              </w:rPr>
            </w:pPr>
            <w:r>
              <w:rPr>
                <w:rFonts w:ascii="Times New Roman" w:hAnsi="Times New Roman" w:eastAsia="黑体" w:cs="Times New Roman"/>
                <w:bCs/>
                <w:color w:val="000000"/>
                <w:spacing w:val="-6"/>
                <w:kern w:val="2"/>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vAlign w:val="center"/>
          </w:tcPr>
          <w:p>
            <w:pPr>
              <w:widowControl w:val="0"/>
              <w:spacing w:after="0"/>
              <w:jc w:val="center"/>
              <w:rPr>
                <w:rFonts w:ascii="Times New Roman" w:hAnsi="Times New Roman" w:eastAsia="黑体" w:cs="Times New Roman"/>
                <w:bCs/>
                <w:color w:val="000000"/>
                <w:spacing w:val="-6"/>
                <w:kern w:val="2"/>
                <w:sz w:val="21"/>
                <w:szCs w:val="21"/>
              </w:rPr>
            </w:pPr>
            <w:r>
              <w:rPr>
                <w:rFonts w:hint="eastAsia" w:ascii="Times New Roman" w:hAnsi="Times New Roman" w:eastAsia="黑体" w:cs="Times New Roman"/>
                <w:bCs/>
                <w:color w:val="000000"/>
                <w:spacing w:val="-6"/>
                <w:kern w:val="2"/>
                <w:sz w:val="21"/>
                <w:szCs w:val="21"/>
              </w:rPr>
              <w:t>1</w:t>
            </w:r>
          </w:p>
        </w:tc>
        <w:tc>
          <w:tcPr>
            <w:tcW w:w="2268" w:type="dxa"/>
            <w:vAlign w:val="center"/>
          </w:tcPr>
          <w:p>
            <w:pPr>
              <w:widowControl w:val="0"/>
              <w:spacing w:after="0"/>
              <w:jc w:val="center"/>
              <w:rPr>
                <w:rFonts w:ascii="Times New Roman" w:hAnsi="Times New Roman" w:eastAsia="黑体" w:cs="Times New Roman"/>
                <w:bCs/>
                <w:color w:val="000000"/>
                <w:spacing w:val="-6"/>
                <w:kern w:val="2"/>
                <w:sz w:val="21"/>
                <w:szCs w:val="21"/>
              </w:rPr>
            </w:pPr>
            <w:r>
              <w:rPr>
                <w:rFonts w:hint="eastAsia" w:ascii="Times New Roman" w:hAnsi="Times New Roman" w:eastAsia="黑体" w:cs="Times New Roman"/>
                <w:bCs/>
                <w:color w:val="000000"/>
                <w:spacing w:val="-6"/>
                <w:kern w:val="2"/>
                <w:sz w:val="21"/>
                <w:szCs w:val="21"/>
              </w:rPr>
              <w:t>扬声器</w:t>
            </w:r>
          </w:p>
        </w:tc>
        <w:tc>
          <w:tcPr>
            <w:tcW w:w="2551" w:type="dxa"/>
            <w:vAlign w:val="center"/>
          </w:tcPr>
          <w:p>
            <w:pPr>
              <w:widowControl w:val="0"/>
              <w:spacing w:after="0"/>
              <w:jc w:val="center"/>
              <w:rPr>
                <w:rFonts w:ascii="Times New Roman" w:hAnsi="Times New Roman" w:eastAsia="黑体" w:cs="Times New Roman"/>
                <w:bCs/>
                <w:color w:val="000000"/>
                <w:spacing w:val="-6"/>
                <w:kern w:val="2"/>
                <w:sz w:val="21"/>
                <w:szCs w:val="21"/>
              </w:rPr>
            </w:pPr>
            <w:r>
              <w:rPr>
                <w:rFonts w:hint="eastAsia" w:ascii="Times New Roman" w:hAnsi="Times New Roman" w:eastAsia="黑体" w:cs="Times New Roman"/>
                <w:bCs/>
                <w:color w:val="000000"/>
                <w:spacing w:val="-6"/>
                <w:kern w:val="2"/>
                <w:sz w:val="21"/>
                <w:szCs w:val="21"/>
              </w:rPr>
              <w:t>3个</w:t>
            </w:r>
          </w:p>
        </w:tc>
        <w:tc>
          <w:tcPr>
            <w:tcW w:w="2410" w:type="dxa"/>
            <w:vAlign w:val="center"/>
          </w:tcPr>
          <w:p>
            <w:pPr>
              <w:widowControl w:val="0"/>
              <w:spacing w:after="0"/>
              <w:jc w:val="center"/>
              <w:rPr>
                <w:rFonts w:ascii="Times New Roman" w:hAnsi="Times New Roman" w:eastAsia="黑体" w:cs="Times New Roman"/>
                <w:bCs/>
                <w:color w:val="000000"/>
                <w:spacing w:val="-6"/>
                <w:kern w:val="2"/>
                <w:sz w:val="21"/>
                <w:szCs w:val="21"/>
              </w:rPr>
            </w:pPr>
            <w:r>
              <w:rPr>
                <w:rFonts w:hint="eastAsia" w:ascii="Times New Roman" w:hAnsi="Times New Roman" w:eastAsia="黑体" w:cs="Times New Roman"/>
                <w:bCs/>
                <w:color w:val="000000"/>
                <w:spacing w:val="-6"/>
                <w:kern w:val="2"/>
                <w:sz w:val="21"/>
                <w:szCs w:val="21"/>
              </w:rPr>
              <w:t>3个</w:t>
            </w:r>
          </w:p>
        </w:tc>
      </w:tr>
    </w:tbl>
    <w:p>
      <w:pPr>
        <w:spacing w:line="560" w:lineRule="exact"/>
        <w:ind w:firstLine="616" w:firstLineChars="200"/>
        <w:rPr>
          <w:rFonts w:ascii="Times New Roman" w:hAnsi="Times New Roman" w:eastAsia="黑体" w:cs="黑体"/>
          <w:color w:val="000000"/>
          <w:spacing w:val="-6"/>
          <w:sz w:val="32"/>
          <w:szCs w:val="32"/>
        </w:rPr>
      </w:pPr>
      <w:r>
        <w:rPr>
          <w:rFonts w:hint="eastAsia" w:ascii="Times New Roman" w:hAnsi="Times New Roman" w:eastAsia="黑体" w:cs="黑体"/>
          <w:color w:val="000000"/>
          <w:spacing w:val="-6"/>
          <w:sz w:val="32"/>
          <w:szCs w:val="32"/>
        </w:rPr>
        <w:t>二、主要检验项目及检验项目属性划分</w:t>
      </w:r>
    </w:p>
    <w:tbl>
      <w:tblPr>
        <w:tblStyle w:val="5"/>
        <w:tblW w:w="95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701"/>
        <w:gridCol w:w="3118"/>
        <w:gridCol w:w="709"/>
        <w:gridCol w:w="709"/>
        <w:gridCol w:w="1001"/>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序号</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检验项目</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依据法律法规或标准</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强制性</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非强制性</w:t>
            </w:r>
          </w:p>
        </w:tc>
        <w:tc>
          <w:tcPr>
            <w:tcW w:w="10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重要项</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较重要项</w:t>
            </w:r>
          </w:p>
        </w:tc>
        <w:tc>
          <w:tcPr>
            <w:tcW w:w="709" w:type="dxa"/>
            <w:tcBorders>
              <w:top w:val="single" w:color="auto" w:sz="4" w:space="0"/>
              <w:left w:val="single" w:color="auto" w:sz="4" w:space="0"/>
              <w:right w:val="single" w:color="auto" w:sz="4" w:space="0"/>
            </w:tcBorders>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1</w:t>
            </w:r>
          </w:p>
        </w:tc>
        <w:tc>
          <w:tcPr>
            <w:tcW w:w="1701" w:type="dxa"/>
            <w:shd w:val="clear" w:color="auto" w:fill="FFFFFF"/>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外观</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9397-2013条款4.1.2</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2</w:t>
            </w:r>
          </w:p>
        </w:tc>
        <w:tc>
          <w:tcPr>
            <w:tcW w:w="1701" w:type="dxa"/>
            <w:shd w:val="clear" w:color="auto" w:fill="FFFFFF"/>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正常工作的听音检验</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9397-2013条款4.2.1</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46" w:type="dxa"/>
            <w:shd w:val="clear" w:color="auto" w:fill="auto"/>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3</w:t>
            </w:r>
          </w:p>
        </w:tc>
        <w:tc>
          <w:tcPr>
            <w:tcW w:w="1701" w:type="dxa"/>
            <w:shd w:val="clear" w:color="auto" w:fill="FFFFFF"/>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机械噪声的听音检验</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9397-2013条款4.2.2</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4</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绝缘电阻</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9397-2013条款4.4.1</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5</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耐电压</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9397-2013条款4.4.2</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6</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振动（正弦）</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9397-2013条款4.5.1</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7</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滑落冲击</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9397-2013条款4.5.2</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8</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跌落</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9397-2013条款4.5.4</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9</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稳态湿热</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9397-2013条款4.5.6</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10</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额定阻抗</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9397-2013条款4.3.8</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11</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额定共振频率</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9397-2013条款4.3.4</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12</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额定频率范围</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9397-2013条款4.3.5</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13</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额定特性灵敏度级</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9397-2013条款4.3.6</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14</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额定总谐波失真</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9397-2013条款4.3.7</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6"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15</w:t>
            </w:r>
          </w:p>
        </w:tc>
        <w:tc>
          <w:tcPr>
            <w:tcW w:w="1701"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额定长期最大功率</w:t>
            </w:r>
          </w:p>
        </w:tc>
        <w:tc>
          <w:tcPr>
            <w:tcW w:w="3118"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GB/T 9397-2013条款4.3.3</w:t>
            </w: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r>
              <w:rPr>
                <w:rFonts w:hint="eastAsia" w:ascii="黑体" w:hAnsi="黑体" w:eastAsia="黑体" w:cs="黑体"/>
                <w:color w:val="000000"/>
                <w:spacing w:val="-6"/>
                <w:kern w:val="2"/>
                <w:sz w:val="21"/>
                <w:szCs w:val="21"/>
              </w:rPr>
              <w:t>●</w:t>
            </w:r>
          </w:p>
        </w:tc>
        <w:tc>
          <w:tcPr>
            <w:tcW w:w="1001"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8" w:type="dxa"/>
            <w:vAlign w:val="center"/>
          </w:tcPr>
          <w:p>
            <w:pPr>
              <w:widowControl w:val="0"/>
              <w:spacing w:after="0" w:line="300" w:lineRule="exact"/>
              <w:jc w:val="center"/>
              <w:rPr>
                <w:rFonts w:ascii="黑体" w:hAnsi="黑体" w:eastAsia="黑体" w:cs="黑体"/>
                <w:color w:val="000000"/>
                <w:spacing w:val="-6"/>
                <w:kern w:val="2"/>
                <w:sz w:val="21"/>
                <w:szCs w:val="21"/>
              </w:rPr>
            </w:pPr>
          </w:p>
        </w:tc>
        <w:tc>
          <w:tcPr>
            <w:tcW w:w="709" w:type="dxa"/>
            <w:vAlign w:val="center"/>
          </w:tcPr>
          <w:p>
            <w:pPr>
              <w:widowControl w:val="0"/>
              <w:spacing w:after="0" w:line="300" w:lineRule="exact"/>
              <w:jc w:val="center"/>
              <w:rPr>
                <w:rFonts w:ascii="黑体" w:hAnsi="黑体" w:eastAsia="黑体" w:cs="黑体"/>
                <w:color w:val="000000"/>
                <w:spacing w:val="-6"/>
                <w:kern w:val="2"/>
                <w:sz w:val="21"/>
                <w:szCs w:val="21"/>
              </w:rPr>
            </w:pPr>
          </w:p>
        </w:tc>
      </w:tr>
    </w:tbl>
    <w:p>
      <w:pPr>
        <w:numPr>
          <w:ilvl w:val="0"/>
          <w:numId w:val="2"/>
        </w:numPr>
        <w:spacing w:line="560" w:lineRule="exact"/>
        <w:ind w:firstLine="641"/>
        <w:rPr>
          <w:rFonts w:ascii="楷体_GB2312" w:hAnsi="楷体_GB2312" w:eastAsia="楷体_GB2312" w:cs="楷体_GB2312"/>
          <w:color w:val="000000"/>
          <w:spacing w:val="-6"/>
          <w:kern w:val="2"/>
          <w:sz w:val="32"/>
          <w:szCs w:val="32"/>
        </w:rPr>
      </w:pPr>
      <w:r>
        <w:rPr>
          <w:rFonts w:hint="eastAsia" w:ascii="Times New Roman" w:hAnsi="Times New Roman" w:eastAsia="黑体" w:cs="黑体"/>
          <w:color w:val="000000"/>
          <w:spacing w:val="-6"/>
          <w:sz w:val="32"/>
          <w:szCs w:val="32"/>
        </w:rPr>
        <w:t>判定规则</w:t>
      </w:r>
    </w:p>
    <w:p>
      <w:pPr>
        <w:spacing w:line="560" w:lineRule="exact"/>
        <w:ind w:firstLine="616" w:firstLineChars="200"/>
        <w:rPr>
          <w:rFonts w:ascii="楷体_GB2312" w:hAnsi="楷体_GB2312" w:eastAsia="楷体_GB2312" w:cs="楷体_GB2312"/>
          <w:color w:val="000000"/>
          <w:spacing w:val="-6"/>
          <w:kern w:val="2"/>
          <w:sz w:val="32"/>
          <w:szCs w:val="32"/>
        </w:rPr>
      </w:pPr>
      <w:r>
        <w:rPr>
          <w:rFonts w:hint="eastAsia" w:ascii="楷体_GB2312" w:hAnsi="楷体_GB2312" w:eastAsia="楷体_GB2312" w:cs="楷体_GB2312"/>
          <w:color w:val="000000"/>
          <w:spacing w:val="-6"/>
          <w:kern w:val="2"/>
          <w:sz w:val="32"/>
          <w:szCs w:val="32"/>
        </w:rPr>
        <w:t>（一）依据标准</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GB/T 9397-2013《直接辐射式电动扬声器通用规范》</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现行有效的企业标准、团体标准、地方标准及产品明示质量要求。</w:t>
      </w:r>
    </w:p>
    <w:p>
      <w:pPr>
        <w:adjustRightInd/>
        <w:snapToGrid/>
        <w:spacing w:after="0" w:line="600" w:lineRule="exact"/>
        <w:ind w:firstLine="616" w:firstLineChars="200"/>
        <w:jc w:val="both"/>
        <w:rPr>
          <w:rFonts w:ascii="楷体_GB2312" w:hAnsi="楷体_GB2312" w:eastAsia="楷体_GB2312" w:cs="楷体_GB2312"/>
          <w:color w:val="000000"/>
          <w:spacing w:val="-6"/>
          <w:kern w:val="2"/>
          <w:sz w:val="32"/>
          <w:szCs w:val="32"/>
        </w:rPr>
      </w:pPr>
      <w:r>
        <w:rPr>
          <w:rFonts w:hint="eastAsia" w:ascii="楷体_GB2312" w:hAnsi="楷体_GB2312" w:eastAsia="楷体_GB2312" w:cs="楷体_GB2312"/>
          <w:color w:val="000000"/>
          <w:spacing w:val="-6"/>
          <w:kern w:val="2"/>
          <w:sz w:val="32"/>
          <w:szCs w:val="32"/>
        </w:rPr>
        <w:t>（二）判定原则</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经检验，检验项目全部合格，判定为抽取的样本所检项目未检出不合格；检验项目中任一项或一项以上不合格，判定为被抽查产品不合格。</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当被检样品明示的质量要求优于监督抽查实施细则中依据的标准要求时，应按被检样品明示的质量要求判定；</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当被检样品明示的质量要求劣于或不包含监督抽查实施细则中依据的强制性标准要求时，应按照强制性标准要求判定；</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当被检样品明示的质量要求不包含监督抽查实施细则中依据的推荐性标准要求时，该指标不参与判定，但应在检验报告中作出说明；</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当被检样品未能提供有效的企业标准时，按相关国家或行业标准进行判定；</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按照产品质量相关法律法规的规定判定。</w:t>
      </w:r>
    </w:p>
    <w:p>
      <w:pPr>
        <w:adjustRightInd/>
        <w:snapToGrid/>
        <w:spacing w:after="0" w:line="600" w:lineRule="exact"/>
        <w:ind w:firstLine="616" w:firstLineChars="200"/>
        <w:jc w:val="both"/>
        <w:rPr>
          <w:rFonts w:ascii="Times New Roman" w:hAnsi="Times New Roman" w:eastAsia="仿宋_GB2312" w:cs="Times New Roman"/>
          <w:color w:val="000000"/>
          <w:spacing w:val="-6"/>
          <w:sz w:val="32"/>
          <w:szCs w:val="32"/>
        </w:rPr>
      </w:pPr>
      <w:r>
        <w:rPr>
          <w:rFonts w:hint="eastAsia" w:ascii="Times New Roman" w:hAnsi="Times New Roman" w:eastAsia="仿宋_GB2312" w:cs="Times New Roman"/>
          <w:color w:val="000000"/>
          <w:spacing w:val="-6"/>
          <w:sz w:val="32"/>
          <w:szCs w:val="32"/>
        </w:rPr>
        <w:t>检验中发现因样品失效或者其他原因致使检验无法进行的，检验人员应如实记录，并提供相关证明材料，报送组织监督抽查的市场监管部门。</w:t>
      </w:r>
    </w:p>
    <w:p>
      <w:pPr>
        <w:spacing w:line="220" w:lineRule="atLeast"/>
      </w:pPr>
    </w:p>
    <w:sectPr>
      <w:footerReference r:id="rId3"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Tahoma">
    <w:altName w:val="Droid Sans"/>
    <w:panose1 w:val="020B0604030504040204"/>
    <w:charset w:val="00"/>
    <w:family w:val="swiss"/>
    <w:pitch w:val="default"/>
    <w:sig w:usb0="00000000" w:usb1="00000000" w:usb2="00000029" w:usb3="00000000" w:csb0="0001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Droid Sans">
    <w:panose1 w:val="020B0606030804020204"/>
    <w:charset w:val="00"/>
    <w:family w:val="auto"/>
    <w:pitch w:val="default"/>
    <w:sig w:usb0="E00002EF" w:usb1="4000205B" w:usb2="00000028" w:usb3="00000000" w:csb0="2000019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B352DD"/>
    <w:multiLevelType w:val="singleLevel"/>
    <w:tmpl w:val="E8B352DD"/>
    <w:lvl w:ilvl="0" w:tentative="0">
      <w:start w:val="3"/>
      <w:numFmt w:val="chineseCounting"/>
      <w:suff w:val="nothing"/>
      <w:lvlText w:val="%1、"/>
      <w:lvlJc w:val="left"/>
      <w:rPr>
        <w:rFonts w:hint="eastAsia"/>
      </w:rPr>
    </w:lvl>
  </w:abstractNum>
  <w:abstractNum w:abstractNumId="1">
    <w:nsid w:val="6CEA2025"/>
    <w:multiLevelType w:val="multilevel"/>
    <w:tmpl w:val="6CEA2025"/>
    <w:lvl w:ilvl="0" w:tentative="0">
      <w:start w:val="1"/>
      <w:numFmt w:val="none"/>
      <w:suff w:val="nothing"/>
      <w:lvlText w:val="%1"/>
      <w:lvlJc w:val="left"/>
      <w:pPr>
        <w:ind w:left="148" w:firstLine="0"/>
      </w:pPr>
      <w:rPr>
        <w:rFonts w:hint="default" w:ascii="Times New Roman" w:hAnsi="Times New Roman"/>
        <w:b/>
        <w:i w:val="0"/>
        <w:sz w:val="21"/>
      </w:rPr>
    </w:lvl>
    <w:lvl w:ilvl="1" w:tentative="0">
      <w:start w:val="1"/>
      <w:numFmt w:val="decimal"/>
      <w:suff w:val="nothing"/>
      <w:lvlText w:val="%1%2　"/>
      <w:lvlJc w:val="left"/>
      <w:pPr>
        <w:ind w:left="1708" w:firstLine="0"/>
      </w:pPr>
      <w:rPr>
        <w:rFonts w:hint="eastAsia" w:ascii="黑体" w:hAnsi="Times New Roman" w:eastAsia="黑体"/>
        <w:b w:val="0"/>
        <w:i w:val="0"/>
        <w:sz w:val="21"/>
      </w:rPr>
    </w:lvl>
    <w:lvl w:ilvl="2" w:tentative="0">
      <w:start w:val="1"/>
      <w:numFmt w:val="decimal"/>
      <w:pStyle w:val="9"/>
      <w:suff w:val="nothing"/>
      <w:lvlText w:val="%1%2.%3　"/>
      <w:lvlJc w:val="left"/>
      <w:pPr>
        <w:ind w:left="716" w:firstLine="0"/>
      </w:pPr>
      <w:rPr>
        <w:rFonts w:hint="eastAsia" w:ascii="黑体" w:hAnsi="Times New Roman" w:eastAsia="黑体" w:cs="Times New Roman"/>
        <w:b w:val="0"/>
      </w:rPr>
    </w:lvl>
    <w:lvl w:ilvl="3" w:tentative="0">
      <w:start w:val="1"/>
      <w:numFmt w:val="decimal"/>
      <w:isLgl/>
      <w:suff w:val="nothing"/>
      <w:lvlText w:val="%2%1.%3.%4　"/>
      <w:lvlJc w:val="left"/>
      <w:pPr>
        <w:ind w:left="2269" w:firstLine="0"/>
      </w:pPr>
      <w:rPr>
        <w:rFonts w:hint="eastAsia" w:ascii="黑体" w:hAnsi="Times New Roman" w:eastAsia="黑体"/>
        <w:b w:val="0"/>
        <w:i w:val="0"/>
        <w:sz w:val="21"/>
      </w:rPr>
    </w:lvl>
    <w:lvl w:ilvl="4" w:tentative="0">
      <w:start w:val="1"/>
      <w:numFmt w:val="decimal"/>
      <w:suff w:val="nothing"/>
      <w:lvlText w:val="%1%2.%3.%4.%5　"/>
      <w:lvlJc w:val="left"/>
      <w:pPr>
        <w:ind w:left="1141" w:firstLine="0"/>
      </w:pPr>
      <w:rPr>
        <w:rFonts w:hint="eastAsia" w:ascii="黑体" w:hAnsi="Times New Roman" w:eastAsia="黑体"/>
        <w:b w:val="0"/>
        <w:i w:val="0"/>
        <w:sz w:val="21"/>
      </w:rPr>
    </w:lvl>
    <w:lvl w:ilvl="5" w:tentative="0">
      <w:start w:val="1"/>
      <w:numFmt w:val="decimal"/>
      <w:suff w:val="nothing"/>
      <w:lvlText w:val="%1%2.%3.%4.%5.%6　"/>
      <w:lvlJc w:val="left"/>
      <w:pPr>
        <w:ind w:left="148" w:firstLine="0"/>
      </w:pPr>
      <w:rPr>
        <w:rFonts w:hint="eastAsia" w:ascii="黑体" w:hAnsi="Times New Roman" w:eastAsia="黑体"/>
        <w:b w:val="0"/>
        <w:i w:val="0"/>
        <w:sz w:val="21"/>
      </w:rPr>
    </w:lvl>
    <w:lvl w:ilvl="6" w:tentative="0">
      <w:start w:val="1"/>
      <w:numFmt w:val="decimal"/>
      <w:suff w:val="nothing"/>
      <w:lvlText w:val="%1%2.%3.%4.%5.%6.%7　"/>
      <w:lvlJc w:val="left"/>
      <w:pPr>
        <w:ind w:left="148" w:firstLine="0"/>
      </w:pPr>
      <w:rPr>
        <w:rFonts w:hint="eastAsia" w:ascii="黑体" w:hAnsi="Times New Roman" w:eastAsia="黑体"/>
        <w:b w:val="0"/>
        <w:i w:val="0"/>
        <w:sz w:val="21"/>
      </w:rPr>
    </w:lvl>
    <w:lvl w:ilvl="7" w:tentative="0">
      <w:start w:val="1"/>
      <w:numFmt w:val="decimal"/>
      <w:lvlText w:val="%1.%2.%3.%4.%5.%6.%7.%8"/>
      <w:lvlJc w:val="left"/>
      <w:pPr>
        <w:tabs>
          <w:tab w:val="left" w:pos="4499"/>
        </w:tabs>
        <w:ind w:left="4117" w:hanging="1418"/>
      </w:pPr>
      <w:rPr>
        <w:rFonts w:hint="eastAsia"/>
      </w:rPr>
    </w:lvl>
    <w:lvl w:ilvl="8" w:tentative="0">
      <w:start w:val="1"/>
      <w:numFmt w:val="decimal"/>
      <w:lvlText w:val="%1.%2.%3.%4.%5.%6.%7.%8.%9"/>
      <w:lvlJc w:val="left"/>
      <w:pPr>
        <w:tabs>
          <w:tab w:val="left" w:pos="4925"/>
        </w:tabs>
        <w:ind w:left="4825"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720"/>
  <w:characterSpacingControl w:val="doNotCompress"/>
  <w:hdrShapeDefaults>
    <o:shapelayout v:ext="edit">
      <o:idmap v:ext="edit" data="3,4"/>
    </o:shapelayout>
  </w:hdrShapeDefaults>
  <w:compat>
    <w:useFELayout/>
    <w:compatSetting w:name="compatibilityMode" w:uri="http://schemas.microsoft.com/office/word" w:val="12"/>
  </w:compat>
  <w:docVars>
    <w:docVar w:name="commondata" w:val="eyJoZGlkIjoiMTdhNDJmMzM2ZjcyZWM0YjU5MmY5NDBjMWVjMTExMjcifQ=="/>
  </w:docVars>
  <w:rsids>
    <w:rsidRoot w:val="00D31D50"/>
    <w:rsid w:val="0003697A"/>
    <w:rsid w:val="00323B43"/>
    <w:rsid w:val="00377E56"/>
    <w:rsid w:val="00397F0D"/>
    <w:rsid w:val="003D37D8"/>
    <w:rsid w:val="00426133"/>
    <w:rsid w:val="004358AB"/>
    <w:rsid w:val="00466B0E"/>
    <w:rsid w:val="00472CC8"/>
    <w:rsid w:val="004B4A33"/>
    <w:rsid w:val="005B6587"/>
    <w:rsid w:val="00696229"/>
    <w:rsid w:val="007B5422"/>
    <w:rsid w:val="008A047F"/>
    <w:rsid w:val="008B7726"/>
    <w:rsid w:val="009C23BF"/>
    <w:rsid w:val="00A02582"/>
    <w:rsid w:val="00AE2A0D"/>
    <w:rsid w:val="00B1253E"/>
    <w:rsid w:val="00C90F95"/>
    <w:rsid w:val="00D31D50"/>
    <w:rsid w:val="00DF29B1"/>
    <w:rsid w:val="193261D5"/>
    <w:rsid w:val="4A7C3F88"/>
    <w:rsid w:val="5DFBF987"/>
    <w:rsid w:val="689E6599"/>
    <w:rsid w:val="FFFDA0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jc w:val="center"/>
    </w:pPr>
    <w:rPr>
      <w:sz w:val="18"/>
      <w:szCs w:val="18"/>
    </w:rPr>
  </w:style>
  <w:style w:type="paragraph" w:styleId="4">
    <w:name w:val="toc 2"/>
    <w:basedOn w:val="1"/>
    <w:next w:val="1"/>
    <w:qFormat/>
    <w:uiPriority w:val="0"/>
    <w:pPr>
      <w:ind w:left="420" w:leftChars="200"/>
    </w:pPr>
  </w:style>
  <w:style w:type="character" w:customStyle="1" w:styleId="7">
    <w:name w:val="页眉 Char"/>
    <w:basedOn w:val="6"/>
    <w:link w:val="3"/>
    <w:qFormat/>
    <w:uiPriority w:val="99"/>
    <w:rPr>
      <w:rFonts w:ascii="Tahoma" w:hAnsi="Tahoma"/>
      <w:sz w:val="18"/>
      <w:szCs w:val="18"/>
    </w:rPr>
  </w:style>
  <w:style w:type="character" w:customStyle="1" w:styleId="8">
    <w:name w:val="页脚 Char"/>
    <w:basedOn w:val="6"/>
    <w:link w:val="2"/>
    <w:qFormat/>
    <w:uiPriority w:val="99"/>
    <w:rPr>
      <w:rFonts w:ascii="Tahoma" w:hAnsi="Tahoma"/>
      <w:sz w:val="18"/>
      <w:szCs w:val="18"/>
    </w:rPr>
  </w:style>
  <w:style w:type="paragraph" w:customStyle="1" w:styleId="9">
    <w:name w:val="一级条标题"/>
    <w:next w:val="1"/>
    <w:qFormat/>
    <w:uiPriority w:val="0"/>
    <w:pPr>
      <w:numPr>
        <w:ilvl w:val="2"/>
        <w:numId w:val="1"/>
      </w:numPr>
      <w:spacing w:beforeLines="50" w:after="200" w:afterLines="50"/>
      <w:outlineLvl w:val="2"/>
    </w:pPr>
    <w:rPr>
      <w:rFonts w:ascii="黑体" w:hAnsi="Calibri" w:eastAsia="黑体" w:cs="Times New Roman"/>
      <w:sz w:val="21"/>
      <w:szCs w:val="21"/>
      <w:lang w:val="en-US" w:eastAsia="zh-CN" w:bidi="ar-SA"/>
    </w:rPr>
  </w:style>
  <w:style w:type="paragraph" w:customStyle="1" w:styleId="10">
    <w:name w:val="二级条标题"/>
    <w:basedOn w:val="9"/>
    <w:next w:val="1"/>
    <w:qFormat/>
    <w:uiPriority w:val="0"/>
    <w:pPr>
      <w:spacing w:before="50" w:after="50"/>
      <w:outlineLvl w:val="3"/>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206</Words>
  <Characters>1175</Characters>
  <Lines>9</Lines>
  <Paragraphs>2</Paragraphs>
  <TotalTime>2</TotalTime>
  <ScaleCrop>false</ScaleCrop>
  <LinksUpToDate>false</LinksUpToDate>
  <CharactersWithSpaces>1379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2008-09-12T09:20:00Z</dcterms:created>
  <dc:creator>Administrator</dc:creator>
  <cp:lastModifiedBy>greatwall</cp:lastModifiedBy>
  <dcterms:modified xsi:type="dcterms:W3CDTF">2023-08-31T10:33:24Z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002BDC23365D4BA294D99B1E31FC0F68_12</vt:lpwstr>
  </property>
</Properties>
</file>