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rPr>
          <w:rFonts w:ascii="方正小标宋简体" w:hAnsi="方正小标宋简体" w:eastAsia="方正小标宋简体"/>
          <w:sz w:val="44"/>
          <w:szCs w:val="44"/>
        </w:rPr>
      </w:pPr>
      <w:bookmarkStart w:id="0" w:name="_Hlk136443772"/>
      <w:r>
        <w:rPr>
          <w:rFonts w:hint="eastAsia" w:ascii="方正小标宋简体" w:hAnsi="方正小标宋简体" w:eastAsia="方正小标宋简体"/>
          <w:sz w:val="44"/>
          <w:szCs w:val="44"/>
          <w:lang w:eastAsia="zh-CN"/>
        </w:rPr>
        <w:t>梅江区</w:t>
      </w:r>
      <w:r>
        <w:rPr>
          <w:rFonts w:hint="eastAsia" w:ascii="方正小标宋简体" w:hAnsi="方正小标宋简体" w:eastAsia="方正小标宋简体"/>
          <w:sz w:val="44"/>
          <w:szCs w:val="44"/>
        </w:rPr>
        <w:t>农村集体经营性建设用地入市</w:t>
      </w:r>
    </w:p>
    <w:p>
      <w:pPr>
        <w:widowControl/>
        <w:shd w:val="clear" w:color="auto" w:fill="FFFFFF"/>
        <w:spacing w:line="60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集体收益分配指导意见</w:t>
      </w:r>
    </w:p>
    <w:p>
      <w:pPr>
        <w:widowControl/>
        <w:shd w:val="clear" w:color="auto" w:fill="FFFFFF"/>
        <w:spacing w:line="60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（征求意见稿）</w:t>
      </w:r>
    </w:p>
    <w:bookmarkEnd w:id="0"/>
    <w:p>
      <w:pPr>
        <w:spacing w:line="600" w:lineRule="exact"/>
        <w:jc w:val="center"/>
        <w:rPr>
          <w:sz w:val="32"/>
          <w:szCs w:val="32"/>
        </w:rPr>
      </w:pPr>
    </w:p>
    <w:p>
      <w:pPr>
        <w:pStyle w:val="14"/>
        <w:numPr>
          <w:ilvl w:val="0"/>
          <w:numId w:val="1"/>
        </w:numPr>
        <w:spacing w:line="560" w:lineRule="exact"/>
        <w:ind w:left="0" w:firstLine="640"/>
        <w:rPr>
          <w:rFonts w:ascii="仿宋_GB2312" w:hAnsi="仿宋" w:eastAsia="仿宋_GB2312"/>
          <w:sz w:val="32"/>
          <w:szCs w:val="32"/>
        </w:rPr>
      </w:pPr>
      <w:r>
        <w:rPr>
          <w:rFonts w:hint="eastAsia" w:ascii="仿宋_GB2312" w:hAnsi="仿宋_GB2312" w:eastAsia="仿宋_GB2312" w:cs="仿宋_GB2312"/>
          <w:sz w:val="32"/>
          <w:szCs w:val="32"/>
        </w:rPr>
        <w:t xml:space="preserve"> 为加强和规范集体经营性建设用地入市净收益分配使用管理，</w:t>
      </w:r>
      <w:r>
        <w:rPr>
          <w:rFonts w:hint="eastAsia" w:ascii="仿宋_GB2312" w:hAnsi="仿宋" w:eastAsia="仿宋_GB2312"/>
          <w:sz w:val="32"/>
          <w:szCs w:val="32"/>
        </w:rPr>
        <w:t>规范集体土地入市净收益管理行为，维护农村集体经济组织和农民的利益，壮大农村集体经济实力，</w:t>
      </w:r>
      <w:r>
        <w:rPr>
          <w:rFonts w:hint="eastAsia" w:ascii="仿宋_GB2312" w:hAnsi="仿宋_GB2312" w:eastAsia="仿宋_GB2312" w:cs="仿宋_GB2312"/>
          <w:sz w:val="32"/>
          <w:szCs w:val="32"/>
        </w:rPr>
        <w:t>促进土地资源优化配置和高效集约使用，</w:t>
      </w:r>
      <w:r>
        <w:rPr>
          <w:rFonts w:hint="eastAsia" w:ascii="仿宋_GB2312" w:hAnsi="仿宋" w:eastAsia="仿宋_GB2312"/>
          <w:sz w:val="32"/>
          <w:szCs w:val="32"/>
        </w:rPr>
        <w:t>根据有关法律法规，结合</w:t>
      </w:r>
      <w:r>
        <w:rPr>
          <w:rFonts w:hint="eastAsia" w:ascii="仿宋_GB2312" w:hAnsi="仿宋" w:eastAsia="仿宋_GB2312"/>
          <w:sz w:val="32"/>
          <w:szCs w:val="32"/>
          <w:lang w:eastAsia="zh-CN"/>
        </w:rPr>
        <w:t>梅江区</w:t>
      </w:r>
      <w:r>
        <w:rPr>
          <w:rFonts w:hint="eastAsia" w:ascii="仿宋_GB2312" w:hAnsi="仿宋" w:eastAsia="仿宋_GB2312"/>
          <w:sz w:val="32"/>
          <w:szCs w:val="32"/>
        </w:rPr>
        <w:t>实际，制定本意见。</w:t>
      </w:r>
    </w:p>
    <w:p>
      <w:pPr>
        <w:pStyle w:val="14"/>
        <w:numPr>
          <w:ilvl w:val="0"/>
          <w:numId w:val="1"/>
        </w:numPr>
        <w:spacing w:line="560" w:lineRule="exact"/>
        <w:ind w:left="0" w:firstLine="640"/>
        <w:rPr>
          <w:rFonts w:ascii="仿宋_GB2312" w:hAnsi="仿宋" w:eastAsia="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本办法所称的入市净收益是指农村集体经济组织将集体经营性建设用地使用权，通过出让、租赁等方式入市交易获得的总价款，扣除调节金、取得成本和土地开发支出等相关费用后的收益。</w:t>
      </w:r>
    </w:p>
    <w:p>
      <w:pPr>
        <w:pStyle w:val="14"/>
        <w:numPr>
          <w:ilvl w:val="0"/>
          <w:numId w:val="1"/>
        </w:numPr>
        <w:spacing w:line="560" w:lineRule="exact"/>
        <w:ind w:left="0" w:firstLine="640"/>
        <w:rPr>
          <w:rFonts w:ascii="仿宋_GB2312" w:hAnsi="仿宋" w:eastAsia="仿宋_GB2312"/>
          <w:sz w:val="32"/>
          <w:szCs w:val="32"/>
        </w:rPr>
      </w:pPr>
      <w:r>
        <w:rPr>
          <w:rFonts w:hint="eastAsia" w:ascii="仿宋_GB2312" w:hAnsi="仿宋" w:eastAsia="仿宋_GB2312"/>
          <w:sz w:val="32"/>
          <w:szCs w:val="32"/>
        </w:rPr>
        <w:t xml:space="preserve"> 本意见适用于</w:t>
      </w:r>
      <w:r>
        <w:rPr>
          <w:rFonts w:hint="eastAsia" w:ascii="仿宋_GB2312" w:hAnsi="仿宋" w:eastAsia="仿宋_GB2312"/>
          <w:sz w:val="32"/>
          <w:szCs w:val="32"/>
          <w:lang w:eastAsia="zh-CN"/>
        </w:rPr>
        <w:t>梅江区</w:t>
      </w:r>
      <w:r>
        <w:rPr>
          <w:rFonts w:hint="eastAsia" w:ascii="仿宋_GB2312" w:hAnsi="仿宋" w:eastAsia="仿宋_GB2312"/>
          <w:sz w:val="32"/>
          <w:szCs w:val="32"/>
        </w:rPr>
        <w:t>行政区域内农村集体经济组织的农村集体经营性建设用地入市净收益部分的管理、使用、分配。</w:t>
      </w:r>
    </w:p>
    <w:p>
      <w:pPr>
        <w:pStyle w:val="14"/>
        <w:numPr>
          <w:ilvl w:val="0"/>
          <w:numId w:val="1"/>
        </w:numPr>
        <w:spacing w:line="560" w:lineRule="exact"/>
        <w:ind w:left="0" w:firstLine="640"/>
        <w:rPr>
          <w:rFonts w:ascii="仿宋_GB2312" w:hAnsi="仿宋" w:eastAsia="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财政局负责全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入市净收益管理的监督和指导；农村集体经济组织做好入市净收益的日常管理监督工作。</w:t>
      </w:r>
    </w:p>
    <w:p>
      <w:pPr>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sz w:val="32"/>
          <w:szCs w:val="32"/>
        </w:rPr>
        <w:t>入市净收益的分配使用管理坚持权责一致、合理分配、保值增值的原则，不断壮大农村集体经济，增加农民收入。</w:t>
      </w:r>
    </w:p>
    <w:p>
      <w:pPr>
        <w:pStyle w:val="14"/>
        <w:numPr>
          <w:ilvl w:val="0"/>
          <w:numId w:val="1"/>
        </w:numPr>
        <w:spacing w:line="560" w:lineRule="exact"/>
        <w:ind w:left="0" w:firstLine="640"/>
        <w:rPr>
          <w:rFonts w:ascii="仿宋_GB2312" w:hAnsi="仿宋" w:eastAsia="仿宋_GB2312"/>
          <w:sz w:val="32"/>
          <w:szCs w:val="32"/>
        </w:rPr>
      </w:pPr>
      <w:r>
        <w:rPr>
          <w:rFonts w:hint="eastAsia" w:ascii="仿宋_GB2312" w:hAnsi="仿宋" w:eastAsia="仿宋_GB2312"/>
          <w:sz w:val="32"/>
          <w:szCs w:val="32"/>
        </w:rPr>
        <w:t xml:space="preserve"> 集体经营性建设用地按集体土地所有权归属，其入市净收益部分归</w:t>
      </w:r>
      <w:r>
        <w:rPr>
          <w:rFonts w:hint="eastAsia" w:eastAsia="仿宋_GB2312"/>
          <w:sz w:val="32"/>
          <w:szCs w:val="32"/>
        </w:rPr>
        <w:t>农村集体经济组织全体成员所有，</w:t>
      </w:r>
      <w:r>
        <w:rPr>
          <w:rFonts w:hint="eastAsia" w:ascii="仿宋_GB2312" w:hAnsi="仿宋" w:eastAsia="仿宋_GB2312"/>
          <w:sz w:val="32"/>
          <w:szCs w:val="32"/>
        </w:rPr>
        <w:t>主要用于本集体经济组织改善本集体组织成员的生产和生活配套设施条件、民生项目等支出。</w:t>
      </w:r>
    </w:p>
    <w:p>
      <w:pPr>
        <w:pStyle w:val="14"/>
        <w:numPr>
          <w:ilvl w:val="0"/>
          <w:numId w:val="1"/>
        </w:numPr>
        <w:spacing w:line="560" w:lineRule="exact"/>
        <w:ind w:left="0" w:firstLine="640"/>
        <w:rPr>
          <w:rFonts w:ascii="仿宋_GB2312" w:hAnsi="仿宋" w:eastAsia="仿宋_GB2312"/>
          <w:sz w:val="32"/>
          <w:szCs w:val="32"/>
        </w:rPr>
      </w:pPr>
      <w:r>
        <w:rPr>
          <w:rFonts w:hint="eastAsia" w:eastAsia="仿宋_GB2312"/>
          <w:sz w:val="32"/>
          <w:szCs w:val="32"/>
        </w:rPr>
        <w:t xml:space="preserve"> 入市收益应纳入农村集体资产统一管理，农村集体经济组织应在银行开立专门账户，办理入市收益转账结算和现金收付，</w:t>
      </w:r>
      <w:r>
        <w:rPr>
          <w:rFonts w:hint="eastAsia" w:ascii="仿宋_GB2312" w:hAnsi="仿宋" w:eastAsia="仿宋_GB2312"/>
          <w:sz w:val="32"/>
          <w:szCs w:val="32"/>
        </w:rPr>
        <w:t>并按照《广东省农村集体资产管理条例》、集体经济组织章程规范使用和管理。</w:t>
      </w:r>
      <w:r>
        <w:rPr>
          <w:rFonts w:hint="eastAsia" w:eastAsia="仿宋_GB2312"/>
          <w:sz w:val="32"/>
          <w:szCs w:val="32"/>
        </w:rPr>
        <w:t>收益分配、使用和管理情况纳入信息公开内容，接受审计监督和</w:t>
      </w:r>
      <w:r>
        <w:rPr>
          <w:rFonts w:hint="eastAsia" w:eastAsia="仿宋_GB2312"/>
          <w:sz w:val="32"/>
          <w:szCs w:val="32"/>
          <w:lang w:eastAsia="zh-CN"/>
        </w:rPr>
        <w:t>区</w:t>
      </w:r>
      <w:r>
        <w:rPr>
          <w:rFonts w:hint="eastAsia" w:eastAsia="仿宋_GB2312"/>
          <w:sz w:val="32"/>
          <w:szCs w:val="32"/>
        </w:rPr>
        <w:t>人民政府监管</w:t>
      </w:r>
      <w:r>
        <w:rPr>
          <w:rFonts w:eastAsia="仿宋_GB2312"/>
          <w:sz w:val="32"/>
          <w:szCs w:val="32"/>
        </w:rPr>
        <w:t>。</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ascii="仿宋_GB2312" w:hAnsi="仿宋_GB2312" w:eastAsia="仿宋_GB2312" w:cs="仿宋_GB2312"/>
          <w:sz w:val="32"/>
          <w:szCs w:val="32"/>
        </w:rPr>
        <w:t xml:space="preserve"> 应统筹考虑各村在基础设施投入、农民生活保障等方面承担责任的实际情况，</w:t>
      </w:r>
      <w:r>
        <w:rPr>
          <w:rFonts w:hint="eastAsia" w:eastAsia="仿宋_GB2312"/>
          <w:sz w:val="32"/>
          <w:szCs w:val="32"/>
        </w:rPr>
        <w:t>可探索在集体与集体经济组织成员之间按一定比例分享入市收益</w:t>
      </w:r>
      <w:r>
        <w:rPr>
          <w:rFonts w:hint="eastAsia" w:eastAsia="仿宋_GB2312"/>
          <w:color w:val="000000" w:themeColor="text1"/>
          <w:sz w:val="32"/>
          <w:szCs w:val="32"/>
          <w14:textFill>
            <w14:solidFill>
              <w14:schemeClr w14:val="tx1"/>
            </w14:solidFill>
          </w14:textFill>
        </w:rPr>
        <w:t>，</w:t>
      </w:r>
      <w:bookmarkStart w:id="1" w:name="_Hlk141709099"/>
      <w:r>
        <w:rPr>
          <w:rFonts w:hint="eastAsia" w:eastAsia="仿宋_GB2312"/>
          <w:color w:val="000000" w:themeColor="text1"/>
          <w:sz w:val="32"/>
          <w:szCs w:val="32"/>
          <w14:textFill>
            <w14:solidFill>
              <w14:schemeClr w14:val="tx1"/>
            </w14:solidFill>
          </w14:textFill>
        </w:rPr>
        <w:t>其中集体应留存不低于2</w:t>
      </w:r>
      <w:r>
        <w:rPr>
          <w:rFonts w:eastAsia="仿宋_GB2312"/>
          <w:color w:val="000000" w:themeColor="text1"/>
          <w:sz w:val="32"/>
          <w:szCs w:val="32"/>
          <w14:textFill>
            <w14:solidFill>
              <w14:schemeClr w14:val="tx1"/>
            </w14:solidFill>
          </w14:textFill>
        </w:rPr>
        <w:t>0</w:t>
      </w:r>
      <w:r>
        <w:rPr>
          <w:rFonts w:hint="eastAsia" w:eastAsia="仿宋_GB2312"/>
          <w:color w:val="000000" w:themeColor="text1"/>
          <w:sz w:val="32"/>
          <w:szCs w:val="32"/>
          <w14:textFill>
            <w14:solidFill>
              <w14:schemeClr w14:val="tx1"/>
            </w14:solidFill>
          </w14:textFill>
        </w:rPr>
        <w:t>%的收益</w:t>
      </w:r>
      <w:bookmarkEnd w:id="1"/>
      <w:r>
        <w:rPr>
          <w:rFonts w:hint="eastAsia" w:eastAsia="仿宋_GB2312"/>
          <w:color w:val="000000" w:themeColor="text1"/>
          <w:sz w:val="32"/>
          <w:szCs w:val="32"/>
          <w14:textFill>
            <w14:solidFill>
              <w14:schemeClr w14:val="tx1"/>
            </w14:solidFill>
          </w14:textFill>
        </w:rPr>
        <w:t>。</w:t>
      </w:r>
      <w:r>
        <w:rPr>
          <w:rFonts w:hint="eastAsia" w:eastAsia="仿宋_GB2312"/>
          <w:sz w:val="32"/>
          <w:szCs w:val="32"/>
        </w:rPr>
        <w:t>集体留存部分主要用于发展生产壮大村集体经济等有稳定收入来源的项目，改善本集体组织成员的生产和生活配套设施等农村公共服务，以及教育奖励、贫困户和老年人补贴等民生项目的支出。剩余部分，可直接以现金形式分配给集体经济组织成员，或折合成股份用于集体经济发展。</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ascii="仿宋_GB2312" w:hAnsi="仿宋_GB2312" w:eastAsia="仿宋_GB2312" w:cs="仿宋_GB2312"/>
          <w:sz w:val="32"/>
          <w:szCs w:val="32"/>
        </w:rPr>
        <w:t xml:space="preserve"> 入市净收益不得投资股市、基金等高风险业务，不得出借给任何单位和个人。</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ascii="仿宋_GB2312" w:hAnsi="仿宋_GB2312" w:eastAsia="仿宋_GB2312" w:cs="仿宋_GB2312"/>
          <w:sz w:val="32"/>
          <w:szCs w:val="32"/>
        </w:rPr>
        <w:t xml:space="preserve"> </w:t>
      </w:r>
      <w:r>
        <w:rPr>
          <w:rFonts w:hint="eastAsia" w:eastAsia="仿宋_GB2312"/>
          <w:sz w:val="32"/>
          <w:szCs w:val="32"/>
        </w:rPr>
        <w:t>入市净收益使用方案应严格履行民主决策程序方可实施。</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集体经营性建设用地入市分成收益需对外投资、投资开发、购买物业等再投资发展具体用途时，按《广东省农村集体资产管理条例》，</w:t>
      </w:r>
      <w:r>
        <w:rPr>
          <w:rFonts w:hint="eastAsia" w:ascii="仿宋_GB2312" w:hAnsi="仿宋_GB2312" w:eastAsia="仿宋_GB2312" w:cs="仿宋_GB2312"/>
          <w:sz w:val="32"/>
          <w:szCs w:val="32"/>
        </w:rPr>
        <w:t>集体经济组织</w:t>
      </w:r>
      <w:r>
        <w:rPr>
          <w:rFonts w:hint="eastAsia" w:eastAsia="仿宋_GB2312"/>
          <w:sz w:val="32"/>
          <w:szCs w:val="32"/>
        </w:rPr>
        <w:t>需作出集体研究决定，并召开社员代表大会经三分之二以上成员代表同意，形成决议，方可实施。</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农村集体经营性建设用地入市净收益使用情况应向本集体经济组织成员公开、并接受成员的监督。</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农村集体经济组织应定期在村委会固定的公开栏和镇政府网站对入市收益资金使用管理情况实行同步公开。同时，将入市净收益纳入</w:t>
      </w:r>
      <w:r>
        <w:rPr>
          <w:rFonts w:hint="eastAsia" w:eastAsia="仿宋_GB2312"/>
          <w:sz w:val="32"/>
          <w:szCs w:val="32"/>
          <w:lang w:eastAsia="zh-CN"/>
        </w:rPr>
        <w:t>梅江区</w:t>
      </w:r>
      <w:r>
        <w:rPr>
          <w:rFonts w:eastAsia="仿宋_GB2312"/>
          <w:sz w:val="32"/>
          <w:szCs w:val="32"/>
        </w:rPr>
        <w:t>农村</w:t>
      </w:r>
      <w:r>
        <w:rPr>
          <w:rFonts w:hint="eastAsia" w:eastAsia="仿宋_GB2312"/>
          <w:sz w:val="32"/>
          <w:szCs w:val="32"/>
        </w:rPr>
        <w:t>产权</w:t>
      </w:r>
      <w:r>
        <w:rPr>
          <w:rFonts w:hint="eastAsia" w:eastAsia="仿宋_GB2312"/>
          <w:color w:val="000000" w:themeColor="text1"/>
          <w:sz w:val="32"/>
          <w:szCs w:val="32"/>
          <w14:textFill>
            <w14:solidFill>
              <w14:schemeClr w14:val="tx1"/>
            </w14:solidFill>
          </w14:textFill>
        </w:rPr>
        <w:t>流转</w:t>
      </w:r>
      <w:r>
        <w:rPr>
          <w:rFonts w:hint="eastAsia" w:eastAsia="仿宋_GB2312"/>
          <w:sz w:val="32"/>
          <w:szCs w:val="32"/>
        </w:rPr>
        <w:t>交易平台，实施重点监管，做到实时查询、实时指导、实时监管。</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监管部门对入市净收益管理监督过程中，发现违反有关规定的单位和个人要及时作出党纪政纪处理；涉嫌违法犯罪的，移交司法机关处理。</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本办法由</w:t>
      </w:r>
      <w:r>
        <w:rPr>
          <w:rFonts w:hint="eastAsia" w:eastAsia="仿宋_GB2312"/>
          <w:sz w:val="32"/>
          <w:szCs w:val="32"/>
          <w:lang w:eastAsia="zh-CN"/>
        </w:rPr>
        <w:t>梅州市自然资源局梅江分</w:t>
      </w:r>
      <w:r>
        <w:rPr>
          <w:rFonts w:hint="eastAsia" w:eastAsia="仿宋_GB2312"/>
          <w:sz w:val="32"/>
          <w:szCs w:val="32"/>
        </w:rPr>
        <w:t>局负责解释。</w:t>
      </w:r>
    </w:p>
    <w:p>
      <w:pPr>
        <w:pStyle w:val="14"/>
        <w:numPr>
          <w:ilvl w:val="0"/>
          <w:numId w:val="1"/>
        </w:numPr>
        <w:autoSpaceDE w:val="0"/>
        <w:autoSpaceDN w:val="0"/>
        <w:adjustRightInd w:val="0"/>
        <w:spacing w:line="600" w:lineRule="exact"/>
        <w:ind w:left="0" w:firstLine="640"/>
        <w:jc w:val="left"/>
        <w:rPr>
          <w:rFonts w:eastAsia="仿宋_GB2312"/>
          <w:sz w:val="32"/>
          <w:szCs w:val="32"/>
        </w:rPr>
      </w:pPr>
      <w:r>
        <w:rPr>
          <w:rFonts w:hint="eastAsia" w:eastAsia="仿宋_GB2312"/>
          <w:sz w:val="32"/>
          <w:szCs w:val="32"/>
        </w:rPr>
        <w:t xml:space="preserve"> </w:t>
      </w:r>
      <w:r>
        <w:rPr>
          <w:rFonts w:eastAsia="仿宋_GB2312"/>
          <w:sz w:val="32"/>
          <w:szCs w:val="32"/>
        </w:rPr>
        <w:t>本办法自公布之日起</w:t>
      </w:r>
      <w:r>
        <w:rPr>
          <w:rFonts w:hint="eastAsia" w:eastAsia="仿宋_GB2312"/>
          <w:sz w:val="32"/>
          <w:szCs w:val="32"/>
        </w:rPr>
        <w:t>试行</w:t>
      </w:r>
      <w:r>
        <w:rPr>
          <w:rFonts w:eastAsia="仿宋_GB2312"/>
          <w:sz w:val="32"/>
          <w:szCs w:val="32"/>
        </w:rPr>
        <w:t>，有效期</w:t>
      </w:r>
      <w:r>
        <w:rPr>
          <w:rFonts w:hint="eastAsia" w:eastAsia="仿宋_GB2312"/>
          <w:sz w:val="32"/>
          <w:szCs w:val="32"/>
          <w:lang w:val="en-US" w:eastAsia="zh-CN"/>
        </w:rPr>
        <w:t>2</w:t>
      </w:r>
      <w:r>
        <w:rPr>
          <w:rFonts w:eastAsia="仿宋_GB2312"/>
          <w:sz w:val="32"/>
          <w:szCs w:val="32"/>
        </w:rPr>
        <w:t>年</w:t>
      </w:r>
      <w:r>
        <w:rPr>
          <w:rFonts w:hint="eastAsia" w:eastAsia="仿宋_GB2312"/>
          <w:sz w:val="32"/>
          <w:szCs w:val="32"/>
        </w:rPr>
        <w:t>。如试行期间出台新的</w:t>
      </w:r>
      <w:bookmarkStart w:id="2" w:name="_GoBack"/>
      <w:bookmarkEnd w:id="2"/>
      <w:r>
        <w:rPr>
          <w:rFonts w:hint="eastAsia" w:eastAsia="仿宋_GB2312"/>
          <w:sz w:val="32"/>
          <w:szCs w:val="32"/>
        </w:rPr>
        <w:t>相关规定，则按新规执行。</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5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9601276"/>
      <w:docPartObj>
        <w:docPartGallery w:val="autotext"/>
      </w:docPartObj>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35401463" o:spid="_x0000_s4099" o:spt="136" type="#_x0000_t136" style="position:absolute;left:0pt;height:97.55pt;width:487.9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征求意见稿" style="font-family:宋体;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PowerPlusWaterMarkObject35401462" o:spid="_x0000_s4097" o:spt="136" type="#_x0000_t136" style="position:absolute;left:0pt;height:97.55pt;width:487.9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f" xscale="f" string="征求意见稿" style="font-family:宋体;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945F1E"/>
    <w:multiLevelType w:val="multilevel"/>
    <w:tmpl w:val="4A945F1E"/>
    <w:lvl w:ilvl="0" w:tentative="0">
      <w:start w:val="1"/>
      <w:numFmt w:val="japaneseCounting"/>
      <w:lvlText w:val="第%1条"/>
      <w:lvlJc w:val="left"/>
      <w:pPr>
        <w:ind w:left="4972" w:hanging="1995"/>
      </w:pPr>
      <w:rPr>
        <w:rFonts w:hint="default" w:ascii="Times New Roman" w:hAnsi="Times New Roman"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Nzg1NmQ0ZTg5NjRkOTc0MGNhYTUyMjFlMWU4N2MifQ=="/>
  </w:docVars>
  <w:rsids>
    <w:rsidRoot w:val="003A4EA4"/>
    <w:rsid w:val="00055D59"/>
    <w:rsid w:val="000720CF"/>
    <w:rsid w:val="00091F4E"/>
    <w:rsid w:val="000C03CD"/>
    <w:rsid w:val="00110B54"/>
    <w:rsid w:val="00182832"/>
    <w:rsid w:val="0018486A"/>
    <w:rsid w:val="001947F2"/>
    <w:rsid w:val="001D1BBE"/>
    <w:rsid w:val="0021156C"/>
    <w:rsid w:val="00215621"/>
    <w:rsid w:val="00245C7E"/>
    <w:rsid w:val="0028149D"/>
    <w:rsid w:val="002B1123"/>
    <w:rsid w:val="002D7C0B"/>
    <w:rsid w:val="00301FB4"/>
    <w:rsid w:val="0034355E"/>
    <w:rsid w:val="0039066A"/>
    <w:rsid w:val="00392737"/>
    <w:rsid w:val="003A4EA4"/>
    <w:rsid w:val="003B24FE"/>
    <w:rsid w:val="004129A6"/>
    <w:rsid w:val="004D6241"/>
    <w:rsid w:val="004F4982"/>
    <w:rsid w:val="0056242C"/>
    <w:rsid w:val="00582992"/>
    <w:rsid w:val="005D64EF"/>
    <w:rsid w:val="006032F8"/>
    <w:rsid w:val="0061181F"/>
    <w:rsid w:val="0062149B"/>
    <w:rsid w:val="00645C39"/>
    <w:rsid w:val="00686442"/>
    <w:rsid w:val="006F7E90"/>
    <w:rsid w:val="007471EC"/>
    <w:rsid w:val="00765F82"/>
    <w:rsid w:val="007B0E52"/>
    <w:rsid w:val="008C2C9B"/>
    <w:rsid w:val="00945B22"/>
    <w:rsid w:val="009536EF"/>
    <w:rsid w:val="009F5FE0"/>
    <w:rsid w:val="00A31921"/>
    <w:rsid w:val="00A44A21"/>
    <w:rsid w:val="00A56C48"/>
    <w:rsid w:val="00A9744B"/>
    <w:rsid w:val="00AE7AAA"/>
    <w:rsid w:val="00B64438"/>
    <w:rsid w:val="00C11701"/>
    <w:rsid w:val="00C46B3F"/>
    <w:rsid w:val="00C62054"/>
    <w:rsid w:val="00D84B04"/>
    <w:rsid w:val="00E118C7"/>
    <w:rsid w:val="00E149B1"/>
    <w:rsid w:val="00E164BA"/>
    <w:rsid w:val="00E85170"/>
    <w:rsid w:val="00EA677B"/>
    <w:rsid w:val="00EB3CE5"/>
    <w:rsid w:val="00F007AE"/>
    <w:rsid w:val="00F10358"/>
    <w:rsid w:val="00F6193E"/>
    <w:rsid w:val="00F65691"/>
    <w:rsid w:val="00F754E3"/>
    <w:rsid w:val="00F81063"/>
    <w:rsid w:val="00FA30B0"/>
    <w:rsid w:val="00FF3D07"/>
    <w:rsid w:val="014314E1"/>
    <w:rsid w:val="4FE75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2"/>
    <w:qFormat/>
    <w:uiPriority w:val="9"/>
    <w:rPr>
      <w:rFonts w:ascii="Times New Roman" w:hAnsi="Times New Roman" w:eastAsia="宋体" w:cs="Times New Roman"/>
      <w:b/>
      <w:bCs/>
      <w:kern w:val="44"/>
      <w:sz w:val="44"/>
      <w:szCs w:val="44"/>
    </w:rPr>
  </w:style>
  <w:style w:type="paragraph" w:styleId="14">
    <w:name w:val="List Paragraph"/>
    <w:basedOn w:val="1"/>
    <w:qFormat/>
    <w:uiPriority w:val="99"/>
    <w:pPr>
      <w:ind w:firstLine="420" w:firstLineChars="200"/>
    </w:pPr>
  </w:style>
  <w:style w:type="paragraph" w:customStyle="1" w:styleId="15">
    <w:name w:val="Default"/>
    <w:qFormat/>
    <w:uiPriority w:val="99"/>
    <w:pPr>
      <w:widowControl w:val="0"/>
      <w:autoSpaceDE w:val="0"/>
      <w:autoSpaceDN w:val="0"/>
      <w:adjustRightInd w:val="0"/>
    </w:pPr>
    <w:rPr>
      <w:rFonts w:ascii="仿宋_GB2312" w:hAnsi="Times New Roman" w:eastAsia="仿宋_GB2312" w:cs="仿宋_GB2312"/>
      <w:color w:val="000000"/>
      <w:kern w:val="0"/>
      <w:sz w:val="24"/>
      <w:szCs w:val="24"/>
      <w:lang w:val="en-US" w:eastAsia="zh-CN" w:bidi="ar-SA"/>
    </w:rPr>
  </w:style>
  <w:style w:type="paragraph" w:customStyle="1" w:styleId="16">
    <w:name w:val="_00000000-0000-0000-0000-000000000001_"/>
    <w:qFormat/>
    <w:uiPriority w:val="0"/>
    <w:pPr>
      <w:widowControl w:val="0"/>
      <w:autoSpaceDE w:val="0"/>
      <w:autoSpaceDN w:val="0"/>
      <w:adjustRightInd w:val="0"/>
      <w:spacing w:line="360" w:lineRule="auto"/>
    </w:pPr>
    <w:rPr>
      <w:rFonts w:ascii="Verdana" w:hAnsi="Verdana" w:eastAsia="等线" w:cs="Times New Roman"/>
      <w:kern w:val="0"/>
      <w:sz w:val="24"/>
      <w:szCs w:val="24"/>
      <w:lang w:val="en-US" w:eastAsia="zh-CN" w:bidi="ar-SA"/>
    </w:rPr>
  </w:style>
  <w:style w:type="character" w:customStyle="1" w:styleId="17">
    <w:name w:val="批注框文本 Char"/>
    <w:basedOn w:val="8"/>
    <w:link w:val="4"/>
    <w:semiHidden/>
    <w:qFormat/>
    <w:uiPriority w:val="99"/>
    <w:rPr>
      <w:rFonts w:ascii="Times New Roman" w:hAnsi="Times New Roman" w:eastAsia="宋体" w:cs="Times New Roman"/>
      <w:sz w:val="18"/>
      <w:szCs w:val="18"/>
    </w:rPr>
  </w:style>
  <w:style w:type="character" w:customStyle="1" w:styleId="18">
    <w:name w:val="标题 2 Char"/>
    <w:basedOn w:val="8"/>
    <w:link w:val="3"/>
    <w:semiHidden/>
    <w:qFormat/>
    <w:uiPriority w:val="9"/>
    <w:rPr>
      <w:rFonts w:asciiTheme="majorHAnsi" w:hAnsiTheme="majorHAnsi" w:eastAsiaTheme="majorEastAsia" w:cstheme="majorBidi"/>
      <w:b/>
      <w:bCs/>
      <w:sz w:val="32"/>
      <w:szCs w:val="32"/>
    </w:rPr>
  </w:style>
  <w:style w:type="paragraph" w:customStyle="1" w:styleId="19">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9"/>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A7FDCB-0D60-4D64-BA25-3E9575C202B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186</Words>
  <Characters>1065</Characters>
  <Lines>8</Lines>
  <Paragraphs>2</Paragraphs>
  <TotalTime>424</TotalTime>
  <ScaleCrop>false</ScaleCrop>
  <LinksUpToDate>false</LinksUpToDate>
  <CharactersWithSpaces>1249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2023-03-07T00:49:00Z</dcterms:created>
  <dc:creator>Administrator</dc:creator>
  <cp:lastModifiedBy>flow</cp:lastModifiedBy>
  <cp:lastPrinted>2023-05-31T08:30:00Z</cp:lastPrinted>
  <dcterms:modified xsi:type="dcterms:W3CDTF">2023-12-06T08:02:09Z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607FC953B0FE46C398B213164AC68643_13</vt:lpwstr>
  </property>
</Properties>
</file>