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eastAsiaTheme="minorEastAsia"/>
          <w:sz w:val="28"/>
          <w:lang w:val="en-US" w:eastAsia="zh-CN"/>
        </w:rPr>
      </w:pPr>
      <w:r>
        <w:rPr>
          <w:rFonts w:hint="eastAsia"/>
          <w:sz w:val="28"/>
        </w:rPr>
        <w:t>成果登记信息表</w:t>
      </w:r>
      <w:r>
        <w:rPr>
          <w:rFonts w:hint="eastAsia"/>
          <w:sz w:val="28"/>
          <w:lang w:val="en-US" w:eastAsia="zh-CN"/>
        </w:rPr>
        <w:t>1</w:t>
      </w:r>
    </w:p>
    <w:tbl>
      <w:tblPr>
        <w:tblStyle w:val="5"/>
        <w:tblW w:w="1518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02"/>
        <w:gridCol w:w="133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802" w:type="dxa"/>
            <w:noWrap/>
            <w:vAlign w:val="center"/>
          </w:tcPr>
          <w:p>
            <w:pPr>
              <w:widowControl/>
              <w:jc w:val="center"/>
              <w:rPr>
                <w:rFonts w:ascii="Arial" w:hAnsi="Arial" w:eastAsia="宋体" w:cs="Arial"/>
                <w:b/>
                <w:bCs/>
                <w:kern w:val="0"/>
                <w:sz w:val="20"/>
                <w:szCs w:val="20"/>
              </w:rPr>
            </w:pPr>
            <w:r>
              <w:rPr>
                <w:rFonts w:ascii="Arial" w:hAnsi="Arial" w:eastAsia="宋体" w:cs="Arial"/>
                <w:b/>
                <w:bCs/>
                <w:kern w:val="0"/>
                <w:sz w:val="20"/>
                <w:szCs w:val="20"/>
              </w:rPr>
              <w:t>成果名称：</w:t>
            </w:r>
          </w:p>
        </w:tc>
        <w:tc>
          <w:tcPr>
            <w:tcW w:w="13379" w:type="dxa"/>
            <w:noWrap/>
          </w:tcPr>
          <w:p>
            <w:pPr>
              <w:jc w:val="left"/>
              <w:rPr>
                <w:rFonts w:ascii="Arial" w:hAnsi="Arial" w:eastAsia="宋体" w:cs="Arial"/>
                <w:sz w:val="20"/>
                <w:szCs w:val="20"/>
              </w:rPr>
            </w:pPr>
            <w:r>
              <w:rPr>
                <w:rFonts w:hint="eastAsia" w:ascii="Arial" w:hAnsi="Arial" w:cs="Arial"/>
                <w:sz w:val="20"/>
                <w:szCs w:val="20"/>
              </w:rPr>
              <w:t>嘉宝果的引种和高效栽培技术研究与示范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802" w:type="dxa"/>
            <w:noWrap/>
            <w:vAlign w:val="center"/>
          </w:tcPr>
          <w:p>
            <w:pPr>
              <w:widowControl/>
              <w:jc w:val="center"/>
              <w:rPr>
                <w:rFonts w:ascii="Arial" w:hAnsi="Arial" w:eastAsia="宋体" w:cs="Arial"/>
                <w:b/>
                <w:bCs/>
                <w:kern w:val="0"/>
                <w:sz w:val="20"/>
                <w:szCs w:val="20"/>
              </w:rPr>
            </w:pPr>
            <w:r>
              <w:rPr>
                <w:rFonts w:ascii="Arial" w:hAnsi="Arial" w:eastAsia="宋体" w:cs="Arial"/>
                <w:b/>
                <w:bCs/>
                <w:kern w:val="0"/>
                <w:sz w:val="20"/>
                <w:szCs w:val="20"/>
              </w:rPr>
              <w:t>登记日期：</w:t>
            </w:r>
          </w:p>
        </w:tc>
        <w:tc>
          <w:tcPr>
            <w:tcW w:w="13379" w:type="dxa"/>
            <w:noWrap/>
            <w:vAlign w:val="center"/>
          </w:tcPr>
          <w:p>
            <w:pPr>
              <w:jc w:val="left"/>
              <w:rPr>
                <w:rFonts w:hint="default" w:ascii="Arial" w:hAnsi="Arial" w:cs="Arial"/>
                <w:sz w:val="20"/>
                <w:szCs w:val="20"/>
                <w:lang w:val="en-US" w:eastAsia="zh-CN"/>
              </w:rPr>
            </w:pPr>
            <w:r>
              <w:rPr>
                <w:rFonts w:hint="eastAsia" w:ascii="Arial" w:hAnsi="Arial" w:cs="Arial"/>
                <w:sz w:val="20"/>
                <w:szCs w:val="20"/>
                <w:lang w:val="en-US" w:eastAsia="zh-CN"/>
              </w:rPr>
              <w:t>2024-06-06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802" w:type="dxa"/>
            <w:noWrap/>
            <w:vAlign w:val="center"/>
          </w:tcPr>
          <w:p>
            <w:pPr>
              <w:widowControl/>
              <w:jc w:val="center"/>
              <w:rPr>
                <w:rFonts w:ascii="Arial" w:hAnsi="Arial" w:eastAsia="宋体" w:cs="Arial"/>
                <w:b/>
                <w:bCs/>
                <w:kern w:val="0"/>
                <w:sz w:val="20"/>
                <w:szCs w:val="20"/>
              </w:rPr>
            </w:pPr>
            <w:r>
              <w:rPr>
                <w:rFonts w:ascii="Arial" w:hAnsi="Arial" w:eastAsia="宋体" w:cs="Arial"/>
                <w:b/>
                <w:bCs/>
                <w:kern w:val="0"/>
                <w:sz w:val="20"/>
                <w:szCs w:val="20"/>
              </w:rPr>
              <w:t>完成单位：</w:t>
            </w:r>
          </w:p>
        </w:tc>
        <w:tc>
          <w:tcPr>
            <w:tcW w:w="13379" w:type="dxa"/>
            <w:vAlign w:val="center"/>
          </w:tcPr>
          <w:p>
            <w:pPr>
              <w:jc w:val="left"/>
              <w:rPr>
                <w:rFonts w:hint="eastAsia" w:ascii="Arial" w:hAnsi="Arial" w:cs="Arial"/>
                <w:sz w:val="20"/>
                <w:szCs w:val="20"/>
              </w:rPr>
            </w:pPr>
            <w:r>
              <w:rPr>
                <w:rFonts w:hint="eastAsia" w:ascii="Arial" w:hAnsi="Arial" w:cs="Arial"/>
                <w:sz w:val="20"/>
                <w:szCs w:val="20"/>
                <w:lang w:val="en-US" w:eastAsia="zh-CN"/>
              </w:rPr>
              <w:t>广东口明塘生态农业发展有限公司,梅州市农林科学院蔬菜研究所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802" w:type="dxa"/>
            <w:noWrap/>
            <w:vAlign w:val="center"/>
          </w:tcPr>
          <w:p>
            <w:pPr>
              <w:widowControl/>
              <w:jc w:val="center"/>
              <w:rPr>
                <w:rFonts w:ascii="Arial" w:hAnsi="Arial" w:eastAsia="宋体" w:cs="Arial"/>
                <w:b/>
                <w:bCs/>
                <w:kern w:val="0"/>
                <w:sz w:val="20"/>
                <w:szCs w:val="20"/>
              </w:rPr>
            </w:pPr>
            <w:r>
              <w:rPr>
                <w:rFonts w:ascii="Arial" w:hAnsi="Arial" w:eastAsia="宋体" w:cs="Arial"/>
                <w:b/>
                <w:bCs/>
                <w:kern w:val="0"/>
                <w:sz w:val="20"/>
                <w:szCs w:val="20"/>
              </w:rPr>
              <w:t>完成人员：</w:t>
            </w:r>
          </w:p>
        </w:tc>
        <w:tc>
          <w:tcPr>
            <w:tcW w:w="13379" w:type="dxa"/>
            <w:vAlign w:val="center"/>
          </w:tcPr>
          <w:p>
            <w:pPr>
              <w:jc w:val="left"/>
              <w:rPr>
                <w:rFonts w:hint="eastAsia" w:ascii="Arial" w:hAnsi="Arial" w:cs="Arial"/>
                <w:sz w:val="20"/>
                <w:szCs w:val="20"/>
              </w:rPr>
            </w:pPr>
            <w:r>
              <w:rPr>
                <w:rFonts w:hint="eastAsia" w:ascii="Arial" w:hAnsi="Arial" w:cs="Arial"/>
                <w:sz w:val="20"/>
                <w:szCs w:val="20"/>
                <w:lang w:val="en-US" w:eastAsia="zh-CN"/>
              </w:rPr>
              <w:t>林育炯，郑焕明，张贺云，林碧青，张晓艳，黄新红，曾小斌，邹妍，孔伟乐，刘敏，姚冬梅，黄柳枝，钟淑娟，谢剑萍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802" w:type="dxa"/>
            <w:noWrap/>
            <w:vAlign w:val="center"/>
          </w:tcPr>
          <w:p>
            <w:pPr>
              <w:widowControl/>
              <w:jc w:val="center"/>
              <w:rPr>
                <w:rFonts w:ascii="Arial" w:hAnsi="Arial" w:eastAsia="宋体" w:cs="Arial"/>
                <w:b/>
                <w:bCs/>
                <w:kern w:val="0"/>
                <w:sz w:val="20"/>
                <w:szCs w:val="20"/>
              </w:rPr>
            </w:pPr>
            <w:r>
              <w:rPr>
                <w:rFonts w:ascii="Arial" w:hAnsi="Arial" w:eastAsia="宋体" w:cs="Arial"/>
                <w:b/>
                <w:bCs/>
                <w:kern w:val="0"/>
                <w:sz w:val="20"/>
                <w:szCs w:val="20"/>
              </w:rPr>
              <w:t>研究起止日期：</w:t>
            </w:r>
          </w:p>
        </w:tc>
        <w:tc>
          <w:tcPr>
            <w:tcW w:w="13379" w:type="dxa"/>
            <w:noWrap/>
            <w:vAlign w:val="center"/>
          </w:tcPr>
          <w:p>
            <w:pPr>
              <w:jc w:val="left"/>
              <w:rPr>
                <w:rFonts w:hint="eastAsia" w:ascii="Arial" w:hAnsi="Arial" w:cs="Arial"/>
                <w:sz w:val="20"/>
                <w:szCs w:val="20"/>
              </w:rPr>
            </w:pPr>
            <w:r>
              <w:rPr>
                <w:rFonts w:hint="eastAsia" w:ascii="Arial" w:hAnsi="Arial" w:cs="Arial"/>
                <w:sz w:val="20"/>
                <w:szCs w:val="20"/>
                <w:lang w:val="en-US" w:eastAsia="zh-CN"/>
              </w:rPr>
              <w:t>2013-01-01至2023-12-31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802" w:type="dxa"/>
            <w:noWrap/>
            <w:vAlign w:val="center"/>
          </w:tcPr>
          <w:p>
            <w:pPr>
              <w:widowControl/>
              <w:jc w:val="center"/>
              <w:rPr>
                <w:rFonts w:ascii="Arial" w:hAnsi="Arial" w:eastAsia="宋体" w:cs="Arial"/>
                <w:b/>
                <w:bCs/>
                <w:kern w:val="0"/>
                <w:sz w:val="20"/>
                <w:szCs w:val="20"/>
              </w:rPr>
            </w:pPr>
            <w:r>
              <w:rPr>
                <w:rFonts w:ascii="Arial" w:hAnsi="Arial" w:eastAsia="宋体" w:cs="Arial"/>
                <w:b/>
                <w:bCs/>
                <w:kern w:val="0"/>
                <w:sz w:val="20"/>
                <w:szCs w:val="20"/>
              </w:rPr>
              <w:t>主要应用行业：</w:t>
            </w:r>
          </w:p>
        </w:tc>
        <w:tc>
          <w:tcPr>
            <w:tcW w:w="13379" w:type="dxa"/>
            <w:noWrap/>
            <w:vAlign w:val="center"/>
          </w:tcPr>
          <w:p>
            <w:pPr>
              <w:jc w:val="left"/>
              <w:rPr>
                <w:rFonts w:hint="eastAsia" w:ascii="Arial" w:hAnsi="Arial" w:cs="Arial"/>
                <w:sz w:val="20"/>
                <w:szCs w:val="20"/>
                <w:lang w:eastAsia="zh-CN"/>
              </w:rPr>
            </w:pPr>
            <w:r>
              <w:rPr>
                <w:rFonts w:hint="eastAsia" w:ascii="Arial" w:hAnsi="Arial" w:cs="Arial"/>
                <w:sz w:val="20"/>
                <w:szCs w:val="20"/>
                <w:lang w:val="en-US" w:eastAsia="zh-CN"/>
              </w:rPr>
              <w:t>农、林、牧、渔业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802" w:type="dxa"/>
            <w:noWrap/>
            <w:vAlign w:val="center"/>
          </w:tcPr>
          <w:p>
            <w:pPr>
              <w:widowControl/>
              <w:jc w:val="center"/>
              <w:rPr>
                <w:rFonts w:ascii="Arial" w:hAnsi="Arial" w:eastAsia="宋体" w:cs="Arial"/>
                <w:b/>
                <w:bCs/>
                <w:kern w:val="0"/>
                <w:sz w:val="20"/>
                <w:szCs w:val="20"/>
              </w:rPr>
            </w:pPr>
            <w:r>
              <w:rPr>
                <w:rFonts w:hint="eastAsia" w:ascii="Arial" w:hAnsi="Arial" w:eastAsia="宋体" w:cs="Arial"/>
                <w:b/>
                <w:bCs/>
                <w:kern w:val="0"/>
                <w:sz w:val="20"/>
                <w:szCs w:val="20"/>
                <w:lang w:eastAsia="zh-CN"/>
              </w:rPr>
              <w:t>高新技术领域</w:t>
            </w:r>
            <w:r>
              <w:rPr>
                <w:rFonts w:ascii="Arial" w:hAnsi="Arial" w:eastAsia="宋体" w:cs="Arial"/>
                <w:b/>
                <w:bCs/>
                <w:kern w:val="0"/>
                <w:sz w:val="20"/>
                <w:szCs w:val="20"/>
              </w:rPr>
              <w:t>：</w:t>
            </w:r>
          </w:p>
        </w:tc>
        <w:tc>
          <w:tcPr>
            <w:tcW w:w="13379" w:type="dxa"/>
            <w:noWrap/>
            <w:vAlign w:val="center"/>
          </w:tcPr>
          <w:p>
            <w:pPr>
              <w:jc w:val="left"/>
              <w:rPr>
                <w:rFonts w:hint="eastAsia" w:ascii="Arial" w:hAnsi="Arial" w:cs="Arial"/>
                <w:sz w:val="20"/>
                <w:szCs w:val="20"/>
                <w:lang w:eastAsia="zh-CN"/>
              </w:rPr>
            </w:pPr>
            <w:r>
              <w:rPr>
                <w:rFonts w:hint="eastAsia" w:ascii="Arial" w:hAnsi="Arial" w:cs="Arial"/>
                <w:sz w:val="20"/>
                <w:szCs w:val="20"/>
                <w:lang w:val="en-US" w:eastAsia="zh-CN"/>
              </w:rPr>
              <w:t>现代农业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802" w:type="dxa"/>
            <w:noWrap/>
            <w:vAlign w:val="center"/>
          </w:tcPr>
          <w:p>
            <w:pPr>
              <w:widowControl/>
              <w:jc w:val="center"/>
              <w:rPr>
                <w:rFonts w:ascii="Arial" w:hAnsi="Arial" w:eastAsia="宋体" w:cs="Arial"/>
                <w:b/>
                <w:bCs/>
                <w:kern w:val="0"/>
                <w:sz w:val="20"/>
                <w:szCs w:val="20"/>
              </w:rPr>
            </w:pPr>
            <w:r>
              <w:rPr>
                <w:rFonts w:ascii="Arial" w:hAnsi="Arial" w:eastAsia="宋体" w:cs="Arial"/>
                <w:b/>
                <w:bCs/>
                <w:kern w:val="0"/>
                <w:sz w:val="20"/>
                <w:szCs w:val="20"/>
              </w:rPr>
              <w:t>评价单位：</w:t>
            </w:r>
          </w:p>
        </w:tc>
        <w:tc>
          <w:tcPr>
            <w:tcW w:w="13379" w:type="dxa"/>
            <w:noWrap/>
            <w:vAlign w:val="center"/>
          </w:tcPr>
          <w:p>
            <w:pPr>
              <w:jc w:val="left"/>
              <w:rPr>
                <w:rFonts w:hint="eastAsia" w:ascii="Arial" w:hAnsi="Arial" w:cs="Arial"/>
                <w:sz w:val="20"/>
                <w:szCs w:val="20"/>
              </w:rPr>
            </w:pPr>
            <w:r>
              <w:rPr>
                <w:rFonts w:hint="eastAsia" w:ascii="Arial" w:hAnsi="Arial" w:cs="Arial"/>
                <w:sz w:val="20"/>
                <w:szCs w:val="20"/>
                <w:lang w:val="en-US" w:eastAsia="zh-CN"/>
              </w:rPr>
              <w:t>梅州市客都特产协会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802" w:type="dxa"/>
            <w:noWrap/>
            <w:vAlign w:val="center"/>
          </w:tcPr>
          <w:p>
            <w:pPr>
              <w:widowControl/>
              <w:jc w:val="center"/>
              <w:rPr>
                <w:rFonts w:ascii="Arial" w:hAnsi="Arial" w:eastAsia="宋体" w:cs="Arial"/>
                <w:b/>
                <w:bCs/>
                <w:kern w:val="0"/>
                <w:sz w:val="20"/>
                <w:szCs w:val="20"/>
              </w:rPr>
            </w:pPr>
            <w:r>
              <w:rPr>
                <w:rFonts w:ascii="Arial" w:hAnsi="Arial" w:eastAsia="宋体" w:cs="Arial"/>
                <w:b/>
                <w:bCs/>
                <w:kern w:val="0"/>
                <w:sz w:val="20"/>
                <w:szCs w:val="20"/>
              </w:rPr>
              <w:t>评价日期：</w:t>
            </w:r>
          </w:p>
        </w:tc>
        <w:tc>
          <w:tcPr>
            <w:tcW w:w="13379" w:type="dxa"/>
            <w:noWrap/>
            <w:vAlign w:val="center"/>
          </w:tcPr>
          <w:p>
            <w:pPr>
              <w:jc w:val="left"/>
              <w:rPr>
                <w:rFonts w:hint="eastAsia" w:ascii="Arial" w:hAnsi="Arial" w:cs="Arial"/>
                <w:sz w:val="20"/>
                <w:szCs w:val="20"/>
              </w:rPr>
            </w:pPr>
            <w:r>
              <w:rPr>
                <w:rFonts w:hint="eastAsia" w:ascii="Arial" w:hAnsi="Arial" w:cs="Arial"/>
                <w:sz w:val="20"/>
                <w:szCs w:val="20"/>
                <w:lang w:val="en-US" w:eastAsia="zh-CN"/>
              </w:rPr>
              <w:t>2024-05-21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8" w:hRule="atLeast"/>
        </w:trPr>
        <w:tc>
          <w:tcPr>
            <w:tcW w:w="1802" w:type="dxa"/>
            <w:noWrap/>
            <w:vAlign w:val="center"/>
          </w:tcPr>
          <w:p>
            <w:pPr>
              <w:widowControl/>
              <w:jc w:val="center"/>
              <w:rPr>
                <w:rFonts w:ascii="Arial" w:hAnsi="Arial" w:eastAsia="宋体" w:cs="Arial"/>
                <w:b/>
                <w:bCs/>
                <w:kern w:val="0"/>
                <w:sz w:val="20"/>
                <w:szCs w:val="20"/>
              </w:rPr>
            </w:pPr>
            <w:r>
              <w:rPr>
                <w:rFonts w:ascii="Arial" w:hAnsi="Arial" w:eastAsia="宋体" w:cs="Arial"/>
                <w:b/>
                <w:bCs/>
                <w:kern w:val="0"/>
                <w:sz w:val="20"/>
                <w:szCs w:val="20"/>
              </w:rPr>
              <w:t>成果简介：</w:t>
            </w:r>
          </w:p>
        </w:tc>
        <w:tc>
          <w:tcPr>
            <w:tcW w:w="13379" w:type="dxa"/>
          </w:tcPr>
          <w:p>
            <w:pPr>
              <w:jc w:val="left"/>
              <w:rPr>
                <w:rFonts w:hint="eastAsia" w:ascii="Arial" w:hAnsi="Arial" w:cs="Arial"/>
                <w:sz w:val="20"/>
                <w:szCs w:val="20"/>
              </w:rPr>
            </w:pPr>
            <w:r>
              <w:rPr>
                <w:rFonts w:hint="eastAsia" w:asciiTheme="minorEastAsia" w:hAnsiTheme="minorEastAsia" w:eastAsiaTheme="minorEastAsia" w:cstheme="minorEastAsia"/>
                <w:sz w:val="20"/>
                <w:szCs w:val="20"/>
              </w:rPr>
              <w:t>1、成果简介 嘉宝果为桃金娘科拟香桃木属常绿小乔木或灌木，其树形优美，果实长在树干上，因果实外形长似葡萄，故又名“树葡萄”。一年可多次结果，呈现花中有果，果中有花的奇特现象，具有较高的园林观赏价值。嘉宝果除了鲜食，还可制作成果汁、果酱、果酒等营养保健品，深受消费者喜爱，市场前景广阔。 为解决梅州嘉宝果产业存在的问题，在梅州进行嘉宝果新品种的引进和筛选，筛选出优质嘉宝果品种，解决了嘉宝果品种选用不当，造成嘉宝果口感差，销售困难等问题；不少种植基地出现嘉宝果繁苗困难，初挂果时间长，投入成本高等问题，通过集成嘉宝果品种选择、育苗、栽培管理等系列配套技术，建立嘉宝果高效栽培技术，大大提高了嘉宝果的经济效益、社会和生态效益。 2、本技术成果的技术关键及达到的主要技术经济指标 （1）引进嘉宝果新品种，筛选出沙巴、福冈等优质嘉宝果品种，解决了不少种植基地出现嘉宝果品种选用不当，造成嘉宝果口感差，销售困难； （2）开展种苗技术研究，制定了以种子繁殖为主，嫁接苗为辅的繁殖方式，解决了嘉宝果种苗繁育困难，种苗价格贵等问题。 （3）研究出嘉宝果前期密植后期稀植的高效栽培技术模式，解决了嘉宝果生育期长，果园空间浪费严重等问题，降低了嘉宝果生产的成本，增加了嘉宝果产业的效益。 （4）通过建立山地储水设施，水肥一体化设备等，解决了旱季山地干旱的问题，提高了秋冬季嘉宝果的产量，并降低了施肥和浇水的生产管理成本。 （5）制定了嘉宝果栽培技术，提高了嘉宝果产量，促进了嘉宝果产业的快速健康发展。 （6）发表了项目相关研究论文2篇。</w:t>
            </w:r>
          </w:p>
        </w:tc>
      </w:tr>
    </w:tbl>
    <w:p>
      <w:pPr>
        <w:jc w:val="center"/>
        <w:rPr>
          <w:rFonts w:hint="eastAsia" w:eastAsiaTheme="minorEastAsia"/>
          <w:sz w:val="28"/>
          <w:lang w:val="en-US" w:eastAsia="zh-CN"/>
        </w:rPr>
      </w:pPr>
      <w:r>
        <w:rPr>
          <w:rFonts w:hint="eastAsia"/>
          <w:sz w:val="28"/>
        </w:rPr>
        <w:t>成果登记信息表</w:t>
      </w:r>
      <w:r>
        <w:rPr>
          <w:rFonts w:hint="eastAsia"/>
          <w:sz w:val="28"/>
          <w:lang w:val="en-US" w:eastAsia="zh-CN"/>
        </w:rPr>
        <w:t>2</w:t>
      </w:r>
    </w:p>
    <w:tbl>
      <w:tblPr>
        <w:tblStyle w:val="5"/>
        <w:tblW w:w="1518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02"/>
        <w:gridCol w:w="133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802" w:type="dxa"/>
            <w:noWrap/>
            <w:vAlign w:val="center"/>
          </w:tcPr>
          <w:p>
            <w:pPr>
              <w:widowControl/>
              <w:jc w:val="center"/>
              <w:rPr>
                <w:rFonts w:ascii="Arial" w:hAnsi="Arial" w:eastAsia="宋体" w:cs="Arial"/>
                <w:b/>
                <w:bCs/>
                <w:kern w:val="0"/>
                <w:sz w:val="20"/>
                <w:szCs w:val="20"/>
              </w:rPr>
            </w:pPr>
            <w:r>
              <w:rPr>
                <w:rFonts w:ascii="Arial" w:hAnsi="Arial" w:eastAsia="宋体" w:cs="Arial"/>
                <w:b/>
                <w:bCs/>
                <w:kern w:val="0"/>
                <w:sz w:val="20"/>
                <w:szCs w:val="20"/>
              </w:rPr>
              <w:t>成果名称：</w:t>
            </w:r>
          </w:p>
        </w:tc>
        <w:tc>
          <w:tcPr>
            <w:tcW w:w="13379" w:type="dxa"/>
            <w:noWrap/>
          </w:tcPr>
          <w:p>
            <w:pPr>
              <w:jc w:val="left"/>
              <w:rPr>
                <w:rFonts w:ascii="Arial" w:hAnsi="Arial" w:eastAsia="宋体" w:cs="Arial"/>
                <w:sz w:val="20"/>
                <w:szCs w:val="20"/>
              </w:rPr>
            </w:pPr>
            <w:r>
              <w:rPr>
                <w:rFonts w:hint="eastAsia" w:ascii="Arial" w:hAnsi="Arial" w:cs="Arial"/>
                <w:sz w:val="20"/>
                <w:szCs w:val="20"/>
              </w:rPr>
              <w:t>基于现代智能化气雾栽培设施的蜜玉甜瓜周年高效栽培技术研究与应用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802" w:type="dxa"/>
            <w:noWrap/>
            <w:vAlign w:val="center"/>
          </w:tcPr>
          <w:p>
            <w:pPr>
              <w:widowControl/>
              <w:jc w:val="center"/>
              <w:rPr>
                <w:rFonts w:ascii="Arial" w:hAnsi="Arial" w:eastAsia="宋体" w:cs="Arial"/>
                <w:b/>
                <w:bCs/>
                <w:kern w:val="0"/>
                <w:sz w:val="20"/>
                <w:szCs w:val="20"/>
              </w:rPr>
            </w:pPr>
            <w:r>
              <w:rPr>
                <w:rFonts w:ascii="Arial" w:hAnsi="Arial" w:eastAsia="宋体" w:cs="Arial"/>
                <w:b/>
                <w:bCs/>
                <w:kern w:val="0"/>
                <w:sz w:val="20"/>
                <w:szCs w:val="20"/>
              </w:rPr>
              <w:t>登记日期：</w:t>
            </w:r>
          </w:p>
        </w:tc>
        <w:tc>
          <w:tcPr>
            <w:tcW w:w="13379" w:type="dxa"/>
            <w:noWrap/>
            <w:vAlign w:val="center"/>
          </w:tcPr>
          <w:p>
            <w:pPr>
              <w:jc w:val="left"/>
              <w:rPr>
                <w:rFonts w:hint="default" w:ascii="Arial" w:hAnsi="Arial" w:cs="Arial"/>
                <w:sz w:val="20"/>
                <w:szCs w:val="20"/>
                <w:lang w:val="en-US" w:eastAsia="zh-CN"/>
              </w:rPr>
            </w:pPr>
            <w:r>
              <w:rPr>
                <w:rFonts w:hint="eastAsia" w:ascii="Arial" w:hAnsi="Arial" w:cs="Arial"/>
                <w:sz w:val="20"/>
                <w:szCs w:val="20"/>
                <w:lang w:val="en-US" w:eastAsia="zh-CN"/>
              </w:rPr>
              <w:t>2024-06-08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802" w:type="dxa"/>
            <w:noWrap/>
            <w:vAlign w:val="center"/>
          </w:tcPr>
          <w:p>
            <w:pPr>
              <w:widowControl/>
              <w:jc w:val="center"/>
              <w:rPr>
                <w:rFonts w:ascii="Arial" w:hAnsi="Arial" w:eastAsia="宋体" w:cs="Arial"/>
                <w:b/>
                <w:bCs/>
                <w:kern w:val="0"/>
                <w:sz w:val="20"/>
                <w:szCs w:val="20"/>
              </w:rPr>
            </w:pPr>
            <w:r>
              <w:rPr>
                <w:rFonts w:ascii="Arial" w:hAnsi="Arial" w:eastAsia="宋体" w:cs="Arial"/>
                <w:b/>
                <w:bCs/>
                <w:kern w:val="0"/>
                <w:sz w:val="20"/>
                <w:szCs w:val="20"/>
              </w:rPr>
              <w:t>完成单位：</w:t>
            </w:r>
          </w:p>
        </w:tc>
        <w:tc>
          <w:tcPr>
            <w:tcW w:w="13379" w:type="dxa"/>
            <w:vAlign w:val="center"/>
          </w:tcPr>
          <w:p>
            <w:pPr>
              <w:jc w:val="left"/>
              <w:rPr>
                <w:rFonts w:hint="eastAsia" w:ascii="Arial" w:hAnsi="Arial" w:cs="Arial"/>
                <w:sz w:val="20"/>
                <w:szCs w:val="20"/>
              </w:rPr>
            </w:pPr>
            <w:r>
              <w:rPr>
                <w:rFonts w:hint="eastAsia" w:ascii="Arial" w:hAnsi="Arial" w:cs="Arial"/>
                <w:sz w:val="20"/>
                <w:szCs w:val="20"/>
                <w:lang w:val="en-US" w:eastAsia="zh-CN"/>
              </w:rPr>
              <w:t>梅州市农林科学院蔬菜研究所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802" w:type="dxa"/>
            <w:noWrap/>
            <w:vAlign w:val="center"/>
          </w:tcPr>
          <w:p>
            <w:pPr>
              <w:widowControl/>
              <w:jc w:val="center"/>
              <w:rPr>
                <w:rFonts w:ascii="Arial" w:hAnsi="Arial" w:eastAsia="宋体" w:cs="Arial"/>
                <w:b/>
                <w:bCs/>
                <w:kern w:val="0"/>
                <w:sz w:val="20"/>
                <w:szCs w:val="20"/>
              </w:rPr>
            </w:pPr>
            <w:r>
              <w:rPr>
                <w:rFonts w:ascii="Arial" w:hAnsi="Arial" w:eastAsia="宋体" w:cs="Arial"/>
                <w:b/>
                <w:bCs/>
                <w:kern w:val="0"/>
                <w:sz w:val="20"/>
                <w:szCs w:val="20"/>
              </w:rPr>
              <w:t>完成人员：</w:t>
            </w:r>
          </w:p>
        </w:tc>
        <w:tc>
          <w:tcPr>
            <w:tcW w:w="13379" w:type="dxa"/>
            <w:vAlign w:val="center"/>
          </w:tcPr>
          <w:p>
            <w:pPr>
              <w:jc w:val="left"/>
              <w:rPr>
                <w:rFonts w:hint="eastAsia" w:ascii="Arial" w:hAnsi="Arial" w:cs="Arial"/>
                <w:sz w:val="20"/>
                <w:szCs w:val="20"/>
              </w:rPr>
            </w:pPr>
            <w:r>
              <w:rPr>
                <w:rFonts w:hint="eastAsia" w:ascii="Arial" w:hAnsi="Arial" w:cs="Arial"/>
                <w:sz w:val="20"/>
                <w:szCs w:val="20"/>
                <w:lang w:val="en-US" w:eastAsia="zh-CN"/>
              </w:rPr>
              <w:t>张雄基，张立舒，叶希，张贺云，甘楚生，刘国辉，甘亿雄，曾命彬，林育炯，张晓艳，邹妍，曾小斌，罗永娟，李秀明，温徳琦，谢剑萍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802" w:type="dxa"/>
            <w:noWrap/>
            <w:vAlign w:val="center"/>
          </w:tcPr>
          <w:p>
            <w:pPr>
              <w:widowControl/>
              <w:jc w:val="center"/>
              <w:rPr>
                <w:rFonts w:ascii="Arial" w:hAnsi="Arial" w:eastAsia="宋体" w:cs="Arial"/>
                <w:b/>
                <w:bCs/>
                <w:kern w:val="0"/>
                <w:sz w:val="20"/>
                <w:szCs w:val="20"/>
              </w:rPr>
            </w:pPr>
            <w:r>
              <w:rPr>
                <w:rFonts w:ascii="Arial" w:hAnsi="Arial" w:eastAsia="宋体" w:cs="Arial"/>
                <w:b/>
                <w:bCs/>
                <w:kern w:val="0"/>
                <w:sz w:val="20"/>
                <w:szCs w:val="20"/>
              </w:rPr>
              <w:t>研究起止日期：</w:t>
            </w:r>
          </w:p>
        </w:tc>
        <w:tc>
          <w:tcPr>
            <w:tcW w:w="13379" w:type="dxa"/>
            <w:noWrap/>
            <w:vAlign w:val="center"/>
          </w:tcPr>
          <w:p>
            <w:pPr>
              <w:jc w:val="left"/>
              <w:rPr>
                <w:rFonts w:hint="eastAsia" w:ascii="Arial" w:hAnsi="Arial" w:cs="Arial"/>
                <w:sz w:val="20"/>
                <w:szCs w:val="20"/>
              </w:rPr>
            </w:pPr>
            <w:r>
              <w:rPr>
                <w:rFonts w:hint="eastAsia" w:ascii="Arial" w:hAnsi="Arial" w:cs="Arial"/>
                <w:sz w:val="20"/>
                <w:szCs w:val="20"/>
                <w:lang w:val="en-US" w:eastAsia="zh-CN"/>
              </w:rPr>
              <w:t>2019-01-01至2024-03-25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802" w:type="dxa"/>
            <w:noWrap/>
            <w:vAlign w:val="center"/>
          </w:tcPr>
          <w:p>
            <w:pPr>
              <w:widowControl/>
              <w:jc w:val="center"/>
              <w:rPr>
                <w:rFonts w:ascii="Arial" w:hAnsi="Arial" w:eastAsia="宋体" w:cs="Arial"/>
                <w:b/>
                <w:bCs/>
                <w:kern w:val="0"/>
                <w:sz w:val="20"/>
                <w:szCs w:val="20"/>
              </w:rPr>
            </w:pPr>
            <w:r>
              <w:rPr>
                <w:rFonts w:ascii="Arial" w:hAnsi="Arial" w:eastAsia="宋体" w:cs="Arial"/>
                <w:b/>
                <w:bCs/>
                <w:kern w:val="0"/>
                <w:sz w:val="20"/>
                <w:szCs w:val="20"/>
              </w:rPr>
              <w:t>主要应用行业：</w:t>
            </w:r>
          </w:p>
        </w:tc>
        <w:tc>
          <w:tcPr>
            <w:tcW w:w="13379" w:type="dxa"/>
            <w:noWrap/>
            <w:vAlign w:val="center"/>
          </w:tcPr>
          <w:p>
            <w:pPr>
              <w:jc w:val="left"/>
              <w:rPr>
                <w:rFonts w:hint="eastAsia" w:ascii="Arial" w:hAnsi="Arial" w:cs="Arial"/>
                <w:sz w:val="20"/>
                <w:szCs w:val="20"/>
                <w:lang w:eastAsia="zh-CN"/>
              </w:rPr>
            </w:pPr>
            <w:r>
              <w:rPr>
                <w:rFonts w:hint="eastAsia" w:ascii="Arial" w:hAnsi="Arial" w:cs="Arial"/>
                <w:sz w:val="20"/>
                <w:szCs w:val="20"/>
                <w:lang w:val="en-US" w:eastAsia="zh-CN"/>
              </w:rPr>
              <w:t>农、林、牧、渔业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802" w:type="dxa"/>
            <w:noWrap/>
            <w:vAlign w:val="center"/>
          </w:tcPr>
          <w:p>
            <w:pPr>
              <w:widowControl/>
              <w:jc w:val="center"/>
              <w:rPr>
                <w:rFonts w:ascii="Arial" w:hAnsi="Arial" w:eastAsia="宋体" w:cs="Arial"/>
                <w:b/>
                <w:bCs/>
                <w:kern w:val="0"/>
                <w:sz w:val="20"/>
                <w:szCs w:val="20"/>
              </w:rPr>
            </w:pPr>
            <w:r>
              <w:rPr>
                <w:rFonts w:hint="eastAsia" w:ascii="Arial" w:hAnsi="Arial" w:eastAsia="宋体" w:cs="Arial"/>
                <w:b/>
                <w:bCs/>
                <w:kern w:val="0"/>
                <w:sz w:val="20"/>
                <w:szCs w:val="20"/>
                <w:lang w:eastAsia="zh-CN"/>
              </w:rPr>
              <w:t>高新技术领域</w:t>
            </w:r>
            <w:r>
              <w:rPr>
                <w:rFonts w:ascii="Arial" w:hAnsi="Arial" w:eastAsia="宋体" w:cs="Arial"/>
                <w:b/>
                <w:bCs/>
                <w:kern w:val="0"/>
                <w:sz w:val="20"/>
                <w:szCs w:val="20"/>
              </w:rPr>
              <w:t>：</w:t>
            </w:r>
          </w:p>
        </w:tc>
        <w:tc>
          <w:tcPr>
            <w:tcW w:w="13379" w:type="dxa"/>
            <w:noWrap/>
            <w:vAlign w:val="center"/>
          </w:tcPr>
          <w:p>
            <w:pPr>
              <w:jc w:val="left"/>
              <w:rPr>
                <w:rFonts w:hint="eastAsia" w:ascii="Arial" w:hAnsi="Arial" w:cs="Arial"/>
                <w:sz w:val="20"/>
                <w:szCs w:val="20"/>
                <w:lang w:eastAsia="zh-CN"/>
              </w:rPr>
            </w:pPr>
            <w:r>
              <w:rPr>
                <w:rFonts w:hint="eastAsia" w:ascii="Arial" w:hAnsi="Arial" w:cs="Arial"/>
                <w:sz w:val="20"/>
                <w:szCs w:val="20"/>
                <w:lang w:val="en-US" w:eastAsia="zh-CN"/>
              </w:rPr>
              <w:t>现代农业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 w:hRule="atLeast"/>
        </w:trPr>
        <w:tc>
          <w:tcPr>
            <w:tcW w:w="1802" w:type="dxa"/>
            <w:noWrap/>
            <w:vAlign w:val="center"/>
          </w:tcPr>
          <w:p>
            <w:pPr>
              <w:widowControl/>
              <w:jc w:val="center"/>
              <w:rPr>
                <w:rFonts w:ascii="Arial" w:hAnsi="Arial" w:eastAsia="宋体" w:cs="Arial"/>
                <w:b/>
                <w:bCs/>
                <w:kern w:val="0"/>
                <w:sz w:val="20"/>
                <w:szCs w:val="20"/>
              </w:rPr>
            </w:pPr>
            <w:r>
              <w:rPr>
                <w:rFonts w:ascii="Arial" w:hAnsi="Arial" w:eastAsia="宋体" w:cs="Arial"/>
                <w:b/>
                <w:bCs/>
                <w:kern w:val="0"/>
                <w:sz w:val="20"/>
                <w:szCs w:val="20"/>
              </w:rPr>
              <w:t>评价单位：</w:t>
            </w:r>
          </w:p>
        </w:tc>
        <w:tc>
          <w:tcPr>
            <w:tcW w:w="13379" w:type="dxa"/>
            <w:noWrap/>
            <w:vAlign w:val="center"/>
          </w:tcPr>
          <w:p>
            <w:pPr>
              <w:jc w:val="left"/>
              <w:rPr>
                <w:rFonts w:hint="eastAsia" w:ascii="Arial" w:hAnsi="Arial" w:cs="Arial"/>
                <w:sz w:val="20"/>
                <w:szCs w:val="20"/>
              </w:rPr>
            </w:pPr>
            <w:r>
              <w:rPr>
                <w:rFonts w:hint="eastAsia" w:ascii="Arial" w:hAnsi="Arial" w:cs="Arial"/>
                <w:sz w:val="20"/>
                <w:szCs w:val="20"/>
                <w:lang w:val="en-US" w:eastAsia="zh-CN"/>
              </w:rPr>
              <w:t>梅州市蔬菜协会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802" w:type="dxa"/>
            <w:noWrap/>
            <w:vAlign w:val="center"/>
          </w:tcPr>
          <w:p>
            <w:pPr>
              <w:widowControl/>
              <w:jc w:val="center"/>
              <w:rPr>
                <w:rFonts w:ascii="Arial" w:hAnsi="Arial" w:eastAsia="宋体" w:cs="Arial"/>
                <w:b/>
                <w:bCs/>
                <w:kern w:val="0"/>
                <w:sz w:val="20"/>
                <w:szCs w:val="20"/>
              </w:rPr>
            </w:pPr>
            <w:r>
              <w:rPr>
                <w:rFonts w:ascii="Arial" w:hAnsi="Arial" w:eastAsia="宋体" w:cs="Arial"/>
                <w:b/>
                <w:bCs/>
                <w:kern w:val="0"/>
                <w:sz w:val="20"/>
                <w:szCs w:val="20"/>
              </w:rPr>
              <w:t>评价日期：</w:t>
            </w:r>
          </w:p>
        </w:tc>
        <w:tc>
          <w:tcPr>
            <w:tcW w:w="13379" w:type="dxa"/>
            <w:noWrap/>
            <w:vAlign w:val="center"/>
          </w:tcPr>
          <w:p>
            <w:pPr>
              <w:jc w:val="left"/>
              <w:rPr>
                <w:rFonts w:hint="eastAsia" w:ascii="Arial" w:hAnsi="Arial" w:cs="Arial"/>
                <w:sz w:val="20"/>
                <w:szCs w:val="20"/>
              </w:rPr>
            </w:pPr>
            <w:r>
              <w:rPr>
                <w:rFonts w:hint="eastAsia" w:ascii="Arial" w:hAnsi="Arial" w:cs="Arial"/>
                <w:sz w:val="20"/>
                <w:szCs w:val="20"/>
                <w:lang w:val="en-US" w:eastAsia="zh-CN"/>
              </w:rPr>
              <w:t>2024-05-21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802" w:type="dxa"/>
            <w:noWrap/>
            <w:vAlign w:val="center"/>
          </w:tcPr>
          <w:p>
            <w:pPr>
              <w:widowControl/>
              <w:jc w:val="center"/>
              <w:rPr>
                <w:rFonts w:ascii="Arial" w:hAnsi="Arial" w:eastAsia="宋体" w:cs="Arial"/>
                <w:b/>
                <w:bCs/>
                <w:kern w:val="0"/>
                <w:sz w:val="20"/>
                <w:szCs w:val="20"/>
              </w:rPr>
            </w:pPr>
            <w:r>
              <w:rPr>
                <w:rFonts w:ascii="Arial" w:hAnsi="Arial" w:eastAsia="宋体" w:cs="Arial"/>
                <w:b/>
                <w:bCs/>
                <w:kern w:val="0"/>
                <w:sz w:val="20"/>
                <w:szCs w:val="20"/>
              </w:rPr>
              <w:t>成果简介：</w:t>
            </w:r>
          </w:p>
        </w:tc>
        <w:tc>
          <w:tcPr>
            <w:tcW w:w="13379" w:type="dxa"/>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rPr>
            </w:pPr>
            <w:r>
              <w:rPr>
                <w:rFonts w:hint="eastAsia"/>
              </w:rPr>
              <w:t xml:space="preserve">本项目属自选项目。开展现代智能化气雾栽培设施下蜜玉甜瓜周年高效栽培技术的研究与探索，目标是实现气雾栽培种植管理的智能、高效和环保有机统一，将蜜玉甜瓜各生长阶段的种植管理经验固化下来，形成种植管理的标准规范，成为可复制的智能化应用系统。 </w:t>
            </w: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rPr>
            </w:pPr>
            <w:r>
              <w:rPr>
                <w:rFonts w:hint="eastAsia"/>
              </w:rPr>
              <w:t>（一）设施建设</w:t>
            </w: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rPr>
            </w:pPr>
            <w:r>
              <w:rPr>
                <w:rFonts w:hint="eastAsia"/>
              </w:rPr>
              <w:t xml:space="preserve">建设气雾栽培温室，设置好栽培槽，采用营养液循环系统，需备好7个母液桶，每个母液使用反渗透水处理设备处理过的纯水，分别以钙、钾等各元素化合物配制而成，根据不同生长期对养分的需求进行雾化喷淋。甜瓜栽培现代智能化系统由传感器、云计算中心、执行部件组成。通过采集营养液EC值、PH值、液温、根系环境的温湿度等各种参数，开启无感采集终端、智能控制终端、智能水肥化设备等相关执行部件进行调控，创造出适合甜瓜生长的最佳环境，对影响甜瓜生长的各类营养元素进行动态配方管理。通过系统操作，温室内的光照、温度、喷雾、卷膜、通风等外环境、根部环境、营养液等都可以根据需要自动完成和调节，坐在办公室就可以“一键”完成种植大棚的自动化运转。 </w:t>
            </w: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eastAsiaTheme="minorEastAsia"/>
                <w:lang w:eastAsia="zh-CN"/>
              </w:rPr>
            </w:pPr>
            <w:r>
              <w:rPr>
                <w:rFonts w:hint="eastAsia"/>
              </w:rPr>
              <w:t xml:space="preserve">（二）气雾栽培的蜜玉甜瓜周年高效栽培技术 </w:t>
            </w: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rPr>
            </w:pPr>
            <w:r>
              <w:rPr>
                <w:rFonts w:hint="eastAsia"/>
              </w:rPr>
              <w:t xml:space="preserve">栽培季节：现代化温室气雾栽培蜜玉甜瓜，栽培时期上不受气候影响，没有具体时间规定，根据蜜玉甜瓜生长期，每年可安排种植3茬。 本技术主要难点在植后管理。 </w:t>
            </w: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rPr>
            </w:pPr>
            <w:r>
              <w:rPr>
                <w:rFonts w:hint="eastAsia"/>
              </w:rPr>
              <w:t xml:space="preserve">（1）营养液管理 配方管理 蜜玉甜瓜生长期均采用以下营养液配方（园试通用配方为基础）：以每1 L水的加入量计，硝酸钙945 mg，硝酸钾809 mg，磷酸二氢铵153 mg，硫酸镁493 mg，螯合铁45 mg，钼硼4 mg，锌锰铜4 mg。由增压水泵供给营养液，使用数字化智能系统控制营养液供给。 营养液配取 根据蜜玉甜瓜不同生长阶段进行营养母液的配置，并由控制系统智能化进行混合稀释后供应植株生长。 酸碱度管理 蜜玉甜瓜营养液较适宜的pH值为6.0～6.5。 电导率管理 蜜玉甜瓜苗期营养液EC值在1.5 mS/cm，定植到授粉时期营养液EC值为2.0 mS/cm，授粉后甜瓜吸收营养液和矿质元素浓度均急剧增加，营养液EC值要提高到2.6 mS/cm。循环系统营养液需定期测定电导率，然后调整补充到设定的浓度。 液温管理 气雾栽培蜜玉甜瓜适宜的液温变幅为23℃～26℃。 供液管理 幼苗定植初期间隔300 s喷雾45 s，连续喷一周；之后是间隔400 s喷雾45 s。 营养液的补充与更换 循环利用的营养液在使用一段时间之后，经分析各个营养成分的数字化系统提示更换，则需要重新配置新的营养液将其全部更换。 </w:t>
            </w: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rPr>
            </w:pPr>
            <w:r>
              <w:rPr>
                <w:rFonts w:hint="eastAsia"/>
              </w:rPr>
              <w:t xml:space="preserve">（2）光照和温度管理 雾培期较为适宜的室温为25℃～26℃，夏季25℃～35℃。定植第1天，如在夏季光照太强的情况下，要适当遮阳，第2天到第3天早晚见光，中午前后遮荫，第4天新根长出可延长阳光照射时间，有利缓苗。春秋季光照不强则不需遮荫。 </w:t>
            </w: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rPr>
            </w:pPr>
            <w:r>
              <w:rPr>
                <w:rFonts w:hint="eastAsia"/>
              </w:rPr>
              <w:t xml:space="preserve">（3）吊蔓整枝 气雾栽培蜜玉甜瓜采用直立式单蔓整枝的方法。当主蔓长出6～7片叶时可开始吊蔓，用尼龙绳将主蔓吊起。每株除主蔓外，在7～8节位留多1条健壮子蔓，协调营养生长和生殖生长。其余侧枝及时抹掉，并及时摘除老叶、病叶。待确定坐果呈鸡蛋大小后再剪除子蔓。坐果后瓜前留2～3片叶，主蔓长到25～30片叶时打顶。 </w:t>
            </w: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rPr>
            </w:pPr>
            <w:r>
              <w:rPr>
                <w:rFonts w:hint="eastAsia"/>
              </w:rPr>
              <w:t xml:space="preserve">（4）人工辅助授粉 春秋冬三季整天都可进行人工授粉，夏季选择晴天5：00～8：00或17：00以后，用0.1%氯吡脲350倍+先正达咯菌腈（适乐时）1000倍混合液均匀喷雾瓜胎或直接浸瓜胎。注意授粉一般为10～14节位之间的瓜，果实大、发育饱满、品质好，15节以上的瓜成型后形状不好、商品性不高。 </w:t>
            </w: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rPr>
            </w:pPr>
            <w:r>
              <w:rPr>
                <w:rFonts w:hint="eastAsia"/>
              </w:rPr>
              <w:t xml:space="preserve">（5）留果 结果枝的瓜坐果后5～10天，每株可选留生长良好、果型端正的2个瓜，待坐果呈鸡蛋大小时留用瓜型较好的1个瓜。留果宜用塑料网兜托起，缠吊牢固，防止坠落。 </w:t>
            </w: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rPr>
            </w:pPr>
            <w:r>
              <w:rPr>
                <w:rFonts w:hint="eastAsia"/>
              </w:rPr>
              <w:t xml:space="preserve">采收：蜜玉甜瓜开花后40天左右成熟，瓜梗附近茸毛脱落、皮靠果柄部位颜色偏白，果脐变软，并可闻到释放出的芳香气味。采收前7～10天，尽量减少水分的供应，减少裂果。采收时间一般以清晨为宜，采收方法是用剪刀将果柄两侧分别留5cm左右的子蔓剪下，剪下的瓜果柄和子蔓呈“T”字形，使果实外形美观。 </w:t>
            </w: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rPr>
            </w:pPr>
            <w:r>
              <w:rPr>
                <w:rFonts w:hint="eastAsia"/>
              </w:rPr>
              <w:t xml:space="preserve">病虫害防治：在严格控制好隔离和消毒的情况下，利用现代智能化甜瓜气雾栽培系统种植蜜玉甜瓜发生的病虫害较少，几乎可以做到“0”农药栽培。如确有病虫害发生，应及时处理。病害主要有白粉病、霜霉病、枯萎病、角斑病等。虫害主要有蚜虫、斑潜蝇、白粉虱等。 </w:t>
            </w: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rPr>
            </w:pPr>
            <w:r>
              <w:rPr>
                <w:rFonts w:hint="eastAsia"/>
              </w:rPr>
              <w:t>技术的创造性与先进性：1、在广东地区率先引进“蜜玉甜瓜”品种进行气雾栽培，探索出一套现代智能化气雾栽培蜜玉甜瓜周年高效栽培技术，为省内首创。2、研发应用了一套现代智能化气雾栽培设施，解决了普通水培存在的根系缺氧、烂根、互相感染等问题，实现栽培管理的自动化，填补了广东气雾栽培蜜玉甜瓜的空白。3、智能化气雾栽培系统能实现精准调控、精细管理，达到光、温、水、气、肥的有机结合，降低了气雾栽培技术难度，实现工厂化周年生产和农业种植的远程控制和“一键操作”，是农业新质生产力的体现。 技术的适用范围和安全性：应用该技术能够不受季节、地理环境影响，延长甜瓜生产和供应季节，实现周年生产、周年供应、错峰上市，获得高产、优质的良好生产效果，经济效益高。</w:t>
            </w: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rPr>
            </w:pPr>
          </w:p>
        </w:tc>
      </w:tr>
    </w:tbl>
    <w:p>
      <w:pPr>
        <w:keepNext w:val="0"/>
        <w:keepLines w:val="0"/>
        <w:pageBreakBefore w:val="0"/>
        <w:widowControl w:val="0"/>
        <w:kinsoku/>
        <w:wordWrap/>
        <w:overflowPunct/>
        <w:topLinePunct w:val="0"/>
        <w:autoSpaceDE/>
        <w:autoSpaceDN/>
        <w:bidi w:val="0"/>
        <w:adjustRightInd/>
        <w:snapToGrid/>
        <w:spacing w:line="20" w:lineRule="exact"/>
        <w:textAlignment w:val="auto"/>
        <w:rPr>
          <w:sz w:val="28"/>
        </w:rPr>
      </w:pPr>
    </w:p>
    <w:p>
      <w:pPr>
        <w:rPr>
          <w:rFonts w:asciiTheme="minorHAnsi" w:hAnsiTheme="minorHAnsi" w:eastAsiaTheme="minorEastAsia" w:cstheme="minorBidi"/>
          <w:kern w:val="2"/>
          <w:sz w:val="21"/>
          <w:szCs w:val="22"/>
          <w:lang w:val="en-US" w:eastAsia="zh-CN" w:bidi="ar-SA"/>
        </w:rPr>
      </w:pPr>
      <w:r>
        <w:rPr>
          <w:rFonts w:asciiTheme="minorHAnsi" w:hAnsiTheme="minorHAnsi" w:eastAsiaTheme="minorEastAsia" w:cstheme="minorBidi"/>
          <w:kern w:val="2"/>
          <w:sz w:val="21"/>
          <w:szCs w:val="22"/>
          <w:lang w:val="en-US" w:eastAsia="zh-CN" w:bidi="ar-SA"/>
        </w:rPr>
        <w:br w:type="page"/>
      </w:r>
    </w:p>
    <w:p>
      <w:pPr>
        <w:jc w:val="center"/>
        <w:rPr>
          <w:rFonts w:hint="eastAsia" w:eastAsiaTheme="minorEastAsia"/>
          <w:sz w:val="28"/>
          <w:lang w:val="en-US" w:eastAsia="zh-CN"/>
        </w:rPr>
      </w:pPr>
      <w:r>
        <w:rPr>
          <w:rFonts w:hint="eastAsia"/>
          <w:sz w:val="28"/>
        </w:rPr>
        <w:t>成果登记信息表</w:t>
      </w:r>
      <w:r>
        <w:rPr>
          <w:rFonts w:hint="eastAsia"/>
          <w:sz w:val="28"/>
          <w:lang w:val="en-US" w:eastAsia="zh-CN"/>
        </w:rPr>
        <w:t>3</w:t>
      </w:r>
    </w:p>
    <w:tbl>
      <w:tblPr>
        <w:tblStyle w:val="5"/>
        <w:tblW w:w="1518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02"/>
        <w:gridCol w:w="133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802" w:type="dxa"/>
            <w:noWrap/>
            <w:vAlign w:val="center"/>
          </w:tcPr>
          <w:p>
            <w:pPr>
              <w:widowControl/>
              <w:jc w:val="center"/>
              <w:rPr>
                <w:rFonts w:ascii="Arial" w:hAnsi="Arial" w:eastAsia="宋体" w:cs="Arial"/>
                <w:b/>
                <w:bCs/>
                <w:kern w:val="0"/>
                <w:sz w:val="20"/>
                <w:szCs w:val="20"/>
              </w:rPr>
            </w:pPr>
            <w:r>
              <w:rPr>
                <w:rFonts w:ascii="Arial" w:hAnsi="Arial" w:eastAsia="宋体" w:cs="Arial"/>
                <w:b/>
                <w:bCs/>
                <w:kern w:val="0"/>
                <w:sz w:val="20"/>
                <w:szCs w:val="20"/>
              </w:rPr>
              <w:t>成果名称：</w:t>
            </w:r>
          </w:p>
        </w:tc>
        <w:tc>
          <w:tcPr>
            <w:tcW w:w="13379" w:type="dxa"/>
            <w:noWrap/>
          </w:tcPr>
          <w:p>
            <w:pPr>
              <w:jc w:val="left"/>
              <w:rPr>
                <w:rFonts w:ascii="Arial" w:hAnsi="Arial" w:eastAsia="宋体" w:cs="Arial"/>
                <w:sz w:val="20"/>
                <w:szCs w:val="20"/>
              </w:rPr>
            </w:pPr>
            <w:r>
              <w:rPr>
                <w:rFonts w:hint="eastAsia" w:ascii="Arial" w:hAnsi="Arial" w:cs="Arial"/>
                <w:sz w:val="20"/>
                <w:szCs w:val="20"/>
              </w:rPr>
              <w:t>桑芽菜高效栽培与产业化综合利用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802" w:type="dxa"/>
            <w:noWrap/>
            <w:vAlign w:val="center"/>
          </w:tcPr>
          <w:p>
            <w:pPr>
              <w:widowControl/>
              <w:jc w:val="center"/>
              <w:rPr>
                <w:rFonts w:ascii="Arial" w:hAnsi="Arial" w:eastAsia="宋体" w:cs="Arial"/>
                <w:b/>
                <w:bCs/>
                <w:kern w:val="0"/>
                <w:sz w:val="20"/>
                <w:szCs w:val="20"/>
              </w:rPr>
            </w:pPr>
            <w:r>
              <w:rPr>
                <w:rFonts w:ascii="Arial" w:hAnsi="Arial" w:eastAsia="宋体" w:cs="Arial"/>
                <w:b/>
                <w:bCs/>
                <w:kern w:val="0"/>
                <w:sz w:val="20"/>
                <w:szCs w:val="20"/>
              </w:rPr>
              <w:t>登记日期：</w:t>
            </w:r>
          </w:p>
        </w:tc>
        <w:tc>
          <w:tcPr>
            <w:tcW w:w="13379" w:type="dxa"/>
            <w:noWrap/>
            <w:vAlign w:val="center"/>
          </w:tcPr>
          <w:p>
            <w:pPr>
              <w:jc w:val="left"/>
              <w:rPr>
                <w:rFonts w:hint="default" w:ascii="Arial" w:hAnsi="Arial" w:cs="Arial"/>
                <w:sz w:val="20"/>
                <w:szCs w:val="20"/>
                <w:lang w:val="en-US" w:eastAsia="zh-CN"/>
              </w:rPr>
            </w:pPr>
            <w:r>
              <w:rPr>
                <w:rFonts w:hint="eastAsia" w:ascii="Arial" w:hAnsi="Arial" w:cs="Arial"/>
                <w:sz w:val="20"/>
                <w:szCs w:val="20"/>
                <w:lang w:val="en-US" w:eastAsia="zh-CN"/>
              </w:rPr>
              <w:t>2024-06-08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802" w:type="dxa"/>
            <w:noWrap/>
            <w:vAlign w:val="center"/>
          </w:tcPr>
          <w:p>
            <w:pPr>
              <w:widowControl/>
              <w:jc w:val="center"/>
              <w:rPr>
                <w:rFonts w:ascii="Arial" w:hAnsi="Arial" w:eastAsia="宋体" w:cs="Arial"/>
                <w:b/>
                <w:bCs/>
                <w:kern w:val="0"/>
                <w:sz w:val="20"/>
                <w:szCs w:val="20"/>
              </w:rPr>
            </w:pPr>
            <w:r>
              <w:rPr>
                <w:rFonts w:ascii="Arial" w:hAnsi="Arial" w:eastAsia="宋体" w:cs="Arial"/>
                <w:b/>
                <w:bCs/>
                <w:kern w:val="0"/>
                <w:sz w:val="20"/>
                <w:szCs w:val="20"/>
              </w:rPr>
              <w:t>完成单位：</w:t>
            </w:r>
          </w:p>
        </w:tc>
        <w:tc>
          <w:tcPr>
            <w:tcW w:w="13379" w:type="dxa"/>
            <w:vAlign w:val="center"/>
          </w:tcPr>
          <w:p>
            <w:pPr>
              <w:jc w:val="left"/>
              <w:rPr>
                <w:rFonts w:hint="eastAsia" w:ascii="Arial" w:hAnsi="Arial" w:cs="Arial"/>
                <w:sz w:val="20"/>
                <w:szCs w:val="20"/>
              </w:rPr>
            </w:pPr>
            <w:r>
              <w:rPr>
                <w:rFonts w:hint="eastAsia" w:ascii="Arial" w:hAnsi="Arial" w:cs="Arial"/>
                <w:sz w:val="20"/>
                <w:szCs w:val="20"/>
                <w:lang w:val="en-US" w:eastAsia="zh-CN"/>
              </w:rPr>
              <w:t>梅州市农林科学院蔬菜研究所,五华县敏琴桑芽菜种植专业合作社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802" w:type="dxa"/>
            <w:noWrap/>
            <w:vAlign w:val="center"/>
          </w:tcPr>
          <w:p>
            <w:pPr>
              <w:widowControl/>
              <w:jc w:val="center"/>
              <w:rPr>
                <w:rFonts w:ascii="Arial" w:hAnsi="Arial" w:eastAsia="宋体" w:cs="Arial"/>
                <w:b/>
                <w:bCs/>
                <w:kern w:val="0"/>
                <w:sz w:val="20"/>
                <w:szCs w:val="20"/>
              </w:rPr>
            </w:pPr>
            <w:r>
              <w:rPr>
                <w:rFonts w:ascii="Arial" w:hAnsi="Arial" w:eastAsia="宋体" w:cs="Arial"/>
                <w:b/>
                <w:bCs/>
                <w:kern w:val="0"/>
                <w:sz w:val="20"/>
                <w:szCs w:val="20"/>
              </w:rPr>
              <w:t>完成人员：</w:t>
            </w:r>
          </w:p>
        </w:tc>
        <w:tc>
          <w:tcPr>
            <w:tcW w:w="13379" w:type="dxa"/>
            <w:vAlign w:val="center"/>
          </w:tcPr>
          <w:p>
            <w:pPr>
              <w:jc w:val="left"/>
              <w:rPr>
                <w:rFonts w:hint="eastAsia" w:ascii="Arial" w:hAnsi="Arial" w:cs="Arial"/>
                <w:sz w:val="20"/>
                <w:szCs w:val="20"/>
              </w:rPr>
            </w:pPr>
            <w:r>
              <w:rPr>
                <w:rFonts w:hint="eastAsia" w:ascii="Arial" w:hAnsi="Arial" w:cs="Arial"/>
                <w:sz w:val="20"/>
                <w:szCs w:val="20"/>
                <w:lang w:val="en-US" w:eastAsia="zh-CN"/>
              </w:rPr>
              <w:t>张立舒，张雄基，刘国辉，张贺云，宋作佳，叶希，曾命彬，林育炯，张晓艳，邹妍，曾小斌，罗永娟，李秀明，温徳琦，谢剑萍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802" w:type="dxa"/>
            <w:noWrap/>
            <w:vAlign w:val="center"/>
          </w:tcPr>
          <w:p>
            <w:pPr>
              <w:widowControl/>
              <w:jc w:val="center"/>
              <w:rPr>
                <w:rFonts w:ascii="Arial" w:hAnsi="Arial" w:eastAsia="宋体" w:cs="Arial"/>
                <w:b/>
                <w:bCs/>
                <w:kern w:val="0"/>
                <w:sz w:val="20"/>
                <w:szCs w:val="20"/>
              </w:rPr>
            </w:pPr>
            <w:r>
              <w:rPr>
                <w:rFonts w:ascii="Arial" w:hAnsi="Arial" w:eastAsia="宋体" w:cs="Arial"/>
                <w:b/>
                <w:bCs/>
                <w:kern w:val="0"/>
                <w:sz w:val="20"/>
                <w:szCs w:val="20"/>
              </w:rPr>
              <w:t>研究起止日期：</w:t>
            </w:r>
          </w:p>
        </w:tc>
        <w:tc>
          <w:tcPr>
            <w:tcW w:w="13379" w:type="dxa"/>
            <w:noWrap/>
            <w:vAlign w:val="center"/>
          </w:tcPr>
          <w:p>
            <w:pPr>
              <w:jc w:val="left"/>
              <w:rPr>
                <w:rFonts w:hint="eastAsia" w:ascii="Arial" w:hAnsi="Arial" w:cs="Arial"/>
                <w:sz w:val="20"/>
                <w:szCs w:val="20"/>
              </w:rPr>
            </w:pPr>
            <w:r>
              <w:rPr>
                <w:rFonts w:hint="eastAsia" w:ascii="Arial" w:hAnsi="Arial" w:cs="Arial"/>
                <w:sz w:val="20"/>
                <w:szCs w:val="20"/>
                <w:lang w:val="en-US" w:eastAsia="zh-CN"/>
              </w:rPr>
              <w:t>2019-10-01至2024-03-30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802" w:type="dxa"/>
            <w:noWrap/>
            <w:vAlign w:val="center"/>
          </w:tcPr>
          <w:p>
            <w:pPr>
              <w:widowControl/>
              <w:jc w:val="center"/>
              <w:rPr>
                <w:rFonts w:ascii="Arial" w:hAnsi="Arial" w:eastAsia="宋体" w:cs="Arial"/>
                <w:b/>
                <w:bCs/>
                <w:kern w:val="0"/>
                <w:sz w:val="20"/>
                <w:szCs w:val="20"/>
              </w:rPr>
            </w:pPr>
            <w:r>
              <w:rPr>
                <w:rFonts w:ascii="Arial" w:hAnsi="Arial" w:eastAsia="宋体" w:cs="Arial"/>
                <w:b/>
                <w:bCs/>
                <w:kern w:val="0"/>
                <w:sz w:val="20"/>
                <w:szCs w:val="20"/>
              </w:rPr>
              <w:t>主要应用行业：</w:t>
            </w:r>
          </w:p>
        </w:tc>
        <w:tc>
          <w:tcPr>
            <w:tcW w:w="13379" w:type="dxa"/>
            <w:noWrap/>
            <w:vAlign w:val="center"/>
          </w:tcPr>
          <w:p>
            <w:pPr>
              <w:jc w:val="left"/>
              <w:rPr>
                <w:rFonts w:hint="eastAsia" w:ascii="Arial" w:hAnsi="Arial" w:cs="Arial"/>
                <w:sz w:val="20"/>
                <w:szCs w:val="20"/>
                <w:lang w:eastAsia="zh-CN"/>
              </w:rPr>
            </w:pPr>
            <w:r>
              <w:rPr>
                <w:rFonts w:hint="eastAsia" w:ascii="Arial" w:hAnsi="Arial" w:cs="Arial"/>
                <w:sz w:val="20"/>
                <w:szCs w:val="20"/>
                <w:lang w:val="en-US" w:eastAsia="zh-CN"/>
              </w:rPr>
              <w:t>农、林、牧、渔业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802" w:type="dxa"/>
            <w:noWrap/>
            <w:vAlign w:val="center"/>
          </w:tcPr>
          <w:p>
            <w:pPr>
              <w:widowControl/>
              <w:jc w:val="center"/>
              <w:rPr>
                <w:rFonts w:ascii="Arial" w:hAnsi="Arial" w:eastAsia="宋体" w:cs="Arial"/>
                <w:b/>
                <w:bCs/>
                <w:kern w:val="0"/>
                <w:sz w:val="20"/>
                <w:szCs w:val="20"/>
              </w:rPr>
            </w:pPr>
            <w:r>
              <w:rPr>
                <w:rFonts w:hint="eastAsia" w:ascii="Arial" w:hAnsi="Arial" w:eastAsia="宋体" w:cs="Arial"/>
                <w:b/>
                <w:bCs/>
                <w:kern w:val="0"/>
                <w:sz w:val="20"/>
                <w:szCs w:val="20"/>
                <w:lang w:eastAsia="zh-CN"/>
              </w:rPr>
              <w:t>高新技术领域</w:t>
            </w:r>
            <w:r>
              <w:rPr>
                <w:rFonts w:ascii="Arial" w:hAnsi="Arial" w:eastAsia="宋体" w:cs="Arial"/>
                <w:b/>
                <w:bCs/>
                <w:kern w:val="0"/>
                <w:sz w:val="20"/>
                <w:szCs w:val="20"/>
              </w:rPr>
              <w:t>：</w:t>
            </w:r>
          </w:p>
        </w:tc>
        <w:tc>
          <w:tcPr>
            <w:tcW w:w="13379" w:type="dxa"/>
            <w:noWrap/>
            <w:vAlign w:val="center"/>
          </w:tcPr>
          <w:p>
            <w:pPr>
              <w:jc w:val="left"/>
              <w:rPr>
                <w:rFonts w:hint="eastAsia" w:ascii="Arial" w:hAnsi="Arial" w:cs="Arial"/>
                <w:sz w:val="20"/>
                <w:szCs w:val="20"/>
                <w:lang w:eastAsia="zh-CN"/>
              </w:rPr>
            </w:pPr>
            <w:r>
              <w:rPr>
                <w:rFonts w:hint="eastAsia" w:ascii="Arial" w:hAnsi="Arial" w:cs="Arial"/>
                <w:sz w:val="20"/>
                <w:szCs w:val="20"/>
                <w:lang w:val="en-US" w:eastAsia="zh-CN"/>
              </w:rPr>
              <w:t>现代农业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802" w:type="dxa"/>
            <w:noWrap/>
            <w:vAlign w:val="center"/>
          </w:tcPr>
          <w:p>
            <w:pPr>
              <w:widowControl/>
              <w:jc w:val="center"/>
              <w:rPr>
                <w:rFonts w:ascii="Arial" w:hAnsi="Arial" w:eastAsia="宋体" w:cs="Arial"/>
                <w:b/>
                <w:bCs/>
                <w:kern w:val="0"/>
                <w:sz w:val="20"/>
                <w:szCs w:val="20"/>
              </w:rPr>
            </w:pPr>
            <w:r>
              <w:rPr>
                <w:rFonts w:ascii="Arial" w:hAnsi="Arial" w:eastAsia="宋体" w:cs="Arial"/>
                <w:b/>
                <w:bCs/>
                <w:kern w:val="0"/>
                <w:sz w:val="20"/>
                <w:szCs w:val="20"/>
              </w:rPr>
              <w:t>评价单位：</w:t>
            </w:r>
          </w:p>
        </w:tc>
        <w:tc>
          <w:tcPr>
            <w:tcW w:w="13379" w:type="dxa"/>
            <w:noWrap/>
            <w:vAlign w:val="center"/>
          </w:tcPr>
          <w:p>
            <w:pPr>
              <w:jc w:val="left"/>
              <w:rPr>
                <w:rFonts w:hint="eastAsia" w:ascii="Arial" w:hAnsi="Arial" w:cs="Arial"/>
                <w:sz w:val="20"/>
                <w:szCs w:val="20"/>
              </w:rPr>
            </w:pPr>
            <w:r>
              <w:rPr>
                <w:rFonts w:hint="eastAsia" w:ascii="Arial" w:hAnsi="Arial" w:cs="Arial"/>
                <w:sz w:val="20"/>
                <w:szCs w:val="20"/>
                <w:lang w:val="en-US" w:eastAsia="zh-CN"/>
              </w:rPr>
              <w:t>梅州市蔬菜协会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802" w:type="dxa"/>
            <w:noWrap/>
            <w:vAlign w:val="center"/>
          </w:tcPr>
          <w:p>
            <w:pPr>
              <w:widowControl/>
              <w:jc w:val="center"/>
              <w:rPr>
                <w:rFonts w:ascii="Arial" w:hAnsi="Arial" w:eastAsia="宋体" w:cs="Arial"/>
                <w:b/>
                <w:bCs/>
                <w:kern w:val="0"/>
                <w:sz w:val="20"/>
                <w:szCs w:val="20"/>
              </w:rPr>
            </w:pPr>
            <w:r>
              <w:rPr>
                <w:rFonts w:ascii="Arial" w:hAnsi="Arial" w:eastAsia="宋体" w:cs="Arial"/>
                <w:b/>
                <w:bCs/>
                <w:kern w:val="0"/>
                <w:sz w:val="20"/>
                <w:szCs w:val="20"/>
              </w:rPr>
              <w:t>评价日期：</w:t>
            </w:r>
          </w:p>
        </w:tc>
        <w:tc>
          <w:tcPr>
            <w:tcW w:w="13379" w:type="dxa"/>
            <w:noWrap/>
            <w:vAlign w:val="center"/>
          </w:tcPr>
          <w:p>
            <w:pPr>
              <w:jc w:val="left"/>
              <w:rPr>
                <w:rFonts w:hint="eastAsia" w:ascii="Arial" w:hAnsi="Arial" w:cs="Arial"/>
                <w:sz w:val="20"/>
                <w:szCs w:val="20"/>
              </w:rPr>
            </w:pPr>
            <w:r>
              <w:rPr>
                <w:rFonts w:hint="eastAsia" w:ascii="Arial" w:hAnsi="Arial" w:cs="Arial"/>
                <w:sz w:val="20"/>
                <w:szCs w:val="20"/>
                <w:lang w:val="en-US" w:eastAsia="zh-CN"/>
              </w:rPr>
              <w:t>2024-05-21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8" w:hRule="atLeast"/>
        </w:trPr>
        <w:tc>
          <w:tcPr>
            <w:tcW w:w="1802" w:type="dxa"/>
            <w:noWrap/>
            <w:vAlign w:val="center"/>
          </w:tcPr>
          <w:p>
            <w:pPr>
              <w:widowControl/>
              <w:jc w:val="center"/>
              <w:rPr>
                <w:rFonts w:ascii="Arial" w:hAnsi="Arial" w:eastAsia="宋体" w:cs="Arial"/>
                <w:b/>
                <w:bCs/>
                <w:kern w:val="0"/>
                <w:sz w:val="20"/>
                <w:szCs w:val="20"/>
              </w:rPr>
            </w:pPr>
            <w:r>
              <w:rPr>
                <w:rFonts w:ascii="Arial" w:hAnsi="Arial" w:eastAsia="宋体" w:cs="Arial"/>
                <w:b/>
                <w:bCs/>
                <w:kern w:val="0"/>
                <w:sz w:val="20"/>
                <w:szCs w:val="20"/>
              </w:rPr>
              <w:t>成果简介：</w:t>
            </w:r>
          </w:p>
        </w:tc>
        <w:tc>
          <w:tcPr>
            <w:tcW w:w="13379" w:type="dxa"/>
          </w:tcPr>
          <w:p>
            <w:pPr>
              <w:jc w:val="left"/>
              <w:rPr>
                <w:rFonts w:hint="eastAsia" w:asciiTheme="minorEastAsia" w:hAnsiTheme="minorEastAsia" w:eastAsiaTheme="minorEastAsia" w:cstheme="minorEastAsia"/>
                <w:sz w:val="20"/>
                <w:szCs w:val="20"/>
              </w:rPr>
            </w:pPr>
            <w:r>
              <w:rPr>
                <w:rFonts w:hint="eastAsia" w:asciiTheme="minorEastAsia" w:hAnsiTheme="minorEastAsia" w:eastAsiaTheme="minorEastAsia" w:cstheme="minorEastAsia"/>
                <w:sz w:val="20"/>
                <w:szCs w:val="20"/>
              </w:rPr>
              <w:t xml:space="preserve">本项目属自选项目。桑是植物之王，富含人体需要的氨基酸、粗蛋白、粗脂肪，桑芽菜是桑树枝头最新长出来最嫩的两三片桑叶，因只取芽头，所以产量比较稀少，但是营养价值极高。随着营养健康类蔬菜的需求量逐年上升，桑芽菜也开始广受市场青睐，成为人类绿色新食品源。2019年开始项目组引进优良菜用桑品种，对桑芽菜在本地的种植表现进行了研究和分析，研究出一整套较为系统的高效栽培管理和综合利用技术，并进行种植示范推广、产品加工研发，扶持产业链延伸，旨在调整梅州地区的农业品种结构，提升梅州农产品的竞争力，加快农业供给侧结构性改革，同时引导撂荒田复种，带动广大农民脱贫致富。目前应用此技术在梅州市种植面积已达1000亩以上，并且推广到广东省清远市等其他市县，取得了良好成效。 技术原理及性能指标： </w:t>
            </w:r>
          </w:p>
          <w:p>
            <w:pPr>
              <w:jc w:val="left"/>
              <w:rPr>
                <w:rFonts w:hint="eastAsia" w:asciiTheme="minorEastAsia" w:hAnsiTheme="minorEastAsia" w:eastAsiaTheme="minorEastAsia" w:cstheme="minorEastAsia"/>
                <w:sz w:val="20"/>
                <w:szCs w:val="20"/>
              </w:rPr>
            </w:pPr>
            <w:r>
              <w:rPr>
                <w:rFonts w:hint="eastAsia" w:asciiTheme="minorEastAsia" w:hAnsiTheme="minorEastAsia" w:eastAsiaTheme="minorEastAsia" w:cstheme="minorEastAsia"/>
                <w:sz w:val="20"/>
                <w:szCs w:val="20"/>
              </w:rPr>
              <w:t>一、主要高效栽培管理技术</w:t>
            </w:r>
          </w:p>
          <w:p>
            <w:pPr>
              <w:jc w:val="left"/>
              <w:rPr>
                <w:rFonts w:hint="eastAsia" w:asciiTheme="minorEastAsia" w:hAnsiTheme="minorEastAsia" w:eastAsiaTheme="minorEastAsia" w:cstheme="minorEastAsia"/>
                <w:sz w:val="20"/>
                <w:szCs w:val="20"/>
              </w:rPr>
            </w:pPr>
            <w:r>
              <w:rPr>
                <w:rFonts w:hint="eastAsia" w:asciiTheme="minorEastAsia" w:hAnsiTheme="minorEastAsia" w:eastAsiaTheme="minorEastAsia" w:cstheme="minorEastAsia"/>
                <w:sz w:val="20"/>
                <w:szCs w:val="20"/>
              </w:rPr>
              <w:t xml:space="preserve">1、土地准备 选择水源充足，光照充分，通风良好，地面坡度相对小且交通便利的土地建园。园地以壤土和砂壤土为宜，要求土层深厚，耕作层不少于25 cm，地下水位低，土壤肥沃，有机质含量1.5%以上，pH值6.0~7.5。 </w:t>
            </w:r>
          </w:p>
          <w:p>
            <w:pPr>
              <w:jc w:val="left"/>
              <w:rPr>
                <w:rFonts w:hint="eastAsia" w:asciiTheme="minorEastAsia" w:hAnsiTheme="minorEastAsia" w:eastAsiaTheme="minorEastAsia" w:cstheme="minorEastAsia"/>
                <w:sz w:val="20"/>
                <w:szCs w:val="20"/>
              </w:rPr>
            </w:pPr>
            <w:r>
              <w:rPr>
                <w:rFonts w:hint="eastAsia" w:asciiTheme="minorEastAsia" w:hAnsiTheme="minorEastAsia" w:eastAsiaTheme="minorEastAsia" w:cstheme="minorEastAsia"/>
                <w:sz w:val="20"/>
                <w:szCs w:val="20"/>
              </w:rPr>
              <w:t xml:space="preserve">2、苗木处理 选择桑苗大小均匀，主根完整，苗径5.0 mm以上。种植前剪除过长、受损、有病害枝条及桑苗顶部嫩弱部分，留苗干高10 cm左右；粗根剪留至5 cm左右,过长的根系在近分叉处修剪。 </w:t>
            </w:r>
          </w:p>
          <w:p>
            <w:pPr>
              <w:jc w:val="left"/>
              <w:rPr>
                <w:rFonts w:hint="eastAsia" w:asciiTheme="minorEastAsia" w:hAnsiTheme="minorEastAsia" w:eastAsiaTheme="minorEastAsia" w:cstheme="minorEastAsia"/>
                <w:sz w:val="20"/>
                <w:szCs w:val="20"/>
              </w:rPr>
            </w:pPr>
            <w:r>
              <w:rPr>
                <w:rFonts w:hint="eastAsia" w:asciiTheme="minorEastAsia" w:hAnsiTheme="minorEastAsia" w:eastAsiaTheme="minorEastAsia" w:cstheme="minorEastAsia"/>
                <w:sz w:val="20"/>
                <w:szCs w:val="20"/>
              </w:rPr>
              <w:t xml:space="preserve">3、栽植时间 在梅州一年春秋冬三季均可种植，一般以2～3月桑芽萌动前栽植为好。 </w:t>
            </w:r>
          </w:p>
          <w:p>
            <w:pPr>
              <w:jc w:val="left"/>
              <w:rPr>
                <w:rFonts w:hint="eastAsia" w:asciiTheme="minorEastAsia" w:hAnsiTheme="minorEastAsia" w:eastAsiaTheme="minorEastAsia" w:cstheme="minorEastAsia"/>
                <w:sz w:val="20"/>
                <w:szCs w:val="20"/>
              </w:rPr>
            </w:pPr>
            <w:r>
              <w:rPr>
                <w:rFonts w:hint="eastAsia" w:asciiTheme="minorEastAsia" w:hAnsiTheme="minorEastAsia" w:eastAsiaTheme="minorEastAsia" w:cstheme="minorEastAsia"/>
                <w:sz w:val="20"/>
                <w:szCs w:val="20"/>
              </w:rPr>
              <w:t xml:space="preserve">4、栽植方法与密度 一般每667 m2栽植密度为3 000～4 000株，以宽行窄株便于生产操作，（80～100）cm×（20～30）cm种植为宜。 </w:t>
            </w:r>
          </w:p>
          <w:p>
            <w:pPr>
              <w:jc w:val="left"/>
              <w:rPr>
                <w:rFonts w:hint="eastAsia" w:asciiTheme="minorEastAsia" w:hAnsiTheme="minorEastAsia" w:eastAsiaTheme="minorEastAsia" w:cstheme="minorEastAsia"/>
                <w:sz w:val="20"/>
                <w:szCs w:val="20"/>
              </w:rPr>
            </w:pPr>
            <w:r>
              <w:rPr>
                <w:rFonts w:hint="eastAsia" w:asciiTheme="minorEastAsia" w:hAnsiTheme="minorEastAsia" w:eastAsiaTheme="minorEastAsia" w:cstheme="minorEastAsia"/>
                <w:sz w:val="20"/>
                <w:szCs w:val="20"/>
              </w:rPr>
              <w:t xml:space="preserve">5、定植 定植时以覆土刚盖过桑苗根茎部1～2 cm为宜，将桑苗竖立于种植穴中理顺根系，定植后及时淋足定根水。 </w:t>
            </w:r>
          </w:p>
          <w:p>
            <w:pPr>
              <w:jc w:val="left"/>
              <w:rPr>
                <w:rFonts w:hint="eastAsia" w:asciiTheme="minorEastAsia" w:hAnsiTheme="minorEastAsia" w:eastAsiaTheme="minorEastAsia" w:cstheme="minorEastAsia"/>
                <w:sz w:val="20"/>
                <w:szCs w:val="20"/>
              </w:rPr>
            </w:pPr>
            <w:r>
              <w:rPr>
                <w:rFonts w:hint="eastAsia" w:asciiTheme="minorEastAsia" w:hAnsiTheme="minorEastAsia" w:eastAsiaTheme="minorEastAsia" w:cstheme="minorEastAsia"/>
                <w:sz w:val="20"/>
                <w:szCs w:val="20"/>
              </w:rPr>
              <w:t xml:space="preserve">6、树形管理 ①新栽当年(第一年) 当新芽条长到10～15 cm时进行疏芽，选留位置匀称健壮芽条3～4根任其生长，养成第一支干，当第一支干长至20 cm时摘芯促发新芽，新芽长到10～15 cm时进行疏芽，每个支干上选留3～4个新梢芽生长，养成第二支干，即每株选留10～12根，枝条在离地55～60 cm时伐条定拳。在桑树定干定拳过程中，可采收少量疏枝摘心的桑芽，之后每次新梢长至25～30 cm时采收嫩叶芽，加工成菜。 ②第二年及以后 桑芽菜主要采收嫩芽嫩叶，在管理上注重降枝管理。栽后第二年，每年剪伐降枝两次。在夏季和冬季各一次，夏季降枝是在离地面15～20 cm剪枝，冬季降枝根刈，次年春发新枝，去弱留强。为了保证连续采摘桑芽,可将整个桑园分批伐条,伐条时间以5月上旬至6下旬进行为适，每隔15～20天伐一批。桑树抽长新芽后，进行疏芽，每个拳上保留3～4个新梢芽生长。 ③剪梢 连续采摘数茬后，进行剪梢，剪除弱小枝及枯桩，剪梢应于晴天进行，要用锋利的剪刀，剪口要平滑，切勿破裂，勿伤及健枝。 </w:t>
            </w:r>
          </w:p>
          <w:p>
            <w:pPr>
              <w:jc w:val="left"/>
              <w:rPr>
                <w:rFonts w:hint="eastAsia" w:asciiTheme="minorEastAsia" w:hAnsiTheme="minorEastAsia" w:eastAsiaTheme="minorEastAsia" w:cstheme="minorEastAsia"/>
                <w:sz w:val="20"/>
                <w:szCs w:val="20"/>
              </w:rPr>
            </w:pPr>
            <w:r>
              <w:rPr>
                <w:rFonts w:hint="eastAsia" w:asciiTheme="minorEastAsia" w:hAnsiTheme="minorEastAsia" w:eastAsiaTheme="minorEastAsia" w:cstheme="minorEastAsia"/>
                <w:sz w:val="20"/>
                <w:szCs w:val="20"/>
              </w:rPr>
              <w:t xml:space="preserve">7、田间管理 ①及时清园 冬季全面清除园内的枯枝、落叶、杂草以及路旁杂草，不给昆虫留越冬寄生场所，所清杂物一并集中焚毁，防止病原菌传播蔓延。 ②深翻晒白 深翻在桑树落叶后至土壤封冻前进行，耕深在20 cm左右，宜深不宜浅，深翻以不伤断粗根为原则。 </w:t>
            </w:r>
          </w:p>
          <w:p>
            <w:pPr>
              <w:jc w:val="left"/>
              <w:rPr>
                <w:rFonts w:hint="eastAsia" w:asciiTheme="minorEastAsia" w:hAnsiTheme="minorEastAsia" w:eastAsiaTheme="minorEastAsia" w:cstheme="minorEastAsia"/>
                <w:sz w:val="20"/>
                <w:szCs w:val="20"/>
              </w:rPr>
            </w:pPr>
            <w:r>
              <w:rPr>
                <w:rFonts w:hint="eastAsia" w:asciiTheme="minorEastAsia" w:hAnsiTheme="minorEastAsia" w:eastAsiaTheme="minorEastAsia" w:cstheme="minorEastAsia"/>
                <w:sz w:val="20"/>
                <w:szCs w:val="20"/>
              </w:rPr>
              <w:t xml:space="preserve">8、水肥管理 ①水分管理 桑园应用水肥一体化，视天气情况供应用水使桑树正常生长。雨季及时排除园内积水，防止泡水烂根，夏秋季，要保持土壤湿润。 ②施肥 以有机肥为主，氮、磷、钾配合施用。桑芽菜要注重根外施肥，以0.5%尿素，0.2%磷酸二氢钾混合使用，促进新芽生长。 </w:t>
            </w:r>
          </w:p>
          <w:p>
            <w:pPr>
              <w:jc w:val="left"/>
              <w:rPr>
                <w:rFonts w:hint="eastAsia" w:asciiTheme="minorEastAsia" w:hAnsiTheme="minorEastAsia" w:eastAsiaTheme="minorEastAsia" w:cstheme="minorEastAsia"/>
                <w:sz w:val="20"/>
                <w:szCs w:val="20"/>
              </w:rPr>
            </w:pPr>
            <w:r>
              <w:rPr>
                <w:rFonts w:hint="eastAsia" w:asciiTheme="minorEastAsia" w:hAnsiTheme="minorEastAsia" w:eastAsiaTheme="minorEastAsia" w:cstheme="minorEastAsia"/>
                <w:sz w:val="20"/>
                <w:szCs w:val="20"/>
              </w:rPr>
              <w:t xml:space="preserve">9、病虫害防治 梅州地区为害桑芽的主要虫害有桑蓟马、桑螟、桑粉虱、桑白蚧、红蜘蛛和桑毛虫等及白粉病、桑疫病、赤锈病等主要细菌和真菌病害。 病虫害防治以预防为主，综合防治。为保桑芽菜食用安全，要提高用药的选择性，尽量实行一药多治，减少用药次数，尽可能在每批采收后轮时用药，做到科学、安全、高效、低耗。 </w:t>
            </w:r>
          </w:p>
          <w:p>
            <w:pPr>
              <w:jc w:val="left"/>
              <w:rPr>
                <w:rFonts w:hint="eastAsia" w:asciiTheme="minorEastAsia" w:hAnsiTheme="minorEastAsia" w:eastAsiaTheme="minorEastAsia" w:cstheme="minorEastAsia"/>
                <w:sz w:val="20"/>
                <w:szCs w:val="20"/>
              </w:rPr>
            </w:pPr>
            <w:r>
              <w:rPr>
                <w:rFonts w:hint="eastAsia" w:asciiTheme="minorEastAsia" w:hAnsiTheme="minorEastAsia" w:eastAsiaTheme="minorEastAsia" w:cstheme="minorEastAsia"/>
                <w:sz w:val="20"/>
                <w:szCs w:val="20"/>
              </w:rPr>
              <w:t xml:space="preserve">二、桑芽菜产业化综合利用 </w:t>
            </w:r>
          </w:p>
          <w:p>
            <w:pPr>
              <w:jc w:val="left"/>
              <w:rPr>
                <w:rFonts w:hint="eastAsia" w:asciiTheme="minorEastAsia" w:hAnsiTheme="minorEastAsia" w:eastAsiaTheme="minorEastAsia" w:cstheme="minorEastAsia"/>
                <w:sz w:val="20"/>
                <w:szCs w:val="20"/>
              </w:rPr>
            </w:pPr>
            <w:r>
              <w:rPr>
                <w:rFonts w:hint="eastAsia" w:asciiTheme="minorEastAsia" w:hAnsiTheme="minorEastAsia" w:eastAsiaTheme="minorEastAsia" w:cstheme="minorEastAsia"/>
                <w:sz w:val="20"/>
                <w:szCs w:val="20"/>
              </w:rPr>
              <w:t xml:space="preserve">桑芽菜采摘后的加工技术，经过筛选、清洗、漂烫、冷却、风干沥水、精选、称重包装、速冻锁鲜等加工工序，保留了桑芽原有的丰富营养和爽脆的口感，入口甘香、没有苦涩味，有咀嚼感，无添加任何色素和防腐剂，完整地保留了桑芽的营养成分。 此外桑芽菜产业化综合利用方面，突破了锁鲜、加工、营养保持技术难点，研发出桑芽粉、金花桑芽茶、桑芽面等系列产品，并结合梅州本地客家特色，开发出桑芽菜八大营养菜式，开创了桑芽菜药用价值、营养价值、食用价值和当地饮食文化结合的先河。深加工方面还研发了桑芽精华、乳、洗面奶、面膜等系列护肤品，延伸了产业链条。 </w:t>
            </w:r>
          </w:p>
          <w:p>
            <w:pPr>
              <w:jc w:val="left"/>
              <w:rPr>
                <w:rFonts w:hint="eastAsia" w:asciiTheme="minorEastAsia" w:hAnsiTheme="minorEastAsia" w:eastAsiaTheme="minorEastAsia" w:cstheme="minorEastAsia"/>
                <w:sz w:val="20"/>
                <w:szCs w:val="20"/>
              </w:rPr>
            </w:pPr>
            <w:r>
              <w:rPr>
                <w:rFonts w:hint="eastAsia" w:asciiTheme="minorEastAsia" w:hAnsiTheme="minorEastAsia" w:eastAsiaTheme="minorEastAsia" w:cstheme="minorEastAsia"/>
                <w:sz w:val="20"/>
                <w:szCs w:val="20"/>
              </w:rPr>
              <w:t>技术的创造性与先进性：1、本项目率先在梅州引进桑芽菜种植和规范化生产，填补了梅州地区种植桑芽菜的空白。2、本项目首次建立了一套桑芽菜高效栽培技术体系，包括宽行窄株、矮化密植栽培、降枝剪梢、分批伐条、适量疏芽等关键技术。3、本项目首次深入开展桑芽菜产业化综合利用的系统性研究。 4.技术的成熟程度，适用范围和安全性：本项目构建的规模化种植、产品研发、深加工与品牌销售于一体的桑芽菜全产业链技术体系已比较成熟，在梅州市进行了示范应用，应用效果显著，适用于梅州所有地区及广东省、福建省、江西省等气候、生态条件相近生产区域。</w:t>
            </w:r>
          </w:p>
          <w:p>
            <w:pPr>
              <w:jc w:val="left"/>
              <w:rPr>
                <w:rFonts w:hint="eastAsia" w:asciiTheme="minorEastAsia" w:hAnsiTheme="minorEastAsia" w:eastAsiaTheme="minorEastAsia" w:cstheme="minorEastAsia"/>
                <w:sz w:val="20"/>
                <w:szCs w:val="20"/>
              </w:rPr>
            </w:pPr>
          </w:p>
          <w:p>
            <w:pPr>
              <w:jc w:val="left"/>
              <w:rPr>
                <w:rFonts w:hint="eastAsia" w:asciiTheme="minorEastAsia" w:hAnsiTheme="minorEastAsia" w:eastAsiaTheme="minorEastAsia" w:cstheme="minorEastAsia"/>
                <w:sz w:val="20"/>
                <w:szCs w:val="20"/>
              </w:rPr>
            </w:pPr>
          </w:p>
          <w:p>
            <w:pPr>
              <w:jc w:val="left"/>
              <w:rPr>
                <w:rFonts w:hint="eastAsia" w:asciiTheme="minorEastAsia" w:hAnsiTheme="minorEastAsia" w:eastAsiaTheme="minorEastAsia" w:cstheme="minorEastAsia"/>
                <w:sz w:val="20"/>
                <w:szCs w:val="20"/>
              </w:rPr>
            </w:pPr>
          </w:p>
          <w:p>
            <w:pPr>
              <w:jc w:val="left"/>
              <w:rPr>
                <w:rFonts w:hint="eastAsia" w:asciiTheme="minorEastAsia" w:hAnsiTheme="minorEastAsia" w:eastAsiaTheme="minorEastAsia" w:cstheme="minorEastAsia"/>
                <w:sz w:val="20"/>
                <w:szCs w:val="20"/>
              </w:rPr>
            </w:pPr>
          </w:p>
          <w:p>
            <w:pPr>
              <w:jc w:val="left"/>
              <w:rPr>
                <w:rFonts w:hint="eastAsia" w:asciiTheme="minorEastAsia" w:hAnsiTheme="minorEastAsia" w:eastAsiaTheme="minorEastAsia" w:cstheme="minorEastAsia"/>
                <w:sz w:val="20"/>
                <w:szCs w:val="20"/>
              </w:rPr>
            </w:pPr>
          </w:p>
          <w:p>
            <w:pPr>
              <w:jc w:val="left"/>
              <w:rPr>
                <w:rFonts w:hint="eastAsia" w:asciiTheme="minorEastAsia" w:hAnsiTheme="minorEastAsia" w:eastAsiaTheme="minorEastAsia" w:cstheme="minorEastAsia"/>
                <w:sz w:val="20"/>
                <w:szCs w:val="20"/>
              </w:rPr>
            </w:pPr>
          </w:p>
          <w:p>
            <w:pPr>
              <w:jc w:val="left"/>
              <w:rPr>
                <w:rFonts w:hint="eastAsia" w:asciiTheme="minorEastAsia" w:hAnsiTheme="minorEastAsia" w:eastAsiaTheme="minorEastAsia" w:cstheme="minorEastAsia"/>
                <w:sz w:val="20"/>
                <w:szCs w:val="20"/>
              </w:rPr>
            </w:pPr>
          </w:p>
          <w:p>
            <w:pPr>
              <w:jc w:val="left"/>
              <w:rPr>
                <w:rFonts w:hint="eastAsia" w:asciiTheme="minorEastAsia" w:hAnsiTheme="minorEastAsia" w:eastAsiaTheme="minorEastAsia" w:cstheme="minorEastAsia"/>
                <w:sz w:val="20"/>
                <w:szCs w:val="20"/>
              </w:rPr>
            </w:pPr>
          </w:p>
          <w:p>
            <w:pPr>
              <w:jc w:val="left"/>
              <w:rPr>
                <w:rFonts w:hint="eastAsia" w:asciiTheme="minorEastAsia" w:hAnsiTheme="minorEastAsia" w:eastAsiaTheme="minorEastAsia" w:cstheme="minorEastAsia"/>
                <w:sz w:val="20"/>
                <w:szCs w:val="20"/>
              </w:rPr>
            </w:pPr>
          </w:p>
          <w:p>
            <w:pPr>
              <w:jc w:val="left"/>
              <w:rPr>
                <w:rFonts w:hint="eastAsia" w:asciiTheme="minorEastAsia" w:hAnsiTheme="minorEastAsia" w:eastAsiaTheme="minorEastAsia" w:cstheme="minorEastAsia"/>
                <w:sz w:val="20"/>
                <w:szCs w:val="20"/>
              </w:rPr>
            </w:pPr>
          </w:p>
          <w:p>
            <w:pPr>
              <w:jc w:val="left"/>
              <w:rPr>
                <w:rFonts w:hint="eastAsia" w:asciiTheme="minorEastAsia" w:hAnsiTheme="minorEastAsia" w:eastAsiaTheme="minorEastAsia" w:cstheme="minorEastAsia"/>
                <w:sz w:val="20"/>
                <w:szCs w:val="20"/>
              </w:rPr>
            </w:pPr>
          </w:p>
          <w:p>
            <w:pPr>
              <w:jc w:val="left"/>
              <w:rPr>
                <w:rFonts w:hint="eastAsia" w:asciiTheme="minorEastAsia" w:hAnsiTheme="minorEastAsia" w:eastAsiaTheme="minorEastAsia" w:cstheme="minorEastAsia"/>
                <w:sz w:val="20"/>
                <w:szCs w:val="20"/>
              </w:rPr>
            </w:pPr>
          </w:p>
        </w:tc>
      </w:tr>
    </w:tbl>
    <w:p>
      <w:pPr>
        <w:rPr>
          <w:lang w:val="en-US" w:eastAsia="zh-CN"/>
        </w:rPr>
      </w:pPr>
      <w:r>
        <w:rPr>
          <w:lang w:val="en-US" w:eastAsia="zh-CN"/>
        </w:rPr>
        <w:br w:type="page"/>
      </w:r>
    </w:p>
    <w:p>
      <w:pPr>
        <w:jc w:val="center"/>
        <w:rPr>
          <w:rFonts w:hint="eastAsia" w:eastAsiaTheme="minorEastAsia"/>
          <w:sz w:val="28"/>
          <w:lang w:val="en-US" w:eastAsia="zh-CN"/>
        </w:rPr>
      </w:pPr>
      <w:r>
        <w:rPr>
          <w:rFonts w:hint="eastAsia"/>
          <w:sz w:val="28"/>
        </w:rPr>
        <w:t>成果登记信息表</w:t>
      </w:r>
      <w:r>
        <w:rPr>
          <w:rFonts w:hint="eastAsia"/>
          <w:sz w:val="28"/>
          <w:lang w:val="en-US" w:eastAsia="zh-CN"/>
        </w:rPr>
        <w:t>4</w:t>
      </w:r>
    </w:p>
    <w:tbl>
      <w:tblPr>
        <w:tblStyle w:val="5"/>
        <w:tblW w:w="1518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02"/>
        <w:gridCol w:w="133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802" w:type="dxa"/>
            <w:noWrap/>
            <w:vAlign w:val="center"/>
          </w:tcPr>
          <w:p>
            <w:pPr>
              <w:widowControl/>
              <w:jc w:val="center"/>
              <w:rPr>
                <w:rFonts w:ascii="Arial" w:hAnsi="Arial" w:eastAsia="宋体" w:cs="Arial"/>
                <w:b/>
                <w:bCs/>
                <w:kern w:val="0"/>
                <w:sz w:val="20"/>
                <w:szCs w:val="20"/>
              </w:rPr>
            </w:pPr>
            <w:r>
              <w:rPr>
                <w:rFonts w:ascii="Arial" w:hAnsi="Arial" w:eastAsia="宋体" w:cs="Arial"/>
                <w:b/>
                <w:bCs/>
                <w:kern w:val="0"/>
                <w:sz w:val="20"/>
                <w:szCs w:val="20"/>
              </w:rPr>
              <w:t>成果名称：</w:t>
            </w:r>
          </w:p>
        </w:tc>
        <w:tc>
          <w:tcPr>
            <w:tcW w:w="13379" w:type="dxa"/>
            <w:noWrap/>
          </w:tcPr>
          <w:p>
            <w:pPr>
              <w:jc w:val="left"/>
              <w:rPr>
                <w:rFonts w:ascii="Arial" w:hAnsi="Arial" w:eastAsia="宋体" w:cs="Arial"/>
                <w:sz w:val="20"/>
                <w:szCs w:val="20"/>
              </w:rPr>
            </w:pPr>
            <w:r>
              <w:rPr>
                <w:rFonts w:hint="eastAsia" w:ascii="Arial" w:hAnsi="Arial" w:cs="Arial"/>
                <w:sz w:val="20"/>
                <w:szCs w:val="20"/>
              </w:rPr>
              <w:t>梅州芋头品种优化及芋稻轮作一年两熟模式技术集成与示范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802" w:type="dxa"/>
            <w:noWrap/>
            <w:vAlign w:val="center"/>
          </w:tcPr>
          <w:p>
            <w:pPr>
              <w:widowControl/>
              <w:jc w:val="center"/>
              <w:rPr>
                <w:rFonts w:ascii="Arial" w:hAnsi="Arial" w:eastAsia="宋体" w:cs="Arial"/>
                <w:b/>
                <w:bCs/>
                <w:kern w:val="0"/>
                <w:sz w:val="20"/>
                <w:szCs w:val="20"/>
              </w:rPr>
            </w:pPr>
            <w:r>
              <w:rPr>
                <w:rFonts w:ascii="Arial" w:hAnsi="Arial" w:eastAsia="宋体" w:cs="Arial"/>
                <w:b/>
                <w:bCs/>
                <w:kern w:val="0"/>
                <w:sz w:val="20"/>
                <w:szCs w:val="20"/>
              </w:rPr>
              <w:t>登记日期：</w:t>
            </w:r>
          </w:p>
        </w:tc>
        <w:tc>
          <w:tcPr>
            <w:tcW w:w="13379" w:type="dxa"/>
            <w:noWrap/>
            <w:vAlign w:val="center"/>
          </w:tcPr>
          <w:p>
            <w:pPr>
              <w:jc w:val="left"/>
              <w:rPr>
                <w:rFonts w:hint="default" w:ascii="Arial" w:hAnsi="Arial" w:cs="Arial"/>
                <w:sz w:val="20"/>
                <w:szCs w:val="20"/>
                <w:lang w:val="en-US" w:eastAsia="zh-CN"/>
              </w:rPr>
            </w:pPr>
            <w:r>
              <w:rPr>
                <w:rFonts w:hint="eastAsia" w:ascii="Arial" w:hAnsi="Arial" w:cs="Arial"/>
                <w:sz w:val="20"/>
                <w:szCs w:val="20"/>
                <w:lang w:val="en-US" w:eastAsia="zh-CN"/>
              </w:rPr>
              <w:t>2024-06-08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802" w:type="dxa"/>
            <w:noWrap/>
            <w:vAlign w:val="center"/>
          </w:tcPr>
          <w:p>
            <w:pPr>
              <w:widowControl/>
              <w:jc w:val="center"/>
              <w:rPr>
                <w:rFonts w:ascii="Arial" w:hAnsi="Arial" w:eastAsia="宋体" w:cs="Arial"/>
                <w:b/>
                <w:bCs/>
                <w:kern w:val="0"/>
                <w:sz w:val="20"/>
                <w:szCs w:val="20"/>
              </w:rPr>
            </w:pPr>
            <w:r>
              <w:rPr>
                <w:rFonts w:ascii="Arial" w:hAnsi="Arial" w:eastAsia="宋体" w:cs="Arial"/>
                <w:b/>
                <w:bCs/>
                <w:kern w:val="0"/>
                <w:sz w:val="20"/>
                <w:szCs w:val="20"/>
              </w:rPr>
              <w:t>完成单位：</w:t>
            </w:r>
          </w:p>
        </w:tc>
        <w:tc>
          <w:tcPr>
            <w:tcW w:w="13379" w:type="dxa"/>
            <w:vAlign w:val="center"/>
          </w:tcPr>
          <w:p>
            <w:pPr>
              <w:jc w:val="left"/>
              <w:rPr>
                <w:rFonts w:hint="eastAsia" w:ascii="Arial" w:hAnsi="Arial" w:cs="Arial"/>
                <w:sz w:val="20"/>
                <w:szCs w:val="20"/>
              </w:rPr>
            </w:pPr>
            <w:r>
              <w:rPr>
                <w:rFonts w:hint="eastAsia" w:ascii="Arial" w:hAnsi="Arial" w:cs="Arial"/>
                <w:sz w:val="20"/>
                <w:szCs w:val="20"/>
                <w:lang w:val="en-US" w:eastAsia="zh-CN"/>
              </w:rPr>
              <w:t>梅州市农林科学院蔬菜研究所,梅州市强惠农业发展有限公司,广东省农业科学院蔬菜研究所,梅州市梅江区农业技术服务中心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802" w:type="dxa"/>
            <w:noWrap/>
            <w:vAlign w:val="center"/>
          </w:tcPr>
          <w:p>
            <w:pPr>
              <w:widowControl/>
              <w:jc w:val="center"/>
              <w:rPr>
                <w:rFonts w:ascii="Arial" w:hAnsi="Arial" w:eastAsia="宋体" w:cs="Arial"/>
                <w:b/>
                <w:bCs/>
                <w:kern w:val="0"/>
                <w:sz w:val="20"/>
                <w:szCs w:val="20"/>
              </w:rPr>
            </w:pPr>
            <w:r>
              <w:rPr>
                <w:rFonts w:ascii="Arial" w:hAnsi="Arial" w:eastAsia="宋体" w:cs="Arial"/>
                <w:b/>
                <w:bCs/>
                <w:kern w:val="0"/>
                <w:sz w:val="20"/>
                <w:szCs w:val="20"/>
              </w:rPr>
              <w:t>完成人员：</w:t>
            </w:r>
          </w:p>
        </w:tc>
        <w:tc>
          <w:tcPr>
            <w:tcW w:w="13379" w:type="dxa"/>
            <w:vAlign w:val="center"/>
          </w:tcPr>
          <w:p>
            <w:pPr>
              <w:jc w:val="left"/>
              <w:rPr>
                <w:rFonts w:hint="eastAsia" w:ascii="Arial" w:hAnsi="Arial" w:cs="Arial"/>
                <w:sz w:val="20"/>
                <w:szCs w:val="20"/>
              </w:rPr>
            </w:pPr>
            <w:r>
              <w:rPr>
                <w:rFonts w:hint="eastAsia" w:ascii="Arial" w:hAnsi="Arial" w:cs="Arial"/>
                <w:sz w:val="20"/>
                <w:szCs w:val="20"/>
                <w:lang w:val="en-US" w:eastAsia="zh-CN"/>
              </w:rPr>
              <w:t>张晓艳，林育炯，郭巨先，周轲，曾命彬，阙锴茹，刘国辉，张贺云，郑焕明，罗永娟，邹国洪，刘高新，张雄基，叶希，张立舒，谢真生，邹妍，曾小斌，丘朝宇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802" w:type="dxa"/>
            <w:noWrap/>
            <w:vAlign w:val="center"/>
          </w:tcPr>
          <w:p>
            <w:pPr>
              <w:widowControl/>
              <w:jc w:val="center"/>
              <w:rPr>
                <w:rFonts w:ascii="Arial" w:hAnsi="Arial" w:eastAsia="宋体" w:cs="Arial"/>
                <w:b/>
                <w:bCs/>
                <w:kern w:val="0"/>
                <w:sz w:val="20"/>
                <w:szCs w:val="20"/>
              </w:rPr>
            </w:pPr>
            <w:r>
              <w:rPr>
                <w:rFonts w:ascii="Arial" w:hAnsi="Arial" w:eastAsia="宋体" w:cs="Arial"/>
                <w:b/>
                <w:bCs/>
                <w:kern w:val="0"/>
                <w:sz w:val="20"/>
                <w:szCs w:val="20"/>
              </w:rPr>
              <w:t>研究起止日期：</w:t>
            </w:r>
          </w:p>
        </w:tc>
        <w:tc>
          <w:tcPr>
            <w:tcW w:w="13379" w:type="dxa"/>
            <w:noWrap/>
            <w:vAlign w:val="center"/>
          </w:tcPr>
          <w:p>
            <w:pPr>
              <w:jc w:val="left"/>
              <w:rPr>
                <w:rFonts w:hint="eastAsia" w:ascii="Arial" w:hAnsi="Arial" w:cs="Arial"/>
                <w:sz w:val="20"/>
                <w:szCs w:val="20"/>
              </w:rPr>
            </w:pPr>
            <w:r>
              <w:rPr>
                <w:rFonts w:hint="eastAsia" w:ascii="Arial" w:hAnsi="Arial" w:cs="Arial"/>
                <w:sz w:val="20"/>
                <w:szCs w:val="20"/>
                <w:lang w:val="en-US" w:eastAsia="zh-CN"/>
              </w:rPr>
              <w:t>2017-01-01至2024-04-30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802" w:type="dxa"/>
            <w:noWrap/>
            <w:vAlign w:val="center"/>
          </w:tcPr>
          <w:p>
            <w:pPr>
              <w:widowControl/>
              <w:jc w:val="center"/>
              <w:rPr>
                <w:rFonts w:ascii="Arial" w:hAnsi="Arial" w:eastAsia="宋体" w:cs="Arial"/>
                <w:b/>
                <w:bCs/>
                <w:kern w:val="0"/>
                <w:sz w:val="20"/>
                <w:szCs w:val="20"/>
              </w:rPr>
            </w:pPr>
            <w:r>
              <w:rPr>
                <w:rFonts w:ascii="Arial" w:hAnsi="Arial" w:eastAsia="宋体" w:cs="Arial"/>
                <w:b/>
                <w:bCs/>
                <w:kern w:val="0"/>
                <w:sz w:val="20"/>
                <w:szCs w:val="20"/>
              </w:rPr>
              <w:t>主要应用行业：</w:t>
            </w:r>
          </w:p>
        </w:tc>
        <w:tc>
          <w:tcPr>
            <w:tcW w:w="13379" w:type="dxa"/>
            <w:noWrap/>
            <w:vAlign w:val="center"/>
          </w:tcPr>
          <w:p>
            <w:pPr>
              <w:jc w:val="left"/>
              <w:rPr>
                <w:rFonts w:hint="eastAsia" w:ascii="Arial" w:hAnsi="Arial" w:cs="Arial"/>
                <w:sz w:val="20"/>
                <w:szCs w:val="20"/>
                <w:lang w:eastAsia="zh-CN"/>
              </w:rPr>
            </w:pPr>
            <w:r>
              <w:rPr>
                <w:rFonts w:hint="eastAsia" w:ascii="Arial" w:hAnsi="Arial" w:cs="Arial"/>
                <w:sz w:val="20"/>
                <w:szCs w:val="20"/>
                <w:lang w:val="en-US" w:eastAsia="zh-CN"/>
              </w:rPr>
              <w:t>农、林、牧、渔业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802" w:type="dxa"/>
            <w:noWrap/>
            <w:vAlign w:val="center"/>
          </w:tcPr>
          <w:p>
            <w:pPr>
              <w:widowControl/>
              <w:jc w:val="center"/>
              <w:rPr>
                <w:rFonts w:ascii="Arial" w:hAnsi="Arial" w:eastAsia="宋体" w:cs="Arial"/>
                <w:b/>
                <w:bCs/>
                <w:kern w:val="0"/>
                <w:sz w:val="20"/>
                <w:szCs w:val="20"/>
              </w:rPr>
            </w:pPr>
            <w:r>
              <w:rPr>
                <w:rFonts w:hint="eastAsia" w:ascii="Arial" w:hAnsi="Arial" w:eastAsia="宋体" w:cs="Arial"/>
                <w:b/>
                <w:bCs/>
                <w:kern w:val="0"/>
                <w:sz w:val="20"/>
                <w:szCs w:val="20"/>
                <w:lang w:eastAsia="zh-CN"/>
              </w:rPr>
              <w:t>高新技术领域</w:t>
            </w:r>
            <w:r>
              <w:rPr>
                <w:rFonts w:ascii="Arial" w:hAnsi="Arial" w:eastAsia="宋体" w:cs="Arial"/>
                <w:b/>
                <w:bCs/>
                <w:kern w:val="0"/>
                <w:sz w:val="20"/>
                <w:szCs w:val="20"/>
              </w:rPr>
              <w:t>：</w:t>
            </w:r>
          </w:p>
        </w:tc>
        <w:tc>
          <w:tcPr>
            <w:tcW w:w="13379" w:type="dxa"/>
            <w:noWrap/>
            <w:vAlign w:val="center"/>
          </w:tcPr>
          <w:p>
            <w:pPr>
              <w:jc w:val="left"/>
              <w:rPr>
                <w:rFonts w:hint="eastAsia" w:ascii="Arial" w:hAnsi="Arial" w:cs="Arial"/>
                <w:sz w:val="20"/>
                <w:szCs w:val="20"/>
                <w:lang w:eastAsia="zh-CN"/>
              </w:rPr>
            </w:pPr>
            <w:r>
              <w:rPr>
                <w:rFonts w:hint="eastAsia" w:ascii="Arial" w:hAnsi="Arial" w:cs="Arial"/>
                <w:sz w:val="20"/>
                <w:szCs w:val="20"/>
                <w:lang w:val="en-US" w:eastAsia="zh-CN"/>
              </w:rPr>
              <w:t>现代农业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802" w:type="dxa"/>
            <w:noWrap/>
            <w:vAlign w:val="center"/>
          </w:tcPr>
          <w:p>
            <w:pPr>
              <w:widowControl/>
              <w:jc w:val="center"/>
              <w:rPr>
                <w:rFonts w:ascii="Arial" w:hAnsi="Arial" w:eastAsia="宋体" w:cs="Arial"/>
                <w:b/>
                <w:bCs/>
                <w:kern w:val="0"/>
                <w:sz w:val="20"/>
                <w:szCs w:val="20"/>
              </w:rPr>
            </w:pPr>
            <w:r>
              <w:rPr>
                <w:rFonts w:ascii="Arial" w:hAnsi="Arial" w:eastAsia="宋体" w:cs="Arial"/>
                <w:b/>
                <w:bCs/>
                <w:kern w:val="0"/>
                <w:sz w:val="20"/>
                <w:szCs w:val="20"/>
              </w:rPr>
              <w:t>评价单位：</w:t>
            </w:r>
          </w:p>
        </w:tc>
        <w:tc>
          <w:tcPr>
            <w:tcW w:w="13379" w:type="dxa"/>
            <w:noWrap/>
            <w:vAlign w:val="center"/>
          </w:tcPr>
          <w:p>
            <w:pPr>
              <w:jc w:val="left"/>
              <w:rPr>
                <w:rFonts w:hint="eastAsia" w:ascii="Arial" w:hAnsi="Arial" w:cs="Arial"/>
                <w:sz w:val="20"/>
                <w:szCs w:val="20"/>
              </w:rPr>
            </w:pPr>
            <w:r>
              <w:rPr>
                <w:rFonts w:hint="eastAsia" w:ascii="Arial" w:hAnsi="Arial" w:cs="Arial"/>
                <w:sz w:val="20"/>
                <w:szCs w:val="20"/>
                <w:lang w:val="en-US" w:eastAsia="zh-CN"/>
              </w:rPr>
              <w:t>梅州市蔬菜协会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802" w:type="dxa"/>
            <w:noWrap/>
            <w:vAlign w:val="center"/>
          </w:tcPr>
          <w:p>
            <w:pPr>
              <w:widowControl/>
              <w:jc w:val="center"/>
              <w:rPr>
                <w:rFonts w:ascii="Arial" w:hAnsi="Arial" w:eastAsia="宋体" w:cs="Arial"/>
                <w:b/>
                <w:bCs/>
                <w:kern w:val="0"/>
                <w:sz w:val="20"/>
                <w:szCs w:val="20"/>
              </w:rPr>
            </w:pPr>
            <w:r>
              <w:rPr>
                <w:rFonts w:ascii="Arial" w:hAnsi="Arial" w:eastAsia="宋体" w:cs="Arial"/>
                <w:b/>
                <w:bCs/>
                <w:kern w:val="0"/>
                <w:sz w:val="20"/>
                <w:szCs w:val="20"/>
              </w:rPr>
              <w:t>评价日期：</w:t>
            </w:r>
          </w:p>
        </w:tc>
        <w:tc>
          <w:tcPr>
            <w:tcW w:w="13379" w:type="dxa"/>
            <w:noWrap/>
            <w:vAlign w:val="center"/>
          </w:tcPr>
          <w:p>
            <w:pPr>
              <w:jc w:val="left"/>
              <w:rPr>
                <w:rFonts w:hint="eastAsia" w:ascii="Arial" w:hAnsi="Arial" w:cs="Arial"/>
                <w:sz w:val="20"/>
                <w:szCs w:val="20"/>
              </w:rPr>
            </w:pPr>
            <w:r>
              <w:rPr>
                <w:rFonts w:hint="eastAsia" w:ascii="Arial" w:hAnsi="Arial" w:cs="Arial"/>
                <w:sz w:val="20"/>
                <w:szCs w:val="20"/>
                <w:lang w:val="en-US" w:eastAsia="zh-CN"/>
              </w:rPr>
              <w:t>2024-05-21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8" w:hRule="atLeast"/>
        </w:trPr>
        <w:tc>
          <w:tcPr>
            <w:tcW w:w="1802" w:type="dxa"/>
            <w:noWrap/>
            <w:vAlign w:val="center"/>
          </w:tcPr>
          <w:p>
            <w:pPr>
              <w:widowControl/>
              <w:jc w:val="center"/>
              <w:rPr>
                <w:rFonts w:ascii="Arial" w:hAnsi="Arial" w:eastAsia="宋体" w:cs="Arial"/>
                <w:b/>
                <w:bCs/>
                <w:kern w:val="0"/>
                <w:sz w:val="20"/>
                <w:szCs w:val="20"/>
              </w:rPr>
            </w:pPr>
            <w:r>
              <w:rPr>
                <w:rFonts w:ascii="Arial" w:hAnsi="Arial" w:eastAsia="宋体" w:cs="Arial"/>
                <w:b/>
                <w:bCs/>
                <w:kern w:val="0"/>
                <w:sz w:val="20"/>
                <w:szCs w:val="20"/>
              </w:rPr>
              <w:t>成果简介：</w:t>
            </w:r>
          </w:p>
        </w:tc>
        <w:tc>
          <w:tcPr>
            <w:tcW w:w="13379" w:type="dxa"/>
          </w:tcPr>
          <w:p>
            <w:pPr>
              <w:numPr>
                <w:ilvl w:val="0"/>
                <w:numId w:val="0"/>
              </w:numPr>
              <w:jc w:val="left"/>
              <w:rPr>
                <w:rFonts w:hint="eastAsia" w:asciiTheme="minorEastAsia" w:hAnsiTheme="minorEastAsia" w:eastAsiaTheme="minorEastAsia" w:cstheme="minorEastAsia"/>
                <w:sz w:val="20"/>
                <w:szCs w:val="20"/>
              </w:rPr>
            </w:pPr>
            <w:r>
              <w:rPr>
                <w:rFonts w:hint="eastAsia" w:asciiTheme="minorEastAsia" w:hAnsiTheme="minorEastAsia" w:cstheme="minorEastAsia"/>
                <w:sz w:val="20"/>
                <w:szCs w:val="20"/>
                <w:lang w:val="en-US" w:eastAsia="zh-CN"/>
              </w:rPr>
              <w:t>一、</w:t>
            </w:r>
            <w:r>
              <w:rPr>
                <w:rFonts w:hint="eastAsia" w:asciiTheme="minorEastAsia" w:hAnsiTheme="minorEastAsia" w:eastAsiaTheme="minorEastAsia" w:cstheme="minorEastAsia"/>
                <w:sz w:val="20"/>
                <w:szCs w:val="20"/>
              </w:rPr>
              <w:t xml:space="preserve">技术概述 </w:t>
            </w:r>
          </w:p>
          <w:p>
            <w:pPr>
              <w:numPr>
                <w:ilvl w:val="0"/>
                <w:numId w:val="0"/>
              </w:numPr>
              <w:jc w:val="left"/>
              <w:rPr>
                <w:rFonts w:hint="eastAsia" w:asciiTheme="minorEastAsia" w:hAnsiTheme="minorEastAsia" w:eastAsiaTheme="minorEastAsia" w:cstheme="minorEastAsia"/>
                <w:sz w:val="20"/>
                <w:szCs w:val="20"/>
              </w:rPr>
            </w:pPr>
            <w:r>
              <w:rPr>
                <w:rFonts w:hint="eastAsia" w:asciiTheme="minorEastAsia" w:hAnsiTheme="minorEastAsia" w:eastAsiaTheme="minorEastAsia" w:cstheme="minorEastAsia"/>
                <w:sz w:val="20"/>
                <w:szCs w:val="20"/>
              </w:rPr>
              <w:t xml:space="preserve">广东是芋头的重要产区之一，芋头是梅州传统种植的粮蔬兼用作物，具有悠久的种植和食用历史，并逐渐形成了梅州本地特色的种植模式和特色菜肴或小吃，是梅州地区发展特色蔬菜产业、大力推动“粤菜师傅”工程的重要着力点。 梅州芋头产业发展势头强劲，但也面临着很多的发展瓶颈。我市芋头生产往往是单家独户的小面积生产，芋头品种除本地的白荷芋外，香芋品种都需要从外地引进，且品质参差不齐；再加上生产水平较为落后，先进的生产技术和生产观念得不到生产者的重视，依然依靠传统的经验种植，造成梅州芋头产量长期处于较低的水平；芋头的重茬问题对基本农田的占用等；以上种种原因致使梅州芋头在市场上的竞争力弱，容易受到外地市场的冲击等。因此2017年起，梅州市农林科学院蔬菜研究所联合梅州市强惠农业发展有限公司、广东省农业科学院蔬菜研究所等单位，大力开展梅州芋头产业调研、芋头新品种引进与栽培技术集成、芋头与水稻轮作一年两熟种植模式创新等系列工作，致力于有效推动梅州芋头产业的高效绿色发展，着力推动梅州地区特色蔬菜产业提质增效，助力乡村振兴、农民增产丰收。 </w:t>
            </w:r>
          </w:p>
          <w:p>
            <w:pPr>
              <w:numPr>
                <w:ilvl w:val="0"/>
                <w:numId w:val="0"/>
              </w:numPr>
              <w:jc w:val="left"/>
              <w:rPr>
                <w:rFonts w:hint="eastAsia" w:asciiTheme="minorEastAsia" w:hAnsiTheme="minorEastAsia" w:eastAsiaTheme="minorEastAsia" w:cstheme="minorEastAsia"/>
                <w:sz w:val="20"/>
                <w:szCs w:val="20"/>
              </w:rPr>
            </w:pPr>
            <w:r>
              <w:rPr>
                <w:rFonts w:hint="eastAsia" w:asciiTheme="minorEastAsia" w:hAnsiTheme="minorEastAsia" w:eastAsiaTheme="minorEastAsia" w:cstheme="minorEastAsia"/>
                <w:sz w:val="20"/>
                <w:szCs w:val="20"/>
              </w:rPr>
              <w:t xml:space="preserve">二、主要技术性能指标 </w:t>
            </w:r>
          </w:p>
          <w:p>
            <w:pPr>
              <w:numPr>
                <w:ilvl w:val="0"/>
                <w:numId w:val="0"/>
              </w:numPr>
              <w:jc w:val="left"/>
              <w:rPr>
                <w:rFonts w:hint="eastAsia" w:asciiTheme="minorEastAsia" w:hAnsiTheme="minorEastAsia" w:eastAsiaTheme="minorEastAsia" w:cstheme="minorEastAsia"/>
                <w:sz w:val="20"/>
                <w:szCs w:val="20"/>
              </w:rPr>
            </w:pPr>
            <w:r>
              <w:rPr>
                <w:rFonts w:hint="eastAsia" w:asciiTheme="minorEastAsia" w:hAnsiTheme="minorEastAsia" w:eastAsiaTheme="minorEastAsia" w:cstheme="minorEastAsia"/>
                <w:sz w:val="20"/>
                <w:szCs w:val="20"/>
              </w:rPr>
              <w:t xml:space="preserve">1、通过对梅州市芋头产业进行实地走访和电话、微信等多种形式的访问，总结出了梅州市芋头产业调研报告一份。从梅州芋头种植面积、种植区域分布、种植品种、加工产品等多方面了解了梅州芋头产业的发展现状，并深入剖析其存在的问题，提出今后梅州市芋头产业的发展对策，为做大做强梅州芋头产业提供借鉴参考。 </w:t>
            </w:r>
          </w:p>
          <w:p>
            <w:pPr>
              <w:numPr>
                <w:ilvl w:val="0"/>
                <w:numId w:val="0"/>
              </w:numPr>
              <w:jc w:val="left"/>
              <w:rPr>
                <w:rFonts w:hint="eastAsia" w:asciiTheme="minorEastAsia" w:hAnsiTheme="minorEastAsia" w:eastAsiaTheme="minorEastAsia" w:cstheme="minorEastAsia"/>
                <w:sz w:val="20"/>
                <w:szCs w:val="20"/>
              </w:rPr>
            </w:pPr>
            <w:r>
              <w:rPr>
                <w:rFonts w:hint="eastAsia" w:asciiTheme="minorEastAsia" w:hAnsiTheme="minorEastAsia" w:eastAsiaTheme="minorEastAsia" w:cstheme="minorEastAsia"/>
                <w:sz w:val="20"/>
                <w:szCs w:val="20"/>
              </w:rPr>
              <w:t xml:space="preserve">2、引进全国各地优良芋头新品种5个，包括江永香芋、炮弹芋、福鼎香芋、上杭香芋、荔浦芋等，筛选出适合梅州种植、产量高、品质优的江永香芋、福鼎香芋、上杭香芋3个品种，丰富了梅州芋头品种种类，优化了梅州芋头品种结构。 </w:t>
            </w:r>
          </w:p>
          <w:p>
            <w:pPr>
              <w:numPr>
                <w:ilvl w:val="0"/>
                <w:numId w:val="0"/>
              </w:numPr>
              <w:jc w:val="left"/>
              <w:rPr>
                <w:rFonts w:hint="eastAsia" w:asciiTheme="minorEastAsia" w:hAnsiTheme="minorEastAsia" w:eastAsiaTheme="minorEastAsia" w:cstheme="minorEastAsia"/>
                <w:sz w:val="20"/>
                <w:szCs w:val="20"/>
              </w:rPr>
            </w:pPr>
            <w:r>
              <w:rPr>
                <w:rFonts w:hint="eastAsia" w:asciiTheme="minorEastAsia" w:hAnsiTheme="minorEastAsia" w:eastAsiaTheme="minorEastAsia" w:cstheme="minorEastAsia"/>
                <w:sz w:val="20"/>
                <w:szCs w:val="20"/>
              </w:rPr>
              <w:t xml:space="preserve">3、通过品种选择、大田准备、种芋准备、播种、大田管理、病虫害防治、及时采收等系列措施的集成，总结出一套适合梅州芋头高产优质的绿色高效栽培技术。 </w:t>
            </w:r>
          </w:p>
          <w:p>
            <w:pPr>
              <w:numPr>
                <w:ilvl w:val="0"/>
                <w:numId w:val="0"/>
              </w:numPr>
              <w:jc w:val="left"/>
              <w:rPr>
                <w:rFonts w:hint="eastAsia" w:asciiTheme="minorEastAsia" w:hAnsiTheme="minorEastAsia" w:eastAsiaTheme="minorEastAsia" w:cstheme="minorEastAsia"/>
                <w:sz w:val="20"/>
                <w:szCs w:val="20"/>
              </w:rPr>
            </w:pPr>
            <w:r>
              <w:rPr>
                <w:rFonts w:hint="eastAsia" w:asciiTheme="minorEastAsia" w:hAnsiTheme="minorEastAsia" w:eastAsiaTheme="minorEastAsia" w:cstheme="minorEastAsia"/>
                <w:sz w:val="20"/>
                <w:szCs w:val="20"/>
              </w:rPr>
              <w:t xml:space="preserve">4、在充分分析梅州气候和芋头生育特点的前提下，采取系列措施，创新性摸索出“（1月-7月）芋头-（7月-11月）水稻”一年两熟的高效绿色栽培模式一套。 </w:t>
            </w:r>
          </w:p>
          <w:p>
            <w:pPr>
              <w:numPr>
                <w:ilvl w:val="0"/>
                <w:numId w:val="0"/>
              </w:numPr>
              <w:jc w:val="left"/>
              <w:rPr>
                <w:rFonts w:hint="eastAsia" w:asciiTheme="minorEastAsia" w:hAnsiTheme="minorEastAsia" w:eastAsiaTheme="minorEastAsia" w:cstheme="minorEastAsia"/>
                <w:sz w:val="20"/>
                <w:szCs w:val="20"/>
              </w:rPr>
            </w:pPr>
            <w:r>
              <w:rPr>
                <w:rFonts w:hint="eastAsia" w:asciiTheme="minorEastAsia" w:hAnsiTheme="minorEastAsia" w:eastAsiaTheme="minorEastAsia" w:cstheme="minorEastAsia"/>
                <w:sz w:val="20"/>
                <w:szCs w:val="20"/>
              </w:rPr>
              <w:t xml:space="preserve">5、制定企业标准1套，《梅江白宫芋头绿色生产技术规程》（Q/MJQH 001-2023）于2023年8月31日发布，2023年9月1日实施。 </w:t>
            </w:r>
          </w:p>
          <w:p>
            <w:pPr>
              <w:numPr>
                <w:ilvl w:val="0"/>
                <w:numId w:val="0"/>
              </w:numPr>
              <w:jc w:val="left"/>
              <w:rPr>
                <w:rFonts w:hint="eastAsia" w:asciiTheme="minorEastAsia" w:hAnsiTheme="minorEastAsia" w:eastAsiaTheme="minorEastAsia" w:cstheme="minorEastAsia"/>
                <w:sz w:val="20"/>
                <w:szCs w:val="20"/>
              </w:rPr>
            </w:pPr>
            <w:r>
              <w:rPr>
                <w:rFonts w:hint="eastAsia" w:asciiTheme="minorEastAsia" w:hAnsiTheme="minorEastAsia" w:eastAsiaTheme="minorEastAsia" w:cstheme="minorEastAsia"/>
                <w:sz w:val="20"/>
                <w:szCs w:val="20"/>
              </w:rPr>
              <w:t xml:space="preserve">6、成功打造了“梅江白宫芋头”品牌，并入选2022年第一批全国名特优新农产品名录。设计的梅江白宫芋头标识获国家版权局颁发的作品登记证书（登记号：国作登字-2023-F-00186038） </w:t>
            </w:r>
          </w:p>
          <w:p>
            <w:pPr>
              <w:numPr>
                <w:ilvl w:val="0"/>
                <w:numId w:val="0"/>
              </w:numPr>
              <w:jc w:val="left"/>
              <w:rPr>
                <w:rFonts w:hint="eastAsia" w:asciiTheme="minorEastAsia" w:hAnsiTheme="minorEastAsia" w:eastAsiaTheme="minorEastAsia" w:cstheme="minorEastAsia"/>
                <w:sz w:val="20"/>
                <w:szCs w:val="20"/>
              </w:rPr>
            </w:pPr>
            <w:r>
              <w:rPr>
                <w:rFonts w:hint="eastAsia" w:asciiTheme="minorEastAsia" w:hAnsiTheme="minorEastAsia" w:eastAsiaTheme="minorEastAsia" w:cstheme="minorEastAsia"/>
                <w:sz w:val="20"/>
                <w:szCs w:val="20"/>
              </w:rPr>
              <w:t xml:space="preserve">7、在梅州市梅江区、蕉岭县、兴宁市等地区推广种植芋头，通过采用本项目的芋头新品种、新技术和新模式，推动了累计5000亩以上的芋头生产，产值增加1895万元，达到提高了企业和农户的种植积极性，对梅州芋头产业的发展起到了极大的经济、社会、生态效益。 </w:t>
            </w:r>
          </w:p>
          <w:p>
            <w:pPr>
              <w:numPr>
                <w:ilvl w:val="0"/>
                <w:numId w:val="0"/>
              </w:numPr>
              <w:jc w:val="left"/>
              <w:rPr>
                <w:rFonts w:hint="eastAsia" w:asciiTheme="minorEastAsia" w:hAnsiTheme="minorEastAsia" w:eastAsiaTheme="minorEastAsia" w:cstheme="minorEastAsia"/>
                <w:sz w:val="20"/>
                <w:szCs w:val="20"/>
              </w:rPr>
            </w:pPr>
            <w:r>
              <w:rPr>
                <w:rFonts w:hint="eastAsia" w:asciiTheme="minorEastAsia" w:hAnsiTheme="minorEastAsia" w:eastAsiaTheme="minorEastAsia" w:cstheme="minorEastAsia"/>
                <w:sz w:val="20"/>
                <w:szCs w:val="20"/>
              </w:rPr>
              <w:t xml:space="preserve">三、技术的创造性与先进性 </w:t>
            </w:r>
          </w:p>
          <w:p>
            <w:pPr>
              <w:numPr>
                <w:ilvl w:val="0"/>
                <w:numId w:val="0"/>
              </w:numPr>
              <w:jc w:val="left"/>
              <w:rPr>
                <w:rFonts w:hint="eastAsia" w:asciiTheme="minorEastAsia" w:hAnsiTheme="minorEastAsia" w:eastAsiaTheme="minorEastAsia" w:cstheme="minorEastAsia"/>
                <w:sz w:val="20"/>
                <w:szCs w:val="20"/>
              </w:rPr>
            </w:pPr>
            <w:r>
              <w:rPr>
                <w:rFonts w:hint="eastAsia" w:asciiTheme="minorEastAsia" w:hAnsiTheme="minorEastAsia" w:eastAsiaTheme="minorEastAsia" w:cstheme="minorEastAsia"/>
                <w:sz w:val="20"/>
                <w:szCs w:val="20"/>
              </w:rPr>
              <w:t xml:space="preserve">1、首次对梅州芋头产业进行分析，并形成产业调研报告1份。通过对梅州市芋头产业进行实地走访和电话、微信等多种形式的访问，总结出了梅州市芋头产业调研报告一份。从梅州芋头种植面积、种植区域分布、种植品种、加工产品等多方面了解了梅州芋头产业的发展现状，并深入剖析其存在的问题，提出今后梅州市芋头产业的发展对策，为做大做强梅州芋头产业提供借鉴参考。 </w:t>
            </w:r>
          </w:p>
          <w:p>
            <w:pPr>
              <w:numPr>
                <w:ilvl w:val="0"/>
                <w:numId w:val="0"/>
              </w:numPr>
              <w:jc w:val="left"/>
              <w:rPr>
                <w:rFonts w:hint="eastAsia" w:asciiTheme="minorEastAsia" w:hAnsiTheme="minorEastAsia" w:eastAsiaTheme="minorEastAsia" w:cstheme="minorEastAsia"/>
                <w:sz w:val="20"/>
                <w:szCs w:val="20"/>
              </w:rPr>
            </w:pPr>
            <w:r>
              <w:rPr>
                <w:rFonts w:hint="eastAsia" w:asciiTheme="minorEastAsia" w:hAnsiTheme="minorEastAsia" w:eastAsiaTheme="minorEastAsia" w:cstheme="minorEastAsia"/>
                <w:sz w:val="20"/>
                <w:szCs w:val="20"/>
              </w:rPr>
              <w:t xml:space="preserve">2、率先在梅州开展芋头的新品种引进试验，广泛引进各地优良芋头新品种5个，包括江永香芋、炮弹芋、福鼎香芋、上杭香芋、荔浦芋等，通过产量、母芋芋型相关指标的比较试验，筛选出适合梅州种植、产量高、品质优的江永香芋、福鼎香芋、上杭香芋3个品种，丰富了梅州芋头品种种类，优化了梅州芋头品种结构。 </w:t>
            </w:r>
          </w:p>
          <w:p>
            <w:pPr>
              <w:numPr>
                <w:ilvl w:val="0"/>
                <w:numId w:val="0"/>
              </w:numPr>
              <w:jc w:val="left"/>
              <w:rPr>
                <w:rFonts w:hint="eastAsia" w:asciiTheme="minorEastAsia" w:hAnsiTheme="minorEastAsia" w:eastAsiaTheme="minorEastAsia" w:cstheme="minorEastAsia"/>
                <w:sz w:val="20"/>
                <w:szCs w:val="20"/>
              </w:rPr>
            </w:pPr>
            <w:r>
              <w:rPr>
                <w:rFonts w:hint="eastAsia" w:asciiTheme="minorEastAsia" w:hAnsiTheme="minorEastAsia" w:eastAsiaTheme="minorEastAsia" w:cstheme="minorEastAsia"/>
                <w:sz w:val="20"/>
                <w:szCs w:val="20"/>
              </w:rPr>
              <w:t xml:space="preserve">3、通过品种选择、大田准备、种芋准备、播种、大田管理、病虫害防治、及时采收等系列措施的总结，集成一套适合梅州芋头高产优质的绿色高效栽培技术，有效提高了梅州企业和农户的芋头种植水平，进一步提升了梅州芋头的市场竞争力，并发布企业标准一套，推动梅州芋头生产走向标准化、规范化道路。 </w:t>
            </w:r>
          </w:p>
          <w:p>
            <w:pPr>
              <w:numPr>
                <w:ilvl w:val="0"/>
                <w:numId w:val="0"/>
              </w:numPr>
              <w:jc w:val="left"/>
              <w:rPr>
                <w:rFonts w:hint="eastAsia" w:asciiTheme="minorEastAsia" w:hAnsiTheme="minorEastAsia" w:eastAsiaTheme="minorEastAsia" w:cstheme="minorEastAsia"/>
                <w:sz w:val="20"/>
                <w:szCs w:val="20"/>
              </w:rPr>
            </w:pPr>
            <w:r>
              <w:rPr>
                <w:rFonts w:hint="eastAsia" w:asciiTheme="minorEastAsia" w:hAnsiTheme="minorEastAsia" w:eastAsiaTheme="minorEastAsia" w:cstheme="minorEastAsia"/>
                <w:sz w:val="20"/>
                <w:szCs w:val="20"/>
              </w:rPr>
              <w:t>4、在充分分析梅州气候和芋头生育特点的前提下，采取一系列措施，创新性摸索出“（1月-7月）芋头-（7月-11月）水稻”一年两熟的高效绿色栽培模式，通过提早种植、提前采收，抢得市场高价，增加芋头种植效益的同时，不影响夏秋季水稻的移栽，实现了生态、环保的水旱轮作绿色高效栽培模式，保证了梅州芋头的良性循环生产，同时也确保了基本农田必须种植水稻的政策任务。</w:t>
            </w:r>
          </w:p>
          <w:p>
            <w:pPr>
              <w:widowControl w:val="0"/>
              <w:numPr>
                <w:ilvl w:val="0"/>
                <w:numId w:val="0"/>
              </w:numPr>
              <w:jc w:val="left"/>
              <w:rPr>
                <w:rFonts w:hint="eastAsia" w:asciiTheme="minorEastAsia" w:hAnsiTheme="minorEastAsia" w:eastAsiaTheme="minorEastAsia" w:cstheme="minorEastAsia"/>
                <w:sz w:val="20"/>
                <w:szCs w:val="20"/>
              </w:rPr>
            </w:pPr>
          </w:p>
          <w:p>
            <w:pPr>
              <w:widowControl w:val="0"/>
              <w:numPr>
                <w:ilvl w:val="0"/>
                <w:numId w:val="0"/>
              </w:numPr>
              <w:jc w:val="left"/>
              <w:rPr>
                <w:rFonts w:hint="eastAsia" w:asciiTheme="minorEastAsia" w:hAnsiTheme="minorEastAsia" w:eastAsiaTheme="minorEastAsia" w:cstheme="minorEastAsia"/>
                <w:sz w:val="20"/>
                <w:szCs w:val="20"/>
              </w:rPr>
            </w:pPr>
          </w:p>
          <w:p>
            <w:pPr>
              <w:widowControl w:val="0"/>
              <w:numPr>
                <w:ilvl w:val="0"/>
                <w:numId w:val="0"/>
              </w:numPr>
              <w:jc w:val="left"/>
              <w:rPr>
                <w:rFonts w:hint="eastAsia" w:asciiTheme="minorEastAsia" w:hAnsiTheme="minorEastAsia" w:eastAsiaTheme="minorEastAsia" w:cstheme="minorEastAsia"/>
                <w:sz w:val="20"/>
                <w:szCs w:val="20"/>
              </w:rPr>
            </w:pPr>
          </w:p>
          <w:p>
            <w:pPr>
              <w:widowControl w:val="0"/>
              <w:numPr>
                <w:ilvl w:val="0"/>
                <w:numId w:val="0"/>
              </w:numPr>
              <w:jc w:val="left"/>
              <w:rPr>
                <w:rFonts w:hint="eastAsia" w:asciiTheme="minorEastAsia" w:hAnsiTheme="minorEastAsia" w:eastAsiaTheme="minorEastAsia" w:cstheme="minorEastAsia"/>
                <w:sz w:val="20"/>
                <w:szCs w:val="20"/>
              </w:rPr>
            </w:pPr>
          </w:p>
          <w:p>
            <w:pPr>
              <w:widowControl w:val="0"/>
              <w:numPr>
                <w:ilvl w:val="0"/>
                <w:numId w:val="0"/>
              </w:numPr>
              <w:jc w:val="left"/>
              <w:rPr>
                <w:rFonts w:hint="eastAsia" w:asciiTheme="minorEastAsia" w:hAnsiTheme="minorEastAsia" w:eastAsiaTheme="minorEastAsia" w:cstheme="minorEastAsia"/>
                <w:sz w:val="20"/>
                <w:szCs w:val="20"/>
              </w:rPr>
            </w:pPr>
          </w:p>
          <w:p>
            <w:pPr>
              <w:widowControl w:val="0"/>
              <w:numPr>
                <w:ilvl w:val="0"/>
                <w:numId w:val="0"/>
              </w:numPr>
              <w:jc w:val="left"/>
              <w:rPr>
                <w:rFonts w:hint="eastAsia" w:asciiTheme="minorEastAsia" w:hAnsiTheme="minorEastAsia" w:eastAsiaTheme="minorEastAsia" w:cstheme="minorEastAsia"/>
                <w:sz w:val="20"/>
                <w:szCs w:val="20"/>
              </w:rPr>
            </w:pPr>
          </w:p>
          <w:p>
            <w:pPr>
              <w:widowControl w:val="0"/>
              <w:numPr>
                <w:ilvl w:val="0"/>
                <w:numId w:val="0"/>
              </w:numPr>
              <w:jc w:val="left"/>
              <w:rPr>
                <w:rFonts w:hint="eastAsia" w:asciiTheme="minorEastAsia" w:hAnsiTheme="minorEastAsia" w:eastAsiaTheme="minorEastAsia" w:cstheme="minorEastAsia"/>
                <w:sz w:val="20"/>
                <w:szCs w:val="20"/>
              </w:rPr>
            </w:pPr>
          </w:p>
          <w:p>
            <w:pPr>
              <w:widowControl w:val="0"/>
              <w:numPr>
                <w:ilvl w:val="0"/>
                <w:numId w:val="0"/>
              </w:numPr>
              <w:jc w:val="left"/>
              <w:rPr>
                <w:rFonts w:hint="eastAsia" w:asciiTheme="minorEastAsia" w:hAnsiTheme="minorEastAsia" w:eastAsiaTheme="minorEastAsia" w:cstheme="minorEastAsia"/>
                <w:sz w:val="20"/>
                <w:szCs w:val="20"/>
              </w:rPr>
            </w:pPr>
            <w:bookmarkStart w:id="0" w:name="_GoBack"/>
            <w:bookmarkEnd w:id="0"/>
          </w:p>
          <w:p>
            <w:pPr>
              <w:widowControl w:val="0"/>
              <w:numPr>
                <w:ilvl w:val="0"/>
                <w:numId w:val="0"/>
              </w:numPr>
              <w:jc w:val="left"/>
              <w:rPr>
                <w:rFonts w:hint="eastAsia" w:asciiTheme="minorEastAsia" w:hAnsiTheme="minorEastAsia" w:eastAsiaTheme="minorEastAsia" w:cstheme="minorEastAsia"/>
                <w:sz w:val="20"/>
                <w:szCs w:val="20"/>
              </w:rPr>
            </w:pPr>
          </w:p>
          <w:p>
            <w:pPr>
              <w:widowControl w:val="0"/>
              <w:numPr>
                <w:ilvl w:val="0"/>
                <w:numId w:val="0"/>
              </w:numPr>
              <w:jc w:val="left"/>
              <w:rPr>
                <w:rFonts w:hint="eastAsia" w:asciiTheme="minorEastAsia" w:hAnsiTheme="minorEastAsia" w:eastAsiaTheme="minorEastAsia" w:cstheme="minorEastAsia"/>
                <w:sz w:val="20"/>
                <w:szCs w:val="20"/>
              </w:rPr>
            </w:pPr>
          </w:p>
          <w:p>
            <w:pPr>
              <w:widowControl w:val="0"/>
              <w:numPr>
                <w:ilvl w:val="0"/>
                <w:numId w:val="0"/>
              </w:numPr>
              <w:jc w:val="left"/>
              <w:rPr>
                <w:rFonts w:hint="eastAsia" w:asciiTheme="minorEastAsia" w:hAnsiTheme="minorEastAsia" w:eastAsiaTheme="minorEastAsia" w:cstheme="minorEastAsia"/>
                <w:sz w:val="20"/>
                <w:szCs w:val="20"/>
              </w:rPr>
            </w:pPr>
          </w:p>
          <w:p>
            <w:pPr>
              <w:widowControl w:val="0"/>
              <w:numPr>
                <w:ilvl w:val="0"/>
                <w:numId w:val="0"/>
              </w:numPr>
              <w:jc w:val="left"/>
              <w:rPr>
                <w:rFonts w:hint="eastAsia" w:asciiTheme="minorEastAsia" w:hAnsiTheme="minorEastAsia" w:eastAsiaTheme="minorEastAsia" w:cstheme="minorEastAsia"/>
                <w:sz w:val="20"/>
                <w:szCs w:val="20"/>
              </w:rPr>
            </w:pPr>
          </w:p>
        </w:tc>
      </w:tr>
    </w:tbl>
    <w:p>
      <w:pPr>
        <w:keepNext w:val="0"/>
        <w:keepLines w:val="0"/>
        <w:pageBreakBefore w:val="0"/>
        <w:widowControl w:val="0"/>
        <w:kinsoku/>
        <w:wordWrap/>
        <w:overflowPunct/>
        <w:topLinePunct w:val="0"/>
        <w:autoSpaceDE/>
        <w:autoSpaceDN/>
        <w:bidi w:val="0"/>
        <w:adjustRightInd/>
        <w:snapToGrid/>
        <w:spacing w:line="0" w:lineRule="atLeast"/>
        <w:ind w:firstLine="283" w:firstLineChars="0"/>
        <w:jc w:val="left"/>
        <w:textAlignment w:val="auto"/>
        <w:rPr>
          <w:lang w:val="en-US" w:eastAsia="zh-CN"/>
        </w:rPr>
      </w:pPr>
    </w:p>
    <w:sectPr>
      <w:pgSz w:w="16838" w:h="11906" w:orient="landscape"/>
      <w:pgMar w:top="1134" w:right="851" w:bottom="1134" w:left="85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文星仿宋">
    <w:panose1 w:val="02010609000101010101"/>
    <w:charset w:val="86"/>
    <w:family w:val="auto"/>
    <w:pitch w:val="default"/>
    <w:sig w:usb0="00000001" w:usb1="080E0000" w:usb2="00000000" w:usb3="00000000" w:csb0="00040000" w:csb1="00000000"/>
  </w:font>
  <w:font w:name="文星标宋">
    <w:panose1 w:val="02010609000101010101"/>
    <w:charset w:val="86"/>
    <w:family w:val="auto"/>
    <w:pitch w:val="default"/>
    <w:sig w:usb0="00000001" w:usb1="080E0000" w:usb2="00000000" w:usb3="00000000" w:csb0="00040000" w:csb1="00000000"/>
  </w:font>
  <w:font w:name="文星楷体">
    <w:panose1 w:val="0201060900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ZGYzYWRlODMwOTZlNGFiYjA0NTQzMGY3NmZlYzljMjEifQ=="/>
  </w:docVars>
  <w:rsids>
    <w:rsidRoot w:val="005135FE"/>
    <w:rsid w:val="000330E2"/>
    <w:rsid w:val="0004218E"/>
    <w:rsid w:val="00047274"/>
    <w:rsid w:val="0005761E"/>
    <w:rsid w:val="00075CC2"/>
    <w:rsid w:val="000839B1"/>
    <w:rsid w:val="00093929"/>
    <w:rsid w:val="000B27B8"/>
    <w:rsid w:val="000C2928"/>
    <w:rsid w:val="001220BE"/>
    <w:rsid w:val="00127CC3"/>
    <w:rsid w:val="00131672"/>
    <w:rsid w:val="00143D35"/>
    <w:rsid w:val="00185B01"/>
    <w:rsid w:val="001A229C"/>
    <w:rsid w:val="002255A2"/>
    <w:rsid w:val="002306E3"/>
    <w:rsid w:val="00240CC1"/>
    <w:rsid w:val="0024138C"/>
    <w:rsid w:val="002418C3"/>
    <w:rsid w:val="00261674"/>
    <w:rsid w:val="0026442F"/>
    <w:rsid w:val="00271CCA"/>
    <w:rsid w:val="002804F0"/>
    <w:rsid w:val="00285C26"/>
    <w:rsid w:val="002A7BEB"/>
    <w:rsid w:val="002B1FB2"/>
    <w:rsid w:val="002B2BE4"/>
    <w:rsid w:val="002B50F4"/>
    <w:rsid w:val="002C2528"/>
    <w:rsid w:val="002D4BCA"/>
    <w:rsid w:val="002D7A87"/>
    <w:rsid w:val="002E603C"/>
    <w:rsid w:val="002F3AA7"/>
    <w:rsid w:val="00327D22"/>
    <w:rsid w:val="0033720B"/>
    <w:rsid w:val="0036118B"/>
    <w:rsid w:val="00363F35"/>
    <w:rsid w:val="00373EE0"/>
    <w:rsid w:val="003B0170"/>
    <w:rsid w:val="003B44DE"/>
    <w:rsid w:val="003C6755"/>
    <w:rsid w:val="003D4A18"/>
    <w:rsid w:val="003E7C9B"/>
    <w:rsid w:val="003F5465"/>
    <w:rsid w:val="00412AEB"/>
    <w:rsid w:val="0041460D"/>
    <w:rsid w:val="00422D47"/>
    <w:rsid w:val="004309A3"/>
    <w:rsid w:val="00446426"/>
    <w:rsid w:val="00474178"/>
    <w:rsid w:val="00495E99"/>
    <w:rsid w:val="004B4019"/>
    <w:rsid w:val="004B7012"/>
    <w:rsid w:val="004C2F92"/>
    <w:rsid w:val="004C6E72"/>
    <w:rsid w:val="004D7261"/>
    <w:rsid w:val="004E43D5"/>
    <w:rsid w:val="004E67CB"/>
    <w:rsid w:val="005135FE"/>
    <w:rsid w:val="00517F18"/>
    <w:rsid w:val="00573F53"/>
    <w:rsid w:val="005753F7"/>
    <w:rsid w:val="005808C7"/>
    <w:rsid w:val="00583762"/>
    <w:rsid w:val="005A1ADE"/>
    <w:rsid w:val="005A2C6C"/>
    <w:rsid w:val="005C4EC4"/>
    <w:rsid w:val="005E325C"/>
    <w:rsid w:val="00620AAC"/>
    <w:rsid w:val="0069399F"/>
    <w:rsid w:val="006C390C"/>
    <w:rsid w:val="006C39B5"/>
    <w:rsid w:val="006E33BF"/>
    <w:rsid w:val="006F3B33"/>
    <w:rsid w:val="00751ADF"/>
    <w:rsid w:val="007576CA"/>
    <w:rsid w:val="0076247F"/>
    <w:rsid w:val="007929C1"/>
    <w:rsid w:val="007A28D4"/>
    <w:rsid w:val="007A746D"/>
    <w:rsid w:val="007D72B4"/>
    <w:rsid w:val="007F1FAB"/>
    <w:rsid w:val="00805D9A"/>
    <w:rsid w:val="00810796"/>
    <w:rsid w:val="00810BD7"/>
    <w:rsid w:val="008310D5"/>
    <w:rsid w:val="00832C1A"/>
    <w:rsid w:val="00872ADB"/>
    <w:rsid w:val="00891EAD"/>
    <w:rsid w:val="00893DE5"/>
    <w:rsid w:val="008B0C5B"/>
    <w:rsid w:val="008C78F9"/>
    <w:rsid w:val="008F465E"/>
    <w:rsid w:val="00942698"/>
    <w:rsid w:val="00945952"/>
    <w:rsid w:val="009510CF"/>
    <w:rsid w:val="00967933"/>
    <w:rsid w:val="0098662B"/>
    <w:rsid w:val="009963BF"/>
    <w:rsid w:val="00996D46"/>
    <w:rsid w:val="009B3ACA"/>
    <w:rsid w:val="009C2629"/>
    <w:rsid w:val="009F25E7"/>
    <w:rsid w:val="00A070E4"/>
    <w:rsid w:val="00A34F9C"/>
    <w:rsid w:val="00A64DE8"/>
    <w:rsid w:val="00A7605E"/>
    <w:rsid w:val="00A955EB"/>
    <w:rsid w:val="00A97D01"/>
    <w:rsid w:val="00AC1864"/>
    <w:rsid w:val="00AD378B"/>
    <w:rsid w:val="00AE29B3"/>
    <w:rsid w:val="00B02A42"/>
    <w:rsid w:val="00B038B0"/>
    <w:rsid w:val="00B05D31"/>
    <w:rsid w:val="00B161AD"/>
    <w:rsid w:val="00B215A3"/>
    <w:rsid w:val="00B32246"/>
    <w:rsid w:val="00B45136"/>
    <w:rsid w:val="00B84D98"/>
    <w:rsid w:val="00BB0B94"/>
    <w:rsid w:val="00BD3AF8"/>
    <w:rsid w:val="00BE0D9A"/>
    <w:rsid w:val="00BE2E6B"/>
    <w:rsid w:val="00BF25E9"/>
    <w:rsid w:val="00C165DC"/>
    <w:rsid w:val="00C20104"/>
    <w:rsid w:val="00C206A2"/>
    <w:rsid w:val="00C8501D"/>
    <w:rsid w:val="00C940D1"/>
    <w:rsid w:val="00CA4637"/>
    <w:rsid w:val="00CA69D4"/>
    <w:rsid w:val="00CB2EFB"/>
    <w:rsid w:val="00CC5842"/>
    <w:rsid w:val="00CC671C"/>
    <w:rsid w:val="00CE37BF"/>
    <w:rsid w:val="00CE3D78"/>
    <w:rsid w:val="00CF2C75"/>
    <w:rsid w:val="00D1587A"/>
    <w:rsid w:val="00D27DEE"/>
    <w:rsid w:val="00D623D7"/>
    <w:rsid w:val="00D7029C"/>
    <w:rsid w:val="00D775E4"/>
    <w:rsid w:val="00D94D40"/>
    <w:rsid w:val="00DA4576"/>
    <w:rsid w:val="00DB5FAE"/>
    <w:rsid w:val="00DD2D3D"/>
    <w:rsid w:val="00DE17B1"/>
    <w:rsid w:val="00DE1F7A"/>
    <w:rsid w:val="00DE6823"/>
    <w:rsid w:val="00E41286"/>
    <w:rsid w:val="00E553AC"/>
    <w:rsid w:val="00E559A8"/>
    <w:rsid w:val="00E56C56"/>
    <w:rsid w:val="00E672A7"/>
    <w:rsid w:val="00E83A3A"/>
    <w:rsid w:val="00EB4718"/>
    <w:rsid w:val="00EC41CD"/>
    <w:rsid w:val="00EC6E0E"/>
    <w:rsid w:val="00ED43AB"/>
    <w:rsid w:val="00F02B70"/>
    <w:rsid w:val="00F07240"/>
    <w:rsid w:val="00F17457"/>
    <w:rsid w:val="00F226A1"/>
    <w:rsid w:val="00F547A5"/>
    <w:rsid w:val="00F568F1"/>
    <w:rsid w:val="00F713C6"/>
    <w:rsid w:val="00F75D98"/>
    <w:rsid w:val="00F902CC"/>
    <w:rsid w:val="00F97C50"/>
    <w:rsid w:val="00FB681F"/>
    <w:rsid w:val="00FE0EFC"/>
    <w:rsid w:val="00FF4918"/>
    <w:rsid w:val="00FF780F"/>
    <w:rsid w:val="05CA5D89"/>
    <w:rsid w:val="142E79CA"/>
    <w:rsid w:val="164336C4"/>
    <w:rsid w:val="17194FBC"/>
    <w:rsid w:val="19F41387"/>
    <w:rsid w:val="1CEE40E0"/>
    <w:rsid w:val="200B777F"/>
    <w:rsid w:val="252A1B8C"/>
    <w:rsid w:val="27B64475"/>
    <w:rsid w:val="2AF90152"/>
    <w:rsid w:val="30F62DCD"/>
    <w:rsid w:val="349B2385"/>
    <w:rsid w:val="43A25F0F"/>
    <w:rsid w:val="4B4C4BB5"/>
    <w:rsid w:val="4BC250BC"/>
    <w:rsid w:val="51BC2EEB"/>
    <w:rsid w:val="59F46E76"/>
    <w:rsid w:val="6C7C2B89"/>
    <w:rsid w:val="6F860C8F"/>
    <w:rsid w:val="7B662A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semiHidden/>
    <w:unhideWhenUsed/>
    <w:qFormat/>
    <w:uiPriority w:val="99"/>
    <w:pPr>
      <w:tabs>
        <w:tab w:val="center" w:pos="4153"/>
        <w:tab w:val="right" w:pos="8306"/>
      </w:tabs>
      <w:snapToGrid w:val="0"/>
      <w:jc w:val="left"/>
    </w:pPr>
    <w:rPr>
      <w:sz w:val="18"/>
      <w:szCs w:val="18"/>
    </w:rPr>
  </w:style>
  <w:style w:type="paragraph" w:styleId="3">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7">
    <w:name w:val="页眉 Char"/>
    <w:basedOn w:val="6"/>
    <w:link w:val="3"/>
    <w:semiHidden/>
    <w:qFormat/>
    <w:uiPriority w:val="99"/>
    <w:rPr>
      <w:sz w:val="18"/>
      <w:szCs w:val="18"/>
    </w:rPr>
  </w:style>
  <w:style w:type="character" w:customStyle="1" w:styleId="8">
    <w:name w:val="页脚 Char"/>
    <w:basedOn w:val="6"/>
    <w:link w:val="2"/>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3</Pages>
  <Words>290</Words>
  <Characters>1655</Characters>
  <Lines>13</Lines>
  <Paragraphs>3</Paragraphs>
  <TotalTime>19</TotalTime>
  <ScaleCrop>false</ScaleCrop>
  <LinksUpToDate>false</LinksUpToDate>
  <CharactersWithSpaces>1942</CharactersWithSpaces>
  <Application>WPS Office_11.8.2.12011_F1E327BC-269C-435d-A152-05C5408002CA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2023-09-11T03:54:00Z</dcterms:created>
  <dc:creator>diy</dc:creator>
  <cp:lastModifiedBy>鱼</cp:lastModifiedBy>
  <cp:lastPrinted>2024-06-11T08:18:00Z</cp:lastPrinted>
  <dcterms:modified xsi:type="dcterms:W3CDTF">2024-06-19T01:50:22Z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2052-11.8.2.12011</vt:lpwstr>
  </property>
  <property fmtid="{D5CDD505-2E9C-101B-9397-08002B2CF9AE}" pid="3" name="ICV">
    <vt:lpwstr>914D68F40C444D12831EAF4F7AF28C9D_13</vt:lpwstr>
  </property>
</Properties>
</file>