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hd w:val="clear" w:color="auto" w:fill="FFFFFF"/>
        <w:spacing w:beforeAutospacing="0" w:afterAutospacing="0" w:line="570" w:lineRule="atLeast"/>
        <w:jc w:val="center"/>
        <w:rPr>
          <w:rFonts w:ascii="仿宋" w:hAnsi="仿宋" w:eastAsia="仿宋" w:cs="仿宋"/>
          <w:color w:val="333333"/>
          <w:sz w:val="31"/>
          <w:szCs w:val="31"/>
          <w:shd w:val="clear" w:color="auto" w:fill="FFFFFF"/>
        </w:rPr>
      </w:pPr>
    </w:p>
    <w:p>
      <w:pPr>
        <w:pStyle w:val="5"/>
        <w:widowControl/>
        <w:shd w:val="clear" w:color="auto" w:fill="FFFFFF"/>
        <w:spacing w:beforeAutospacing="0" w:afterAutospacing="0" w:line="560" w:lineRule="exact"/>
        <w:jc w:val="center"/>
        <w:rPr>
          <w:rFonts w:ascii="方正小标宋简体" w:hAnsi="方正小标宋简体" w:eastAsia="方正小标宋简体" w:cs="方正小标宋简体"/>
          <w:color w:val="333333"/>
          <w:sz w:val="44"/>
          <w:szCs w:val="44"/>
          <w:shd w:val="clear" w:color="auto" w:fill="FFFFFF"/>
        </w:rPr>
      </w:pPr>
      <w:r>
        <w:rPr>
          <w:rFonts w:hint="eastAsia" w:ascii="方正小标宋简体" w:hAnsi="方正小标宋简体" w:eastAsia="方正小标宋简体" w:cs="方正小标宋简体"/>
          <w:color w:val="333333"/>
          <w:sz w:val="44"/>
          <w:szCs w:val="44"/>
          <w:shd w:val="clear" w:color="auto" w:fill="FFFFFF"/>
        </w:rPr>
        <w:t>梅州市农村集体经营性建设用地入市</w:t>
      </w:r>
    </w:p>
    <w:p>
      <w:pPr>
        <w:pStyle w:val="5"/>
        <w:widowControl/>
        <w:shd w:val="clear" w:color="auto" w:fill="FFFFFF"/>
        <w:spacing w:beforeAutospacing="0" w:afterAutospacing="0" w:line="560" w:lineRule="exact"/>
        <w:jc w:val="center"/>
        <w:rPr>
          <w:rFonts w:ascii="方正小标宋简体" w:hAnsi="方正小标宋简体" w:eastAsia="方正小标宋简体" w:cs="方正小标宋简体"/>
          <w:color w:val="333333"/>
          <w:sz w:val="44"/>
          <w:szCs w:val="44"/>
        </w:rPr>
      </w:pPr>
      <w:r>
        <w:rPr>
          <w:rFonts w:hint="eastAsia" w:ascii="方正小标宋简体" w:hAnsi="方正小标宋简体" w:eastAsia="方正小标宋简体" w:cs="方正小标宋简体"/>
          <w:color w:val="333333"/>
          <w:sz w:val="44"/>
          <w:szCs w:val="44"/>
          <w:shd w:val="clear" w:color="auto" w:fill="FFFFFF"/>
        </w:rPr>
        <w:t>交易规则（试行）</w:t>
      </w:r>
    </w:p>
    <w:p>
      <w:pPr>
        <w:pStyle w:val="5"/>
        <w:widowControl/>
        <w:shd w:val="clear" w:color="auto" w:fill="FFFFFF"/>
        <w:spacing w:beforeAutospacing="0" w:afterAutospacing="0" w:line="560" w:lineRule="exact"/>
        <w:jc w:val="center"/>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（征求意见稿）</w:t>
      </w:r>
      <w:bookmarkStart w:id="0" w:name="_GoBack"/>
      <w:bookmarkEnd w:id="0"/>
    </w:p>
    <w:p>
      <w:pPr>
        <w:pStyle w:val="5"/>
        <w:widowControl/>
        <w:shd w:val="clear" w:color="auto" w:fill="FFFFFF"/>
        <w:spacing w:beforeAutospacing="0" w:afterAutospacing="0" w:line="560" w:lineRule="exact"/>
        <w:jc w:val="center"/>
        <w:rPr>
          <w:rFonts w:ascii="仿宋" w:hAnsi="仿宋" w:eastAsia="仿宋" w:cs="仿宋"/>
          <w:color w:val="333333"/>
          <w:sz w:val="31"/>
          <w:szCs w:val="31"/>
          <w:shd w:val="clear" w:color="auto" w:fill="FFFFFF"/>
        </w:rPr>
      </w:pPr>
    </w:p>
    <w:p>
      <w:pPr>
        <w:pStyle w:val="5"/>
        <w:widowControl/>
        <w:shd w:val="clear" w:color="auto" w:fill="FFFFFF"/>
        <w:spacing w:beforeAutospacing="0" w:afterAutospacing="0" w:line="560" w:lineRule="exact"/>
        <w:jc w:val="center"/>
        <w:rPr>
          <w:rFonts w:ascii="仿宋" w:hAnsi="仿宋" w:eastAsia="仿宋" w:cs="仿宋"/>
          <w:color w:val="333333"/>
          <w:sz w:val="32"/>
          <w:szCs w:val="32"/>
        </w:rPr>
      </w:pPr>
      <w:r>
        <w:rPr>
          <w:rFonts w:ascii="黑体" w:hAnsi="宋体" w:eastAsia="黑体" w:cs="黑体"/>
          <w:color w:val="333333"/>
          <w:sz w:val="32"/>
          <w:szCs w:val="32"/>
          <w:shd w:val="clear" w:color="auto" w:fill="FFFFFF"/>
        </w:rPr>
        <w:t>第一章 总 则</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第一条</w:t>
      </w:r>
      <w:r>
        <w:rPr>
          <w:rFonts w:hint="eastAsia" w:ascii="仿宋_GB2312" w:hAnsi="仿宋_GB2312" w:eastAsia="仿宋_GB2312" w:cs="仿宋_GB2312"/>
          <w:color w:val="333333"/>
          <w:sz w:val="32"/>
          <w:szCs w:val="32"/>
          <w:shd w:val="clear" w:color="auto" w:fill="FFFFFF"/>
        </w:rPr>
        <w:t xml:space="preserve"> 为规范农村集体经营性建设用地使用权交易行为，维护各方权益，根据《中华人民共和国土地管理法》《中华人民共和国土地管理法实施条例》等法律法规，参照《广东省国有建设用地使用权交易市场管理规定》和《梅州市农村集体经营性建设用地入市改革工作指引》，结合本市实际，制定本规则。</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bCs/>
          <w:color w:val="333333"/>
          <w:sz w:val="32"/>
          <w:szCs w:val="32"/>
          <w:shd w:val="clear" w:color="auto" w:fill="FFFFFF"/>
        </w:rPr>
        <w:t>第二条</w:t>
      </w:r>
      <w:r>
        <w:rPr>
          <w:rFonts w:hint="eastAsia" w:ascii="仿宋_GB2312" w:hAnsi="仿宋_GB2312" w:eastAsia="仿宋_GB2312" w:cs="仿宋_GB2312"/>
          <w:color w:val="333333"/>
          <w:sz w:val="32"/>
          <w:szCs w:val="32"/>
          <w:shd w:val="clear" w:color="auto" w:fill="FFFFFF"/>
        </w:rPr>
        <w:t xml:space="preserve"> 梅州市行政区域内国土空间规划确定为工业、商业等经营性用途，且已依法</w:t>
      </w:r>
      <w:r>
        <w:rPr>
          <w:rFonts w:hint="eastAsia" w:ascii="仿宋_GB2312" w:hAnsi="仿宋_GB2312" w:eastAsia="仿宋_GB2312" w:cs="仿宋_GB2312"/>
          <w:color w:val="333333"/>
          <w:sz w:val="32"/>
          <w:szCs w:val="32"/>
          <w:highlight w:val="none"/>
          <w:shd w:val="clear" w:color="auto" w:fill="FFFFFF"/>
        </w:rPr>
        <w:t>登</w:t>
      </w:r>
      <w:r>
        <w:rPr>
          <w:rFonts w:hint="eastAsia" w:ascii="仿宋_GB2312" w:hAnsi="仿宋_GB2312" w:eastAsia="仿宋_GB2312" w:cs="仿宋_GB2312"/>
          <w:color w:val="333333"/>
          <w:sz w:val="32"/>
          <w:szCs w:val="32"/>
          <w:shd w:val="clear" w:color="auto" w:fill="FFFFFF"/>
        </w:rPr>
        <w:t>记的农村集体经营性建设用地使用权交易，适用本规则。</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第三条</w:t>
      </w:r>
      <w:r>
        <w:rPr>
          <w:rFonts w:hint="eastAsia" w:ascii="仿宋_GB2312" w:hAnsi="仿宋_GB2312" w:eastAsia="仿宋_GB2312" w:cs="仿宋_GB2312"/>
          <w:color w:val="333333"/>
          <w:sz w:val="32"/>
          <w:szCs w:val="32"/>
          <w:shd w:val="clear" w:color="auto" w:fill="FFFFFF"/>
        </w:rPr>
        <w:t xml:space="preserve"> 农村集体经营性建设用地入市交易应当遵循依法、自愿、公开、公平、公正、诚信、</w:t>
      </w:r>
      <w:r>
        <w:rPr>
          <w:rFonts w:hint="eastAsia" w:ascii="仿宋_GB2312" w:hAnsi="仿宋_GB2312" w:eastAsia="仿宋_GB2312" w:cs="仿宋_GB2312"/>
          <w:spacing w:val="13"/>
          <w:sz w:val="32"/>
          <w:szCs w:val="32"/>
        </w:rPr>
        <w:t>高效、规范的原则</w:t>
      </w:r>
      <w:r>
        <w:rPr>
          <w:rFonts w:hint="eastAsia" w:ascii="仿宋_GB2312" w:hAnsi="仿宋_GB2312" w:eastAsia="仿宋_GB2312" w:cs="仿宋_GB2312"/>
          <w:color w:val="333333"/>
          <w:sz w:val="32"/>
          <w:szCs w:val="32"/>
          <w:shd w:val="clear" w:color="auto" w:fill="FFFFFF"/>
        </w:rPr>
        <w:t>。</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第四条</w:t>
      </w:r>
      <w:r>
        <w:rPr>
          <w:rFonts w:hint="eastAsia" w:ascii="仿宋_GB2312" w:hAnsi="仿宋_GB2312" w:eastAsia="仿宋_GB2312" w:cs="仿宋_GB2312"/>
          <w:color w:val="333333"/>
          <w:sz w:val="32"/>
          <w:szCs w:val="32"/>
          <w:shd w:val="clear" w:color="auto" w:fill="FFFFFF"/>
        </w:rPr>
        <w:t xml:space="preserve"> 农村集体经营性建设用地入市应当通过梅州市农村产权流转交易管理服务平台或公共资源交易平台（以下简称交易机构）进行公开交易。</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交易机构负责编制交易文件、</w:t>
      </w:r>
      <w:r>
        <w:rPr>
          <w:rFonts w:hint="eastAsia" w:ascii="仿宋" w:hAnsi="仿宋" w:eastAsia="仿宋" w:cs="仿宋"/>
          <w:color w:val="333333"/>
          <w:sz w:val="31"/>
          <w:szCs w:val="31"/>
          <w:shd w:val="clear" w:color="auto" w:fill="FFFFFF"/>
        </w:rPr>
        <w:t>发布入市交易信息、</w:t>
      </w:r>
      <w:r>
        <w:rPr>
          <w:rFonts w:hint="eastAsia" w:ascii="仿宋_GB2312" w:hAnsi="仿宋_GB2312" w:eastAsia="仿宋_GB2312" w:cs="仿宋_GB2312"/>
          <w:color w:val="333333"/>
          <w:sz w:val="32"/>
          <w:szCs w:val="32"/>
          <w:shd w:val="clear" w:color="auto" w:fill="FFFFFF"/>
        </w:rPr>
        <w:t>提供交易场所、组织交易活动等事项。</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第五条</w:t>
      </w:r>
      <w:r>
        <w:rPr>
          <w:rFonts w:hint="eastAsia" w:ascii="仿宋_GB2312" w:hAnsi="仿宋_GB2312" w:eastAsia="仿宋_GB2312" w:cs="仿宋_GB2312"/>
          <w:color w:val="333333"/>
          <w:sz w:val="32"/>
          <w:szCs w:val="32"/>
          <w:shd w:val="clear" w:color="auto" w:fill="FFFFFF"/>
        </w:rPr>
        <w:t xml:space="preserve"> 农村集体经营性建设用地入市主体为集体经营性建设用地的所有权人。入市前，土地所属村（组）集体应完成农村集体经济组织登记赋码，并由该集体经济组织作为入市主体组织实施入市，或由其委托的其他法人组织代理实施入市。</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第六条</w:t>
      </w:r>
      <w:r>
        <w:rPr>
          <w:rFonts w:hint="eastAsia" w:ascii="仿宋_GB2312" w:hAnsi="仿宋_GB2312" w:eastAsia="仿宋_GB2312" w:cs="仿宋_GB2312"/>
          <w:color w:val="333333"/>
          <w:sz w:val="32"/>
          <w:szCs w:val="32"/>
          <w:shd w:val="clear" w:color="auto" w:fill="FFFFFF"/>
        </w:rPr>
        <w:t xml:space="preserve"> 市级自然资源主管部门负责对入市交易进行指导。</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县级自然资源主管部门负责对入市方案、公开交易等实施监管。</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p>
    <w:p>
      <w:pPr>
        <w:pStyle w:val="5"/>
        <w:widowControl/>
        <w:shd w:val="clear" w:color="auto" w:fill="FFFFFF"/>
        <w:spacing w:beforeAutospacing="0" w:afterAutospacing="0" w:line="560" w:lineRule="exact"/>
        <w:ind w:firstLine="640" w:firstLineChars="200"/>
        <w:jc w:val="center"/>
        <w:rPr>
          <w:rFonts w:ascii="仿宋" w:hAnsi="仿宋" w:eastAsia="仿宋" w:cs="仿宋"/>
          <w:color w:val="333333"/>
          <w:sz w:val="32"/>
          <w:szCs w:val="32"/>
        </w:rPr>
      </w:pPr>
      <w:r>
        <w:rPr>
          <w:rFonts w:ascii="黑体" w:hAnsi="宋体" w:eastAsia="黑体" w:cs="黑体"/>
          <w:color w:val="333333"/>
          <w:sz w:val="32"/>
          <w:szCs w:val="32"/>
          <w:shd w:val="clear" w:color="auto" w:fill="FFFFFF"/>
        </w:rPr>
        <w:t>第二章 入市准备</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第七条</w:t>
      </w:r>
      <w:r>
        <w:rPr>
          <w:rFonts w:hint="eastAsia" w:ascii="仿宋_GB2312" w:hAnsi="仿宋_GB2312" w:eastAsia="仿宋_GB2312" w:cs="仿宋_GB2312"/>
          <w:color w:val="333333"/>
          <w:sz w:val="32"/>
          <w:szCs w:val="32"/>
          <w:shd w:val="clear" w:color="auto" w:fill="FFFFFF"/>
        </w:rPr>
        <w:t xml:space="preserve"> 农村集体经营性建设用地入市宗地应当符合以下要求：</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shd w:val="clear" w:color="auto" w:fill="FFFFFF"/>
        </w:rPr>
        <w:t>（一）符合国土空间规划、产业准入、生态环境保护等政策、标准要求</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shd w:val="clear" w:color="auto" w:fill="FFFFFF"/>
        </w:rPr>
        <w:t>（二）已依法办理集体土地所有权登记，产权明晰、无权属争议，未被司法机关查封或行政机关限制土地权利</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shd w:val="clear" w:color="auto" w:fill="FFFFFF"/>
        </w:rPr>
        <w:t>（三）地上建（构）筑物、其他附着物产权来源合法、补偿已处理完毕，不存在安全隐患并经入市主体书面同意可随土地一同入市；涉及国有不可移动文物、非国有不可移动文物转让、抵押应按《中华人民共和国文物保护法》执行</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shd w:val="clear" w:color="auto" w:fill="FFFFFF"/>
        </w:rPr>
        <w:t>（四）具备必要的通路、通水、通电、土地平整等开发条件</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（五）法律法规规定的其他条件。</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color w:val="333333"/>
          <w:sz w:val="32"/>
          <w:szCs w:val="32"/>
          <w:shd w:val="clear" w:color="auto" w:fill="FFFFFF"/>
        </w:rPr>
        <w:t>第八条</w:t>
      </w:r>
      <w:r>
        <w:rPr>
          <w:rFonts w:hint="eastAsia" w:ascii="仿宋_GB2312" w:hAnsi="仿宋_GB2312" w:eastAsia="仿宋_GB2312" w:cs="仿宋_GB2312"/>
          <w:color w:val="333333"/>
          <w:sz w:val="32"/>
          <w:szCs w:val="32"/>
          <w:shd w:val="clear" w:color="auto" w:fill="FFFFFF"/>
        </w:rPr>
        <w:t xml:space="preserve"> 入市主体应当依据规划条件、产业准入和生态环境保护要求等，编制农村集体经营性建设用地入市方案，明确拟入市宗地的土地界址、面积、土地使用期限、土地用途、规划条件、交易</w:t>
      </w:r>
      <w:r>
        <w:rPr>
          <w:rFonts w:hint="eastAsia" w:ascii="仿宋_GB2312" w:hAnsi="仿宋_GB2312" w:eastAsia="仿宋_GB2312" w:cs="仿宋_GB2312"/>
          <w:spacing w:val="14"/>
          <w:sz w:val="32"/>
          <w:szCs w:val="32"/>
        </w:rPr>
        <w:t>形</w:t>
      </w:r>
      <w:r>
        <w:rPr>
          <w:rFonts w:hint="eastAsia" w:ascii="仿宋_GB2312" w:hAnsi="仿宋_GB2312" w:eastAsia="仿宋_GB2312" w:cs="仿宋_GB2312"/>
          <w:color w:val="333333"/>
          <w:sz w:val="32"/>
          <w:szCs w:val="32"/>
          <w:shd w:val="clear" w:color="auto" w:fill="FFFFFF"/>
        </w:rPr>
        <w:t>式、入市价格、收益分配</w:t>
      </w:r>
      <w:r>
        <w:rPr>
          <w:rFonts w:hint="eastAsia" w:ascii="仿宋_GB2312" w:hAnsi="仿宋_GB2312" w:eastAsia="仿宋_GB2312" w:cs="仿宋_GB2312"/>
          <w:spacing w:val="14"/>
          <w:sz w:val="32"/>
          <w:szCs w:val="32"/>
        </w:rPr>
        <w:t>及缴付方式、建设时间</w:t>
      </w:r>
      <w:r>
        <w:rPr>
          <w:rFonts w:hint="eastAsia" w:ascii="仿宋_GB2312" w:hAnsi="仿宋_GB2312" w:eastAsia="仿宋_GB2312" w:cs="仿宋_GB2312"/>
          <w:spacing w:val="14"/>
          <w:sz w:val="32"/>
          <w:szCs w:val="32"/>
          <w:lang w:eastAsia="zh-CN"/>
        </w:rPr>
        <w:t>、</w:t>
      </w:r>
      <w:r>
        <w:rPr>
          <w:rFonts w:hint="eastAsia" w:ascii="仿宋_GB2312" w:hAnsi="仿宋_GB2312" w:eastAsia="仿宋_GB2312" w:cs="仿宋_GB2312"/>
          <w:spacing w:val="14"/>
          <w:sz w:val="32"/>
          <w:szCs w:val="32"/>
        </w:rPr>
        <w:t>违约责任</w:t>
      </w:r>
      <w:r>
        <w:rPr>
          <w:rFonts w:hint="eastAsia" w:ascii="仿宋_GB2312" w:hAnsi="仿宋_GB2312" w:eastAsia="仿宋_GB2312" w:cs="仿宋_GB2312"/>
          <w:spacing w:val="14"/>
          <w:sz w:val="32"/>
          <w:szCs w:val="32"/>
          <w:lang w:val="en-US" w:eastAsia="zh-CN"/>
        </w:rPr>
        <w:t>和监管要求</w:t>
      </w:r>
      <w:r>
        <w:rPr>
          <w:rFonts w:hint="eastAsia" w:ascii="仿宋_GB2312" w:hAnsi="仿宋_GB2312" w:eastAsia="仿宋_GB2312" w:cs="仿宋_GB2312"/>
          <w:spacing w:val="-2"/>
          <w:sz w:val="32"/>
          <w:szCs w:val="32"/>
        </w:rPr>
        <w:t>等内容。</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入市方案应当依法在本集体经济组织内部履行民主决策程序，并经本集体经济组织成员的村民会议三分之二以上成员或者三分之二以上村民代表同意后形成入市决议，作为后续入市、拟订合同和履约监管协议的依据。</w:t>
      </w:r>
    </w:p>
    <w:p>
      <w:pPr>
        <w:pStyle w:val="5"/>
        <w:widowControl/>
        <w:numPr>
          <w:ilvl w:val="0"/>
          <w:numId w:val="1"/>
        </w:numPr>
        <w:shd w:val="clear" w:color="auto" w:fill="FFFFFF"/>
        <w:spacing w:beforeAutospacing="0" w:afterAutospacing="0" w:line="560" w:lineRule="exact"/>
        <w:ind w:firstLine="640" w:firstLineChars="200"/>
        <w:jc w:val="both"/>
        <w:rPr>
          <w:rFonts w:hint="eastAsia" w:ascii="仿宋" w:hAnsi="仿宋" w:eastAsia="仿宋" w:cs="仿宋"/>
          <w:spacing w:val="6"/>
          <w:sz w:val="31"/>
          <w:szCs w:val="31"/>
          <w:lang w:eastAsia="zh-CN"/>
        </w:rPr>
      </w:pPr>
      <w:r>
        <w:rPr>
          <w:rFonts w:hint="eastAsia" w:ascii="仿宋" w:hAnsi="仿宋" w:eastAsia="仿宋" w:cs="仿宋"/>
          <w:color w:val="333333"/>
          <w:sz w:val="32"/>
          <w:szCs w:val="32"/>
          <w:u w:val="none"/>
          <w:shd w:val="clear" w:color="auto" w:fill="FFFFFF"/>
        </w:rPr>
        <w:t>入市主体应当将集体经营性建设用地</w:t>
      </w:r>
      <w:r>
        <w:rPr>
          <w:rFonts w:hint="eastAsia" w:ascii="仿宋" w:hAnsi="仿宋" w:eastAsia="仿宋" w:cs="仿宋"/>
          <w:color w:val="333333"/>
          <w:sz w:val="32"/>
          <w:szCs w:val="32"/>
          <w:highlight w:val="none"/>
          <w:u w:val="none"/>
          <w:shd w:val="clear" w:color="auto" w:fill="FFFFFF"/>
          <w:lang w:val="en-US" w:eastAsia="zh-CN"/>
        </w:rPr>
        <w:t>出让</w:t>
      </w:r>
      <w:r>
        <w:rPr>
          <w:rFonts w:hint="eastAsia" w:ascii="仿宋" w:hAnsi="仿宋" w:eastAsia="仿宋" w:cs="仿宋"/>
          <w:color w:val="333333"/>
          <w:sz w:val="32"/>
          <w:szCs w:val="32"/>
          <w:highlight w:val="none"/>
          <w:u w:val="none"/>
          <w:shd w:val="clear" w:color="auto" w:fill="FFFFFF"/>
        </w:rPr>
        <w:t>方案</w:t>
      </w:r>
      <w:r>
        <w:rPr>
          <w:rFonts w:hint="eastAsia" w:ascii="仿宋" w:hAnsi="仿宋" w:eastAsia="仿宋" w:cs="仿宋"/>
          <w:color w:val="333333"/>
          <w:sz w:val="32"/>
          <w:szCs w:val="32"/>
          <w:u w:val="none"/>
          <w:shd w:val="clear" w:color="auto" w:fill="FFFFFF"/>
        </w:rPr>
        <w:t>，形成书面请示材料，在发布公告前不少于10个工作日报县级人民政府，由县人民政府组织相关部门对入市方案进行审核。</w:t>
      </w:r>
      <w:r>
        <w:rPr>
          <w:rFonts w:hint="eastAsia" w:ascii="仿宋" w:hAnsi="仿宋" w:eastAsia="仿宋" w:cs="仿宋"/>
          <w:color w:val="333333"/>
          <w:sz w:val="32"/>
          <w:szCs w:val="32"/>
          <w:u w:val="none"/>
          <w:shd w:val="clear" w:color="auto" w:fill="FFFFFF"/>
          <w:lang w:val="en-US" w:eastAsia="zh-CN"/>
        </w:rPr>
        <w:t>依据</w:t>
      </w:r>
      <w:r>
        <w:rPr>
          <w:rFonts w:hint="eastAsia" w:ascii="仿宋" w:hAnsi="仿宋" w:eastAsia="仿宋" w:cs="仿宋"/>
          <w:spacing w:val="5"/>
          <w:sz w:val="32"/>
          <w:szCs w:val="32"/>
        </w:rPr>
        <w:t>《梅州市农村集体经营性建设用地</w:t>
      </w:r>
      <w:r>
        <w:rPr>
          <w:rFonts w:hint="eastAsia" w:ascii="仿宋" w:hAnsi="仿宋" w:eastAsia="仿宋" w:cs="仿宋"/>
          <w:spacing w:val="-7"/>
          <w:sz w:val="32"/>
          <w:szCs w:val="32"/>
        </w:rPr>
        <w:t>入市改革工作指引》</w:t>
      </w:r>
      <w:r>
        <w:rPr>
          <w:rFonts w:hint="eastAsia" w:ascii="仿宋" w:hAnsi="仿宋" w:eastAsia="仿宋" w:cs="仿宋"/>
          <w:color w:val="333333"/>
          <w:sz w:val="32"/>
          <w:szCs w:val="32"/>
          <w:lang w:val="en-US" w:eastAsia="zh-CN"/>
        </w:rPr>
        <w:t>要求，</w:t>
      </w:r>
      <w:r>
        <w:rPr>
          <w:rFonts w:ascii="仿宋" w:hAnsi="仿宋" w:eastAsia="仿宋" w:cs="仿宋"/>
          <w:spacing w:val="4"/>
          <w:sz w:val="31"/>
          <w:szCs w:val="31"/>
        </w:rPr>
        <w:t>出租方案由镇（街）</w:t>
      </w:r>
      <w:r>
        <w:rPr>
          <w:rFonts w:ascii="仿宋" w:hAnsi="仿宋" w:eastAsia="仿宋" w:cs="仿宋"/>
          <w:spacing w:val="6"/>
          <w:sz w:val="31"/>
          <w:szCs w:val="31"/>
        </w:rPr>
        <w:t>组织县全域土地综合整治专项工作指挥部有关工作组成员单位到现场联审联批</w:t>
      </w:r>
      <w:r>
        <w:rPr>
          <w:rFonts w:hint="eastAsia" w:ascii="仿宋" w:hAnsi="仿宋" w:eastAsia="仿宋" w:cs="仿宋"/>
          <w:spacing w:val="6"/>
          <w:sz w:val="31"/>
          <w:szCs w:val="31"/>
          <w:lang w:eastAsia="zh-CN"/>
        </w:rPr>
        <w:t>。</w:t>
      </w:r>
    </w:p>
    <w:p>
      <w:pPr>
        <w:pStyle w:val="5"/>
        <w:widowControl/>
        <w:shd w:val="clear" w:color="auto" w:fill="FFFFFF"/>
        <w:spacing w:beforeAutospacing="0" w:afterAutospacing="0" w:line="560" w:lineRule="exact"/>
        <w:jc w:val="center"/>
        <w:rPr>
          <w:rFonts w:ascii="仿宋" w:hAnsi="仿宋" w:eastAsia="仿宋" w:cs="仿宋"/>
          <w:color w:val="333333"/>
          <w:sz w:val="32"/>
          <w:szCs w:val="32"/>
        </w:rPr>
      </w:pPr>
      <w:r>
        <w:rPr>
          <w:rFonts w:ascii="黑体" w:hAnsi="宋体" w:eastAsia="黑体" w:cs="黑体"/>
          <w:color w:val="333333"/>
          <w:sz w:val="32"/>
          <w:szCs w:val="32"/>
          <w:shd w:val="clear" w:color="auto" w:fill="FFFFFF"/>
        </w:rPr>
        <w:t>第三章 入市交易</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第十条</w:t>
      </w:r>
      <w:r>
        <w:rPr>
          <w:rFonts w:hint="eastAsia" w:ascii="仿宋_GB2312" w:hAnsi="仿宋_GB2312" w:eastAsia="仿宋_GB2312" w:cs="仿宋_GB2312"/>
          <w:color w:val="333333"/>
          <w:sz w:val="32"/>
          <w:szCs w:val="32"/>
          <w:shd w:val="clear" w:color="auto" w:fill="FFFFFF"/>
        </w:rPr>
        <w:t xml:space="preserve"> 农村集体经营性建设用地使用权入市交易方式包括土地使用权出让、出租和转让、互换、出资、赠与、抵押等。</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转让、互换、出资、赠与、抵押等，参照国有建设用地二级市场相关规定办理。</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第十一条</w:t>
      </w:r>
      <w:r>
        <w:rPr>
          <w:rFonts w:hint="eastAsia" w:ascii="仿宋_GB2312" w:hAnsi="仿宋_GB2312" w:eastAsia="仿宋_GB2312" w:cs="仿宋_GB2312"/>
          <w:color w:val="333333"/>
          <w:sz w:val="32"/>
          <w:szCs w:val="32"/>
          <w:shd w:val="clear" w:color="auto" w:fill="FFFFFF"/>
        </w:rPr>
        <w:t xml:space="preserve"> 农村集体经营性建设用地使用权的出让、出租等必须以招标、拍卖、挂牌等方式交易，不得协议交易。具体操作可参照国有建设用地使用权交易有关规定执行。</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第十二条</w:t>
      </w:r>
      <w:r>
        <w:rPr>
          <w:rFonts w:hint="eastAsia" w:ascii="仿宋_GB2312" w:hAnsi="仿宋_GB2312" w:eastAsia="仿宋_GB2312" w:cs="仿宋_GB2312"/>
          <w:color w:val="333333"/>
          <w:sz w:val="32"/>
          <w:szCs w:val="32"/>
          <w:shd w:val="clear" w:color="auto" w:fill="FFFFFF"/>
        </w:rPr>
        <w:t xml:space="preserve"> 入市主体应当持入市交易申请书、入市决议、土地所有权证明、入市方案、县级人民政府出具的书面意见</w:t>
      </w:r>
      <w:r>
        <w:rPr>
          <w:rFonts w:hint="eastAsia" w:ascii="仿宋_GB2312" w:hAnsi="仿宋_GB2312" w:eastAsia="仿宋_GB2312" w:cs="仿宋_GB2312"/>
          <w:color w:val="333333"/>
          <w:sz w:val="32"/>
          <w:szCs w:val="32"/>
          <w:shd w:val="clear" w:color="auto" w:fill="FFFFFF"/>
          <w:lang w:val="en-US" w:eastAsia="zh-CN"/>
        </w:rPr>
        <w:t>或部门</w:t>
      </w:r>
      <w:r>
        <w:rPr>
          <w:rFonts w:ascii="仿宋" w:hAnsi="仿宋" w:eastAsia="仿宋" w:cs="仿宋"/>
          <w:spacing w:val="6"/>
          <w:sz w:val="31"/>
          <w:szCs w:val="31"/>
        </w:rPr>
        <w:t>联审联批</w:t>
      </w:r>
      <w:r>
        <w:rPr>
          <w:rFonts w:hint="eastAsia" w:ascii="仿宋" w:hAnsi="仿宋" w:eastAsia="仿宋" w:cs="仿宋"/>
          <w:spacing w:val="6"/>
          <w:sz w:val="31"/>
          <w:szCs w:val="31"/>
          <w:lang w:val="en-US" w:eastAsia="zh-CN"/>
        </w:rPr>
        <w:t>意见</w:t>
      </w:r>
      <w:r>
        <w:rPr>
          <w:rFonts w:hint="eastAsia" w:ascii="仿宋_GB2312" w:hAnsi="仿宋_GB2312" w:eastAsia="仿宋_GB2312" w:cs="仿宋_GB2312"/>
          <w:color w:val="333333"/>
          <w:sz w:val="32"/>
          <w:szCs w:val="32"/>
          <w:shd w:val="clear" w:color="auto" w:fill="FFFFFF"/>
        </w:rPr>
        <w:t>等材料，通过网上或现场方式向交易机构提交入市交易申请。入市交易委托他人办理的，应当提交授权委托相关证明材料。</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bCs/>
          <w:color w:val="333333"/>
          <w:sz w:val="32"/>
          <w:szCs w:val="32"/>
          <w:shd w:val="clear" w:color="auto" w:fill="FFFFFF"/>
        </w:rPr>
        <w:t>第十三条</w:t>
      </w:r>
      <w:r>
        <w:rPr>
          <w:rFonts w:hint="eastAsia" w:ascii="仿宋_GB2312" w:hAnsi="仿宋_GB2312" w:eastAsia="仿宋_GB2312" w:cs="仿宋_GB2312"/>
          <w:color w:val="333333"/>
          <w:sz w:val="32"/>
          <w:szCs w:val="32"/>
          <w:shd w:val="clear" w:color="auto" w:fill="FFFFFF"/>
        </w:rPr>
        <w:t xml:space="preserve"> 交易机构依据入市主体提供的书面材料编制交易文件，经入市主体盖章确认后，交易机构应当及时在交易平台或者指定的场所、媒介发布交易公告，入市主体同步在集体经济组织事务公示栏和其他指定的场所进行公告。招标、拍卖、挂牌公告发布之日距招标、拍卖、挂牌开始之日不得少于20日，以首次发布的时间为起始日。</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bCs/>
          <w:color w:val="333333"/>
          <w:sz w:val="32"/>
          <w:szCs w:val="32"/>
          <w:shd w:val="clear" w:color="auto" w:fill="FFFFFF"/>
        </w:rPr>
        <w:t>第十四条</w:t>
      </w:r>
      <w:r>
        <w:rPr>
          <w:rFonts w:hint="eastAsia" w:ascii="仿宋_GB2312" w:hAnsi="仿宋_GB2312" w:eastAsia="仿宋_GB2312" w:cs="仿宋_GB2312"/>
          <w:color w:val="333333"/>
          <w:sz w:val="32"/>
          <w:szCs w:val="32"/>
          <w:shd w:val="clear" w:color="auto" w:fill="FFFFFF"/>
        </w:rPr>
        <w:t xml:space="preserve"> 招标、拍卖、挂牌公告应当包括下列内容：</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rPr>
        <w:t>（一）供应方及其委托的交易机构名称、地址和联系方式</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rPr>
        <w:t>（二）宗地的位置、界址、面积、土地用途、现状、规划条件、土地使用年限、建设时间</w:t>
      </w:r>
      <w:r>
        <w:rPr>
          <w:rFonts w:hint="eastAsia" w:ascii="仿宋_GB2312" w:hAnsi="仿宋_GB2312" w:eastAsia="仿宋_GB2312" w:cs="仿宋_GB2312"/>
          <w:color w:val="333333"/>
          <w:sz w:val="32"/>
          <w:szCs w:val="32"/>
          <w:shd w:val="clear" w:color="auto" w:fill="FFFFFF"/>
          <w:lang w:eastAsia="zh-CN"/>
        </w:rPr>
        <w:t>、</w:t>
      </w:r>
      <w:r>
        <w:rPr>
          <w:rFonts w:hint="eastAsia" w:ascii="仿宋_GB2312" w:hAnsi="仿宋_GB2312" w:eastAsia="仿宋_GB2312" w:cs="仿宋_GB2312"/>
          <w:color w:val="333333"/>
          <w:sz w:val="32"/>
          <w:szCs w:val="32"/>
          <w:shd w:val="clear" w:color="auto" w:fill="FFFFFF"/>
          <w:lang w:val="en-US" w:eastAsia="zh-CN"/>
        </w:rPr>
        <w:t>监管要求和</w:t>
      </w:r>
      <w:r>
        <w:rPr>
          <w:rFonts w:hint="eastAsia" w:ascii="仿宋_GB2312" w:hAnsi="仿宋_GB2312" w:eastAsia="仿宋_GB2312" w:cs="仿宋_GB2312"/>
          <w:color w:val="333333"/>
          <w:sz w:val="32"/>
          <w:szCs w:val="32"/>
          <w:shd w:val="clear" w:color="auto" w:fill="FFFFFF"/>
        </w:rPr>
        <w:t>违约责任等</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（三）投标、竞买资格要求，申请取得投标、竞买资格的办法</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rPr>
        <w:t>（四）获取供应文件的时间、地点和方式</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（五）招标、拍卖、挂牌的时间、地点、期限、竞价方式等</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（六）确定中标人、竞得人的标准和方法</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（七）投标、竞买保证金，竞价增幅</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（八）土地起拍价及缴付方式</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（九）其他需要公告的事项。</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招标、拍卖、挂牌公告期间，公告内容发生变化的，交易机构和入市主体应当按照原公告发布渠道及时发布补充或者变更公告；涉及土地使用条件变更等影响土地价格重大变动的，公告时间自补充或者变更公告发布之日起重新起算。</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第十五条</w:t>
      </w:r>
      <w:r>
        <w:rPr>
          <w:rFonts w:hint="eastAsia" w:ascii="仿宋_GB2312" w:hAnsi="仿宋_GB2312" w:eastAsia="仿宋_GB2312" w:cs="仿宋_GB2312"/>
          <w:color w:val="333333"/>
          <w:sz w:val="32"/>
          <w:szCs w:val="32"/>
          <w:shd w:val="clear" w:color="auto" w:fill="FFFFFF"/>
        </w:rPr>
        <w:t xml:space="preserve"> 竞买人应在公告规定期限内按照交易文件规定向交易机构提出竞买申请，并按照规定向交易机构交纳竞买保证金。采用出让方式交易的，竞买保证金不得低于公告起拍价的20%、不得高于公告起拍价的50%。竞买保证金支付方式参照国有建设用地使用权交易有关规定执行。入市主体应当对竞买人的资格进行审查。</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第十六条</w:t>
      </w:r>
      <w:r>
        <w:rPr>
          <w:rFonts w:hint="eastAsia" w:ascii="仿宋_GB2312" w:hAnsi="仿宋_GB2312" w:eastAsia="仿宋_GB2312" w:cs="仿宋_GB2312"/>
          <w:color w:val="333333"/>
          <w:sz w:val="32"/>
          <w:szCs w:val="32"/>
          <w:shd w:val="clear" w:color="auto" w:fill="FFFFFF"/>
        </w:rPr>
        <w:t xml:space="preserve"> 交易机构按照公告规定的时间、地点，组织实施交易，确定竞得人后，交易机构应当与竞得人签订《梅州市农村集体经营性建设用地成交确认书》（以下简称《成交确认书》）。《成交确认书》由竞得人、交易机构、入市主体、县级自然资源主管部门留存。</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第十七条</w:t>
      </w:r>
      <w:r>
        <w:rPr>
          <w:rFonts w:hint="eastAsia" w:ascii="仿宋_GB2312" w:hAnsi="仿宋_GB2312" w:eastAsia="仿宋_GB2312" w:cs="仿宋_GB2312"/>
          <w:color w:val="333333"/>
          <w:sz w:val="32"/>
          <w:szCs w:val="32"/>
          <w:shd w:val="clear" w:color="auto" w:fill="FFFFFF"/>
        </w:rPr>
        <w:t xml:space="preserve"> 成交后10个工作日内，交易机构应将交易结果通过交易平台或者指定的场所、媒介向社会公布，入市主体同步在集体经济组织事务公示栏和其他指定的场所进行公布，公布时间不少于5日。公布内容应包括土地位置、面积、用途、使用年限、受让（承租）人、成交时间、地点及交易方式、成交金额等。</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第十八条</w:t>
      </w:r>
      <w:r>
        <w:rPr>
          <w:rFonts w:hint="eastAsia" w:ascii="仿宋_GB2312" w:hAnsi="仿宋_GB2312" w:eastAsia="仿宋_GB2312" w:cs="仿宋_GB2312"/>
          <w:color w:val="333333"/>
          <w:sz w:val="32"/>
          <w:szCs w:val="32"/>
          <w:shd w:val="clear" w:color="auto" w:fill="FFFFFF"/>
        </w:rPr>
        <w:t xml:space="preserve"> 竞买人交纳的竞买保证金，</w:t>
      </w:r>
      <w:r>
        <w:rPr>
          <w:rFonts w:ascii="仿宋_GB2312" w:hAnsi="仿宋_GB2312" w:eastAsia="仿宋_GB2312" w:cs="仿宋_GB2312"/>
          <w:color w:val="333333"/>
          <w:sz w:val="32"/>
          <w:szCs w:val="32"/>
          <w:shd w:val="clear" w:color="auto" w:fill="FFFFFF"/>
        </w:rPr>
        <w:t>成交</w:t>
      </w:r>
      <w:r>
        <w:rPr>
          <w:rFonts w:hint="eastAsia" w:ascii="仿宋_GB2312" w:hAnsi="仿宋_GB2312" w:eastAsia="仿宋_GB2312" w:cs="仿宋_GB2312"/>
          <w:color w:val="333333"/>
          <w:sz w:val="32"/>
          <w:szCs w:val="32"/>
          <w:shd w:val="clear" w:color="auto" w:fill="FFFFFF"/>
        </w:rPr>
        <w:t>后自动转作受让（承租）宗地的定金。未竞得土地的竞买人交纳的竞买保证金，应在招标拍卖挂牌活动结束后5个工作日内予以退还，不计利息。</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第十九条</w:t>
      </w:r>
      <w:r>
        <w:rPr>
          <w:rFonts w:hint="eastAsia" w:ascii="仿宋_GB2312" w:hAnsi="仿宋_GB2312" w:eastAsia="仿宋_GB2312" w:cs="仿宋_GB2312"/>
          <w:color w:val="333333"/>
          <w:sz w:val="32"/>
          <w:szCs w:val="32"/>
          <w:shd w:val="clear" w:color="auto" w:fill="FFFFFF"/>
        </w:rPr>
        <w:t xml:space="preserve"> 交易机构根据价格主管部门核定的收费标准，向受让人（承租人）收取集体经营性建设用地入市交易服务费。</w:t>
      </w:r>
    </w:p>
    <w:p>
      <w:pPr>
        <w:pStyle w:val="5"/>
        <w:widowControl/>
        <w:shd w:val="clear" w:color="auto" w:fill="FFFFFF"/>
        <w:spacing w:beforeAutospacing="0" w:afterAutospacing="0" w:line="560" w:lineRule="exact"/>
        <w:ind w:firstLine="620" w:firstLineChars="200"/>
        <w:jc w:val="both"/>
        <w:rPr>
          <w:rFonts w:ascii="仿宋" w:hAnsi="仿宋" w:eastAsia="仿宋" w:cs="仿宋"/>
          <w:color w:val="333333"/>
          <w:sz w:val="31"/>
          <w:szCs w:val="31"/>
        </w:rPr>
      </w:pPr>
    </w:p>
    <w:p>
      <w:pPr>
        <w:pStyle w:val="5"/>
        <w:widowControl/>
        <w:shd w:val="clear" w:color="auto" w:fill="FFFFFF"/>
        <w:spacing w:beforeAutospacing="0" w:afterAutospacing="0" w:line="560" w:lineRule="exact"/>
        <w:jc w:val="center"/>
        <w:rPr>
          <w:rFonts w:ascii="仿宋" w:hAnsi="仿宋" w:eastAsia="仿宋" w:cs="仿宋"/>
          <w:color w:val="333333"/>
          <w:sz w:val="32"/>
          <w:szCs w:val="32"/>
        </w:rPr>
      </w:pPr>
      <w:r>
        <w:rPr>
          <w:rFonts w:ascii="黑体" w:hAnsi="宋体" w:eastAsia="黑体" w:cs="黑体"/>
          <w:color w:val="333333"/>
          <w:sz w:val="32"/>
          <w:szCs w:val="32"/>
          <w:shd w:val="clear" w:color="auto" w:fill="FFFFFF"/>
        </w:rPr>
        <w:t>第四章 入市后手续办理</w:t>
      </w:r>
    </w:p>
    <w:p>
      <w:pPr>
        <w:pStyle w:val="5"/>
        <w:widowControl/>
        <w:shd w:val="clear" w:color="auto" w:fill="FFFFFF"/>
        <w:spacing w:beforeAutospacing="0" w:afterAutospacing="0" w:line="560" w:lineRule="exact"/>
        <w:ind w:firstLine="620" w:firstLineChars="200"/>
        <w:jc w:val="both"/>
        <w:rPr>
          <w:rFonts w:ascii="仿宋_GB2312" w:hAnsi="仿宋_GB2312" w:eastAsia="仿宋_GB2312" w:cs="仿宋_GB2312"/>
          <w:color w:val="333333"/>
          <w:sz w:val="32"/>
          <w:szCs w:val="32"/>
        </w:rPr>
      </w:pPr>
      <w:r>
        <w:rPr>
          <w:rFonts w:ascii="黑体" w:hAnsi="宋体" w:eastAsia="黑体" w:cs="黑体"/>
          <w:color w:val="333333"/>
          <w:sz w:val="31"/>
          <w:szCs w:val="31"/>
          <w:shd w:val="clear" w:color="auto" w:fill="FFFFFF"/>
        </w:rPr>
        <w:t>第二十条</w:t>
      </w:r>
      <w:r>
        <w:rPr>
          <w:rFonts w:hint="eastAsia" w:ascii="黑体" w:hAnsi="宋体" w:eastAsia="黑体" w:cs="黑体"/>
          <w:color w:val="333333"/>
          <w:sz w:val="31"/>
          <w:szCs w:val="31"/>
          <w:shd w:val="clear" w:color="auto" w:fill="FFFFFF"/>
        </w:rPr>
        <w:t xml:space="preserve"> </w:t>
      </w:r>
      <w:r>
        <w:rPr>
          <w:rFonts w:hint="eastAsia" w:ascii="仿宋_GB2312" w:hAnsi="仿宋_GB2312" w:eastAsia="仿宋_GB2312" w:cs="仿宋_GB2312"/>
          <w:color w:val="333333"/>
          <w:kern w:val="0"/>
          <w:sz w:val="32"/>
          <w:szCs w:val="32"/>
          <w:shd w:val="clear" w:color="auto" w:fill="FFFFFF"/>
        </w:rPr>
        <w:t>公布期满后，竞得人应当按照《成交确认书》约定的时间，与入市主体签订农村集体经营性建设用地使用权出让（出租）合同，并与县级人民政府、入市主体签订农村集体经营性建设用地使用权出让（出租）三方监管协议。</w:t>
      </w:r>
    </w:p>
    <w:p>
      <w:pPr>
        <w:pStyle w:val="5"/>
        <w:widowControl/>
        <w:shd w:val="clear" w:color="auto" w:fill="FFFFFF"/>
        <w:spacing w:beforeAutospacing="0" w:afterAutospacing="0" w:line="560" w:lineRule="exact"/>
        <w:ind w:firstLine="620" w:firstLineChars="200"/>
        <w:jc w:val="both"/>
        <w:rPr>
          <w:rFonts w:ascii="仿宋_GB2312" w:hAnsi="仿宋_GB2312" w:eastAsia="仿宋_GB2312" w:cs="仿宋_GB2312"/>
          <w:color w:val="333333"/>
          <w:sz w:val="32"/>
          <w:szCs w:val="32"/>
        </w:rPr>
      </w:pPr>
      <w:r>
        <w:rPr>
          <w:rFonts w:ascii="黑体" w:hAnsi="宋体" w:eastAsia="黑体" w:cs="黑体"/>
          <w:color w:val="333333"/>
          <w:sz w:val="31"/>
          <w:szCs w:val="31"/>
          <w:shd w:val="clear" w:color="auto" w:fill="FFFFFF"/>
        </w:rPr>
        <w:t>第二十</w:t>
      </w:r>
      <w:r>
        <w:rPr>
          <w:rFonts w:hint="eastAsia" w:ascii="黑体" w:hAnsi="宋体" w:eastAsia="黑体" w:cs="黑体"/>
          <w:color w:val="333333"/>
          <w:sz w:val="31"/>
          <w:szCs w:val="31"/>
          <w:shd w:val="clear" w:color="auto" w:fill="FFFFFF"/>
        </w:rPr>
        <w:t>一</w:t>
      </w:r>
      <w:r>
        <w:rPr>
          <w:rFonts w:ascii="黑体" w:hAnsi="宋体" w:eastAsia="黑体" w:cs="黑体"/>
          <w:color w:val="333333"/>
          <w:sz w:val="31"/>
          <w:szCs w:val="31"/>
          <w:shd w:val="clear" w:color="auto" w:fill="FFFFFF"/>
        </w:rPr>
        <w:t>条</w:t>
      </w:r>
      <w:r>
        <w:rPr>
          <w:rFonts w:hint="eastAsia" w:ascii="黑体" w:hAnsi="宋体" w:eastAsia="黑体" w:cs="黑体"/>
          <w:color w:val="333333"/>
          <w:sz w:val="31"/>
          <w:szCs w:val="31"/>
          <w:shd w:val="clear" w:color="auto" w:fill="FFFFFF"/>
        </w:rPr>
        <w:t xml:space="preserve"> </w:t>
      </w:r>
      <w:r>
        <w:rPr>
          <w:rFonts w:hint="eastAsia" w:ascii="仿宋_GB2312" w:hAnsi="仿宋_GB2312" w:eastAsia="仿宋_GB2312" w:cs="仿宋_GB2312"/>
          <w:color w:val="333333"/>
          <w:kern w:val="0"/>
          <w:sz w:val="32"/>
          <w:szCs w:val="32"/>
          <w:shd w:val="clear" w:color="auto" w:fill="FFFFFF"/>
        </w:rPr>
        <w:t>农村集体经营性建设用地使用权出让（出租）人及转让方应按照</w:t>
      </w:r>
      <w:r>
        <w:rPr>
          <w:rFonts w:hint="eastAsia" w:ascii="仿宋_GB2312" w:hAnsi="仿宋_GB2312" w:eastAsia="仿宋_GB2312" w:cs="仿宋_GB2312"/>
          <w:color w:val="333333"/>
          <w:sz w:val="32"/>
          <w:szCs w:val="32"/>
          <w:shd w:val="clear" w:color="auto" w:fill="FFFFFF"/>
        </w:rPr>
        <w:t>属地县级人民政府</w:t>
      </w:r>
      <w:r>
        <w:rPr>
          <w:rFonts w:hint="eastAsia" w:ascii="仿宋_GB2312" w:hAnsi="仿宋_GB2312" w:eastAsia="仿宋_GB2312" w:cs="仿宋_GB2312"/>
          <w:color w:val="333333"/>
          <w:kern w:val="0"/>
          <w:sz w:val="32"/>
          <w:szCs w:val="32"/>
          <w:shd w:val="clear" w:color="auto" w:fill="FFFFFF"/>
        </w:rPr>
        <w:t>有关规定缴纳土地增值收益调节金。</w:t>
      </w:r>
    </w:p>
    <w:p>
      <w:pPr>
        <w:pStyle w:val="5"/>
        <w:widowControl/>
        <w:shd w:val="clear" w:color="auto" w:fill="FFFFFF"/>
        <w:spacing w:beforeAutospacing="0" w:afterAutospacing="0" w:line="560" w:lineRule="exact"/>
        <w:ind w:firstLine="620" w:firstLineChars="200"/>
        <w:jc w:val="both"/>
        <w:rPr>
          <w:rFonts w:ascii="仿宋_GB2312" w:hAnsi="仿宋_GB2312" w:eastAsia="仿宋_GB2312" w:cs="仿宋_GB2312"/>
          <w:color w:val="333333"/>
          <w:sz w:val="32"/>
          <w:szCs w:val="32"/>
        </w:rPr>
      </w:pPr>
      <w:r>
        <w:rPr>
          <w:rFonts w:ascii="黑体" w:hAnsi="宋体" w:eastAsia="黑体" w:cs="黑体"/>
          <w:color w:val="333333"/>
          <w:sz w:val="31"/>
          <w:szCs w:val="31"/>
          <w:shd w:val="clear" w:color="auto" w:fill="FFFFFF"/>
        </w:rPr>
        <w:t>第二十</w:t>
      </w:r>
      <w:r>
        <w:rPr>
          <w:rFonts w:hint="eastAsia" w:ascii="黑体" w:hAnsi="宋体" w:eastAsia="黑体" w:cs="黑体"/>
          <w:color w:val="333333"/>
          <w:sz w:val="31"/>
          <w:szCs w:val="31"/>
          <w:shd w:val="clear" w:color="auto" w:fill="FFFFFF"/>
        </w:rPr>
        <w:t>二</w:t>
      </w:r>
      <w:r>
        <w:rPr>
          <w:rFonts w:ascii="黑体" w:hAnsi="宋体" w:eastAsia="黑体" w:cs="黑体"/>
          <w:color w:val="333333"/>
          <w:sz w:val="31"/>
          <w:szCs w:val="31"/>
          <w:shd w:val="clear" w:color="auto" w:fill="FFFFFF"/>
        </w:rPr>
        <w:t>条</w:t>
      </w:r>
      <w:r>
        <w:rPr>
          <w:rFonts w:hint="eastAsia" w:ascii="黑体" w:hAnsi="宋体" w:eastAsia="黑体" w:cs="黑体"/>
          <w:color w:val="333333"/>
          <w:sz w:val="31"/>
          <w:szCs w:val="31"/>
          <w:shd w:val="clear" w:color="auto" w:fill="FFFFFF"/>
        </w:rPr>
        <w:t xml:space="preserve"> </w:t>
      </w:r>
      <w:r>
        <w:rPr>
          <w:rFonts w:hint="eastAsia" w:ascii="仿宋_GB2312" w:hAnsi="仿宋_GB2312" w:eastAsia="仿宋_GB2312" w:cs="仿宋_GB2312"/>
          <w:color w:val="333333"/>
          <w:kern w:val="0"/>
          <w:sz w:val="32"/>
          <w:szCs w:val="32"/>
          <w:shd w:val="clear" w:color="auto" w:fill="FFFFFF"/>
        </w:rPr>
        <w:t>受让人（承租人）应当在签订合同</w:t>
      </w:r>
      <w:r>
        <w:rPr>
          <w:rFonts w:ascii="仿宋_GB2312" w:hAnsi="仿宋_GB2312" w:eastAsia="仿宋_GB2312" w:cs="仿宋_GB2312"/>
          <w:color w:val="333333"/>
          <w:kern w:val="0"/>
          <w:sz w:val="32"/>
          <w:szCs w:val="32"/>
          <w:shd w:val="clear" w:color="auto" w:fill="FFFFFF"/>
        </w:rPr>
        <w:t>5个工作日内，将合同报</w:t>
      </w:r>
      <w:r>
        <w:rPr>
          <w:rFonts w:hint="eastAsia" w:ascii="仿宋_GB2312" w:hAnsi="仿宋_GB2312" w:eastAsia="仿宋_GB2312" w:cs="仿宋_GB2312"/>
          <w:color w:val="333333"/>
          <w:sz w:val="32"/>
          <w:szCs w:val="32"/>
          <w:shd w:val="clear" w:color="auto" w:fill="FFFFFF"/>
        </w:rPr>
        <w:t>属地</w:t>
      </w:r>
      <w:r>
        <w:rPr>
          <w:rFonts w:hint="eastAsia" w:ascii="仿宋_GB2312" w:hAnsi="仿宋_GB2312" w:eastAsia="仿宋_GB2312" w:cs="仿宋_GB2312"/>
          <w:color w:val="333333"/>
          <w:kern w:val="0"/>
          <w:sz w:val="32"/>
          <w:szCs w:val="32"/>
          <w:shd w:val="clear" w:color="auto" w:fill="FFFFFF"/>
        </w:rPr>
        <w:t>县级自然资源主管部门备案。县级自然资源主管部门应当将备案合同、宗地编号、空间范围、规划条件等涉空间布局和规划管理信息纳入土地市场动态监测与监管系统，并将备案涉及不动产登记所需资料信息共享给不动产登记机构。</w:t>
      </w:r>
    </w:p>
    <w:p>
      <w:pPr>
        <w:pStyle w:val="5"/>
        <w:widowControl/>
        <w:shd w:val="clear" w:color="auto" w:fill="FFFFFF"/>
        <w:spacing w:beforeAutospacing="0" w:afterAutospacing="0" w:line="560" w:lineRule="exact"/>
        <w:ind w:firstLine="620" w:firstLineChars="200"/>
        <w:jc w:val="both"/>
        <w:rPr>
          <w:rFonts w:ascii="仿宋_GB2312" w:hAnsi="仿宋_GB2312" w:eastAsia="仿宋_GB2312" w:cs="仿宋_GB2312"/>
          <w:color w:val="333333"/>
          <w:sz w:val="32"/>
          <w:szCs w:val="32"/>
        </w:rPr>
      </w:pPr>
      <w:r>
        <w:rPr>
          <w:rFonts w:ascii="黑体" w:hAnsi="宋体" w:eastAsia="黑体" w:cs="黑体"/>
          <w:color w:val="333333"/>
          <w:sz w:val="31"/>
          <w:szCs w:val="31"/>
          <w:shd w:val="clear" w:color="auto" w:fill="FFFFFF"/>
        </w:rPr>
        <w:t>第二十</w:t>
      </w:r>
      <w:r>
        <w:rPr>
          <w:rFonts w:hint="eastAsia" w:ascii="黑体" w:hAnsi="宋体" w:eastAsia="黑体" w:cs="黑体"/>
          <w:color w:val="333333"/>
          <w:sz w:val="31"/>
          <w:szCs w:val="31"/>
          <w:shd w:val="clear" w:color="auto" w:fill="FFFFFF"/>
        </w:rPr>
        <w:t>三</w:t>
      </w:r>
      <w:r>
        <w:rPr>
          <w:rFonts w:ascii="黑体" w:hAnsi="宋体" w:eastAsia="黑体" w:cs="黑体"/>
          <w:color w:val="333333"/>
          <w:sz w:val="31"/>
          <w:szCs w:val="31"/>
          <w:shd w:val="clear" w:color="auto" w:fill="FFFFFF"/>
        </w:rPr>
        <w:t>条</w:t>
      </w:r>
      <w:r>
        <w:rPr>
          <w:rFonts w:hint="eastAsia" w:ascii="黑体" w:hAnsi="宋体" w:eastAsia="黑体" w:cs="黑体"/>
          <w:color w:val="333333"/>
          <w:sz w:val="31"/>
          <w:szCs w:val="31"/>
          <w:shd w:val="clear" w:color="auto" w:fill="FFFFFF"/>
        </w:rPr>
        <w:t xml:space="preserve"> </w:t>
      </w:r>
      <w:r>
        <w:rPr>
          <w:rFonts w:hint="eastAsia" w:ascii="仿宋_GB2312" w:hAnsi="仿宋_GB2312" w:eastAsia="仿宋_GB2312" w:cs="仿宋_GB2312"/>
          <w:color w:val="333333"/>
          <w:kern w:val="0"/>
          <w:sz w:val="32"/>
          <w:szCs w:val="32"/>
          <w:shd w:val="clear" w:color="auto" w:fill="FFFFFF"/>
        </w:rPr>
        <w:t>受让人（承租人）应当按照合同约定按时支付土地价款，入市主体应按照合同约定按期交付土地。</w:t>
      </w:r>
    </w:p>
    <w:p>
      <w:pPr>
        <w:pStyle w:val="5"/>
        <w:widowControl/>
        <w:shd w:val="clear" w:color="auto" w:fill="FFFFFF"/>
        <w:spacing w:beforeAutospacing="0" w:afterAutospacing="0" w:line="560" w:lineRule="exact"/>
        <w:ind w:firstLine="620" w:firstLineChars="200"/>
        <w:jc w:val="both"/>
        <w:rPr>
          <w:rFonts w:ascii="仿宋" w:hAnsi="仿宋" w:eastAsia="仿宋" w:cs="仿宋"/>
          <w:color w:val="auto"/>
          <w:sz w:val="31"/>
          <w:szCs w:val="31"/>
        </w:rPr>
      </w:pPr>
      <w:r>
        <w:rPr>
          <w:rFonts w:ascii="黑体" w:hAnsi="宋体" w:eastAsia="黑体" w:cs="黑体"/>
          <w:color w:val="auto"/>
          <w:kern w:val="0"/>
          <w:sz w:val="31"/>
          <w:szCs w:val="31"/>
          <w:shd w:val="clear" w:color="auto" w:fill="FFFFFF"/>
        </w:rPr>
        <w:t>第二十</w:t>
      </w:r>
      <w:r>
        <w:rPr>
          <w:rFonts w:hint="eastAsia" w:ascii="黑体" w:hAnsi="宋体" w:eastAsia="黑体" w:cs="黑体"/>
          <w:color w:val="auto"/>
          <w:kern w:val="0"/>
          <w:sz w:val="31"/>
          <w:szCs w:val="31"/>
          <w:shd w:val="clear" w:color="auto" w:fill="FFFFFF"/>
        </w:rPr>
        <w:t>四</w:t>
      </w:r>
      <w:r>
        <w:rPr>
          <w:rFonts w:ascii="黑体" w:hAnsi="宋体" w:eastAsia="黑体" w:cs="黑体"/>
          <w:color w:val="auto"/>
          <w:kern w:val="0"/>
          <w:sz w:val="31"/>
          <w:szCs w:val="31"/>
          <w:shd w:val="clear" w:color="auto" w:fill="FFFFFF"/>
        </w:rPr>
        <w:t xml:space="preserve">条 </w:t>
      </w:r>
      <w:r>
        <w:rPr>
          <w:rFonts w:hint="eastAsia" w:ascii="仿宋_GB2312" w:hAnsi="仿宋_GB2312" w:eastAsia="仿宋_GB2312" w:cs="仿宋_GB2312"/>
          <w:color w:val="auto"/>
          <w:kern w:val="0"/>
          <w:sz w:val="32"/>
          <w:szCs w:val="32"/>
          <w:shd w:val="clear" w:color="auto" w:fill="FFFFFF"/>
        </w:rPr>
        <w:t>入市主体和受让人（承租人）持出让（出租）合同</w:t>
      </w:r>
      <w:r>
        <w:rPr>
          <w:rFonts w:hint="eastAsia" w:ascii="仿宋_GB2312" w:hAnsi="仿宋_GB2312" w:eastAsia="仿宋_GB2312" w:cs="仿宋_GB2312"/>
          <w:color w:val="auto"/>
          <w:kern w:val="0"/>
          <w:sz w:val="32"/>
          <w:szCs w:val="32"/>
          <w:shd w:val="clear" w:color="auto" w:fill="FFFFFF"/>
          <w:lang w:eastAsia="zh-CN"/>
        </w:rPr>
        <w:t>（含三方监管协议）</w:t>
      </w:r>
      <w:r>
        <w:rPr>
          <w:rFonts w:hint="eastAsia" w:ascii="仿宋_GB2312" w:hAnsi="仿宋_GB2312" w:eastAsia="仿宋_GB2312" w:cs="仿宋_GB2312"/>
          <w:color w:val="auto"/>
          <w:kern w:val="0"/>
          <w:sz w:val="32"/>
          <w:szCs w:val="32"/>
          <w:shd w:val="clear" w:color="auto" w:fill="FFFFFF"/>
        </w:rPr>
        <w:t>及相关税费缴纳凭证等</w:t>
      </w:r>
      <w:r>
        <w:rPr>
          <w:rFonts w:hint="eastAsia" w:ascii="仿宋_GB2312" w:hAnsi="仿宋_GB2312" w:eastAsia="仿宋_GB2312" w:cs="仿宋_GB2312"/>
          <w:color w:val="auto"/>
          <w:kern w:val="0"/>
          <w:sz w:val="32"/>
          <w:szCs w:val="32"/>
          <w:shd w:val="clear" w:color="auto" w:fill="FFFFFF"/>
          <w:lang w:val="en-US" w:eastAsia="zh-CN"/>
        </w:rPr>
        <w:t>相关材料</w:t>
      </w:r>
      <w:r>
        <w:rPr>
          <w:rFonts w:hint="eastAsia" w:ascii="仿宋_GB2312" w:hAnsi="仿宋_GB2312" w:eastAsia="仿宋_GB2312" w:cs="仿宋_GB2312"/>
          <w:color w:val="auto"/>
          <w:kern w:val="0"/>
          <w:sz w:val="32"/>
          <w:szCs w:val="32"/>
          <w:shd w:val="clear" w:color="auto" w:fill="FFFFFF"/>
        </w:rPr>
        <w:t>向不动产所在地的不动产登记机构申请集体建设用地使用权登记。</w:t>
      </w:r>
    </w:p>
    <w:p>
      <w:pPr>
        <w:pStyle w:val="5"/>
        <w:widowControl/>
        <w:shd w:val="clear" w:color="auto" w:fill="FFFFFF"/>
        <w:spacing w:beforeAutospacing="0" w:afterAutospacing="0" w:line="560" w:lineRule="exact"/>
        <w:ind w:firstLine="620" w:firstLineChars="200"/>
        <w:jc w:val="both"/>
        <w:rPr>
          <w:rFonts w:ascii="微软雅黑" w:hAnsi="微软雅黑" w:eastAsia="微软雅黑" w:cs="微软雅黑"/>
          <w:color w:val="333333"/>
          <w:sz w:val="31"/>
          <w:szCs w:val="31"/>
        </w:rPr>
      </w:pPr>
    </w:p>
    <w:p>
      <w:pPr>
        <w:pStyle w:val="5"/>
        <w:widowControl/>
        <w:shd w:val="clear" w:color="auto" w:fill="FFFFFF"/>
        <w:spacing w:beforeAutospacing="0" w:afterAutospacing="0" w:line="560" w:lineRule="exact"/>
        <w:jc w:val="center"/>
        <w:rPr>
          <w:rFonts w:ascii="仿宋" w:hAnsi="仿宋" w:eastAsia="黑体" w:cs="仿宋"/>
          <w:color w:val="333333"/>
          <w:sz w:val="31"/>
          <w:szCs w:val="31"/>
        </w:rPr>
      </w:pPr>
      <w:r>
        <w:rPr>
          <w:rFonts w:ascii="黑体" w:hAnsi="宋体" w:eastAsia="黑体" w:cs="黑体"/>
          <w:color w:val="333333"/>
          <w:sz w:val="31"/>
          <w:szCs w:val="31"/>
          <w:shd w:val="clear" w:color="auto" w:fill="FFFFFF"/>
        </w:rPr>
        <w:t xml:space="preserve">第五章 </w:t>
      </w:r>
      <w:r>
        <w:rPr>
          <w:rFonts w:hint="eastAsia" w:ascii="黑体" w:hAnsi="宋体" w:eastAsia="黑体" w:cs="黑体"/>
          <w:color w:val="333333"/>
          <w:sz w:val="31"/>
          <w:szCs w:val="31"/>
          <w:shd w:val="clear" w:color="auto" w:fill="FFFFFF"/>
        </w:rPr>
        <w:t>法律责任</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第二十五条</w:t>
      </w:r>
      <w:r>
        <w:rPr>
          <w:rFonts w:hint="eastAsia" w:ascii="仿宋_GB2312" w:hAnsi="仿宋_GB2312" w:eastAsia="仿宋_GB2312" w:cs="仿宋_GB2312"/>
          <w:color w:val="333333"/>
          <w:sz w:val="32"/>
          <w:szCs w:val="32"/>
          <w:shd w:val="clear" w:color="auto" w:fill="FFFFFF"/>
        </w:rPr>
        <w:t xml:space="preserve"> 行政管理部门及交易机构的工作人员在农村集体经营性建设用地入市活动中，收受贿赂、泄露秘密、玩忽职守、滥用职权、徇私舞弊，违反土地管理法规，造成集体资产流失，</w:t>
      </w:r>
      <w:r>
        <w:rPr>
          <w:rFonts w:ascii="仿宋_GB2312" w:hAnsi="仿宋_GB2312" w:eastAsia="仿宋_GB2312" w:cs="仿宋_GB2312"/>
          <w:color w:val="333333"/>
          <w:sz w:val="32"/>
          <w:szCs w:val="32"/>
          <w:shd w:val="clear" w:color="auto" w:fill="FFFFFF"/>
        </w:rPr>
        <w:t>尚不构成犯罪的，依法给予处分；构成犯罪的，依法移送司法机关追究刑事</w:t>
      </w:r>
      <w:r>
        <w:rPr>
          <w:rFonts w:hint="eastAsia" w:ascii="仿宋_GB2312" w:hAnsi="仿宋_GB2312" w:eastAsia="仿宋_GB2312" w:cs="仿宋_GB2312"/>
          <w:color w:val="333333"/>
          <w:sz w:val="32"/>
          <w:szCs w:val="32"/>
          <w:shd w:val="clear" w:color="auto" w:fill="FFFFFF"/>
        </w:rPr>
        <w:t>责任。</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第二十六条</w:t>
      </w:r>
      <w:r>
        <w:rPr>
          <w:rFonts w:hint="eastAsia" w:ascii="仿宋_GB2312" w:hAnsi="仿宋_GB2312" w:eastAsia="仿宋_GB2312" w:cs="仿宋_GB2312"/>
          <w:color w:val="333333"/>
          <w:sz w:val="32"/>
          <w:szCs w:val="32"/>
          <w:shd w:val="clear" w:color="auto" w:fill="FFFFFF"/>
        </w:rPr>
        <w:t xml:space="preserve"> 农村集体经济组织在集体经营性建设用地入市过程中玩忽职守、滥用职权、徇私舞弊、弄虚作假的，或擅自侵占、挪用农村集体经营性建设用地入市收益，尚不构成犯罪的，依法给予处分；造成损失的，依法承担赔偿责任；构成犯罪的，依法移送司法机关追究刑事责任。</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b/>
          <w:bCs/>
          <w:color w:val="333333"/>
          <w:sz w:val="32"/>
          <w:szCs w:val="32"/>
          <w:shd w:val="clear" w:color="auto" w:fill="FFFFFF"/>
        </w:rPr>
        <w:t>第二十</w:t>
      </w:r>
      <w:r>
        <w:rPr>
          <w:rFonts w:hint="eastAsia" w:ascii="仿宋_GB2312" w:hAnsi="仿宋_GB2312" w:eastAsia="仿宋_GB2312" w:cs="仿宋_GB2312"/>
          <w:b/>
          <w:bCs/>
          <w:color w:val="333333"/>
          <w:sz w:val="32"/>
          <w:szCs w:val="32"/>
          <w:shd w:val="clear" w:color="auto" w:fill="FFFFFF"/>
          <w:lang w:val="en-US" w:eastAsia="zh-CN"/>
        </w:rPr>
        <w:t>七</w:t>
      </w:r>
      <w:r>
        <w:rPr>
          <w:rFonts w:hint="eastAsia" w:ascii="仿宋_GB2312" w:hAnsi="仿宋_GB2312" w:eastAsia="仿宋_GB2312" w:cs="仿宋_GB2312"/>
          <w:b/>
          <w:bCs/>
          <w:color w:val="333333"/>
          <w:sz w:val="32"/>
          <w:szCs w:val="32"/>
          <w:shd w:val="clear" w:color="auto" w:fill="FFFFFF"/>
        </w:rPr>
        <w:t>条</w:t>
      </w:r>
      <w:r>
        <w:rPr>
          <w:rFonts w:hint="eastAsia" w:ascii="仿宋_GB2312" w:hAnsi="仿宋_GB2312" w:eastAsia="仿宋_GB2312" w:cs="仿宋_GB2312"/>
          <w:color w:val="333333"/>
          <w:sz w:val="32"/>
          <w:szCs w:val="32"/>
          <w:shd w:val="clear" w:color="auto" w:fill="FFFFFF"/>
        </w:rPr>
        <w:t xml:space="preserve"> 有下列情形之一的，农村集体经营性建设用地使用权入市交易活动应当终止，造成损失的，应当依法承担赔偿等法律责任。</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（一）入市主体在公共资源交易活动中应主动查询相关主体的信用信息，主动使用我市公共资源交易信用评价结果等，未按规定审核竞买人资格，竞得人属于按国家、省、市规定应列为禁止参与土地竞买的</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（二）未取得县级人民政府书面意见</w:t>
      </w:r>
      <w:r>
        <w:rPr>
          <w:rFonts w:hint="eastAsia" w:ascii="仿宋_GB2312" w:hAnsi="仿宋_GB2312" w:eastAsia="仿宋_GB2312" w:cs="仿宋_GB2312"/>
          <w:color w:val="333333"/>
          <w:sz w:val="32"/>
          <w:szCs w:val="32"/>
          <w:shd w:val="clear" w:color="auto" w:fill="FFFFFF"/>
          <w:lang w:val="en-US" w:eastAsia="zh-CN"/>
        </w:rPr>
        <w:t>或部门</w:t>
      </w:r>
      <w:r>
        <w:rPr>
          <w:rFonts w:ascii="仿宋" w:hAnsi="仿宋" w:eastAsia="仿宋" w:cs="仿宋"/>
          <w:spacing w:val="6"/>
          <w:sz w:val="31"/>
          <w:szCs w:val="31"/>
        </w:rPr>
        <w:t>联审联批</w:t>
      </w:r>
      <w:r>
        <w:rPr>
          <w:rFonts w:hint="eastAsia" w:ascii="仿宋" w:hAnsi="仿宋" w:eastAsia="仿宋" w:cs="仿宋"/>
          <w:spacing w:val="6"/>
          <w:sz w:val="31"/>
          <w:szCs w:val="31"/>
          <w:lang w:val="en-US" w:eastAsia="zh-CN"/>
        </w:rPr>
        <w:t>意见</w:t>
      </w:r>
      <w:r>
        <w:rPr>
          <w:rFonts w:hint="eastAsia" w:ascii="仿宋_GB2312" w:hAnsi="仿宋_GB2312" w:eastAsia="仿宋_GB2312" w:cs="仿宋_GB2312"/>
          <w:color w:val="333333"/>
          <w:sz w:val="32"/>
          <w:szCs w:val="32"/>
          <w:shd w:val="clear" w:color="auto" w:fill="FFFFFF"/>
        </w:rPr>
        <w:t>，交易机构接受入市主体委托发布农村集体经营性建设用地使用权交易公告的</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（三）中标人、竞得人提供虚假文件隐瞒事实，通过弄虚作假等方式骗取入市交易资格的</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（四）中标人、竞得人采取行贿、恶意串通等非法手段中标或者竞得的</w:t>
      </w:r>
      <w:r>
        <w:rPr>
          <w:rFonts w:hint="eastAsia" w:ascii="仿宋_GB2312" w:hAnsi="仿宋_GB2312" w:eastAsia="仿宋_GB2312" w:cs="仿宋_GB2312"/>
          <w:color w:val="333333"/>
          <w:sz w:val="32"/>
          <w:szCs w:val="32"/>
          <w:shd w:val="clear" w:color="auto" w:fill="FFFFFF"/>
          <w:lang w:eastAsia="zh-CN"/>
        </w:rPr>
        <w:t>。</w:t>
      </w:r>
    </w:p>
    <w:p>
      <w:pPr>
        <w:pStyle w:val="5"/>
        <w:widowControl/>
        <w:shd w:val="clear" w:color="auto" w:fill="FFFFFF"/>
        <w:spacing w:beforeAutospacing="0" w:afterAutospacing="0" w:line="560" w:lineRule="exact"/>
        <w:ind w:firstLine="640" w:firstLineChars="200"/>
        <w:jc w:val="both"/>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shd w:val="clear" w:color="auto" w:fill="FFFFFF"/>
        </w:rPr>
        <w:t>（五）交易机构或中标人、竞得人在交易活动中存在其他违法违规行为的。</w:t>
      </w:r>
    </w:p>
    <w:p>
      <w:pPr>
        <w:pStyle w:val="5"/>
        <w:widowControl/>
        <w:shd w:val="clear" w:color="auto" w:fill="FFFFFF"/>
        <w:spacing w:beforeAutospacing="0" w:afterAutospacing="0" w:line="560" w:lineRule="exact"/>
        <w:ind w:firstLine="620" w:firstLineChars="200"/>
        <w:jc w:val="both"/>
        <w:rPr>
          <w:rFonts w:ascii="仿宋" w:hAnsi="仿宋" w:eastAsia="仿宋" w:cs="仿宋"/>
          <w:color w:val="333333"/>
          <w:sz w:val="31"/>
          <w:szCs w:val="31"/>
        </w:rPr>
      </w:pPr>
    </w:p>
    <w:p>
      <w:pPr>
        <w:pStyle w:val="5"/>
        <w:widowControl/>
        <w:shd w:val="clear" w:color="auto" w:fill="FFFFFF"/>
        <w:spacing w:beforeAutospacing="0" w:afterAutospacing="0" w:line="560" w:lineRule="exact"/>
        <w:ind w:firstLine="420"/>
        <w:jc w:val="center"/>
        <w:rPr>
          <w:rFonts w:ascii="仿宋" w:hAnsi="仿宋" w:eastAsia="仿宋" w:cs="仿宋"/>
          <w:color w:val="333333"/>
          <w:sz w:val="32"/>
          <w:szCs w:val="32"/>
        </w:rPr>
      </w:pPr>
      <w:r>
        <w:rPr>
          <w:rFonts w:ascii="黑体" w:hAnsi="宋体" w:eastAsia="黑体" w:cs="黑体"/>
          <w:color w:val="333333"/>
          <w:sz w:val="32"/>
          <w:szCs w:val="32"/>
          <w:shd w:val="clear" w:color="auto" w:fill="FFFFFF"/>
        </w:rPr>
        <w:t>第六章 附则</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b w:val="0"/>
          <w:bCs w:val="0"/>
          <w:color w:val="333333"/>
          <w:sz w:val="32"/>
          <w:szCs w:val="32"/>
          <w:shd w:val="clear" w:color="auto" w:fill="FFFFFF"/>
        </w:rPr>
      </w:pPr>
      <w:r>
        <w:rPr>
          <w:rFonts w:hint="eastAsia" w:ascii="仿宋_GB2312" w:hAnsi="仿宋_GB2312" w:eastAsia="仿宋_GB2312" w:cs="仿宋_GB2312"/>
          <w:b/>
          <w:bCs/>
          <w:color w:val="333333"/>
          <w:sz w:val="32"/>
          <w:szCs w:val="32"/>
          <w:shd w:val="clear" w:color="auto" w:fill="FFFFFF"/>
        </w:rPr>
        <w:t xml:space="preserve">第二十八条 </w:t>
      </w:r>
      <w:r>
        <w:rPr>
          <w:rFonts w:hint="eastAsia" w:ascii="仿宋_GB2312" w:hAnsi="仿宋_GB2312" w:eastAsia="仿宋_GB2312" w:cs="仿宋_GB2312"/>
          <w:color w:val="333333"/>
          <w:kern w:val="0"/>
          <w:sz w:val="32"/>
          <w:szCs w:val="32"/>
          <w:shd w:val="clear" w:color="auto" w:fill="FFFFFF"/>
        </w:rPr>
        <w:t>蕉岭县</w:t>
      </w:r>
      <w:r>
        <w:rPr>
          <w:rFonts w:hint="eastAsia" w:ascii="仿宋_GB2312" w:hAnsi="仿宋_GB2312" w:eastAsia="仿宋_GB2312" w:cs="仿宋_GB2312"/>
          <w:color w:val="333333"/>
          <w:kern w:val="0"/>
          <w:sz w:val="32"/>
          <w:szCs w:val="32"/>
          <w:shd w:val="clear" w:color="auto" w:fill="FFFFFF"/>
          <w:lang w:val="en-US" w:eastAsia="zh-CN"/>
        </w:rPr>
        <w:t>作为全国</w:t>
      </w:r>
      <w:r>
        <w:rPr>
          <w:rFonts w:hint="eastAsia" w:ascii="仿宋_GB2312" w:hAnsi="仿宋_GB2312" w:eastAsia="仿宋_GB2312" w:cs="仿宋_GB2312"/>
          <w:color w:val="333333"/>
          <w:kern w:val="0"/>
          <w:sz w:val="32"/>
          <w:szCs w:val="32"/>
          <w:shd w:val="clear" w:color="auto" w:fill="FFFFFF"/>
        </w:rPr>
        <w:t>深化农村集体经营性建设用地入市试点县，</w:t>
      </w:r>
      <w:r>
        <w:rPr>
          <w:rFonts w:hint="eastAsia" w:ascii="仿宋_GB2312" w:hAnsi="仿宋_GB2312" w:eastAsia="仿宋_GB2312" w:cs="仿宋_GB2312"/>
          <w:color w:val="333333"/>
          <w:sz w:val="32"/>
          <w:szCs w:val="32"/>
          <w:shd w:val="clear" w:color="auto" w:fill="FFFFFF"/>
        </w:rPr>
        <w:t>试点期间，可按试点任务要求制定的集体经营性建设用地入市相关配套政策执行。</w:t>
      </w:r>
    </w:p>
    <w:p>
      <w:pPr>
        <w:pStyle w:val="5"/>
        <w:widowControl/>
        <w:shd w:val="clear" w:color="auto" w:fill="FFFFFF"/>
        <w:spacing w:beforeAutospacing="0" w:afterAutospacing="0" w:line="560" w:lineRule="exact"/>
        <w:ind w:firstLine="643" w:firstLineChars="200"/>
        <w:jc w:val="both"/>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b/>
          <w:bCs/>
          <w:color w:val="333333"/>
          <w:sz w:val="32"/>
          <w:szCs w:val="32"/>
          <w:shd w:val="clear" w:color="auto" w:fill="FFFFFF"/>
        </w:rPr>
        <w:t>第二十九条</w:t>
      </w:r>
      <w:r>
        <w:rPr>
          <w:rFonts w:hint="eastAsia" w:ascii="仿宋_GB2312" w:hAnsi="仿宋_GB2312" w:eastAsia="仿宋_GB2312" w:cs="仿宋_GB2312"/>
          <w:color w:val="333333"/>
          <w:sz w:val="32"/>
          <w:szCs w:val="32"/>
          <w:shd w:val="clear" w:color="auto" w:fill="FFFFFF"/>
        </w:rPr>
        <w:t xml:space="preserve"> 本规则自2024年  月  日起试行，有效期  年。</w:t>
      </w:r>
    </w:p>
    <w:p>
      <w:pPr>
        <w:spacing w:line="560" w:lineRule="exact"/>
        <w:ind w:firstLine="420" w:firstLineChars="200"/>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6DB9CC1-B9C1-4C44-B846-1934B3B6084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572B2FC6-5F27-4AF0-B442-C426E37B350C}"/>
  </w:font>
  <w:font w:name="仿宋">
    <w:panose1 w:val="02010609060101010101"/>
    <w:charset w:val="86"/>
    <w:family w:val="modern"/>
    <w:pitch w:val="default"/>
    <w:sig w:usb0="800002BF" w:usb1="38CF7CFA" w:usb2="00000016" w:usb3="00000000" w:csb0="00040001" w:csb1="00000000"/>
    <w:embedRegular r:id="rId3" w:fontKey="{96A262DA-56E6-493B-A3B5-BEEAAF0F2C11}"/>
  </w:font>
  <w:font w:name="方正小标宋简体">
    <w:panose1 w:val="03000509000000000000"/>
    <w:charset w:val="86"/>
    <w:family w:val="script"/>
    <w:pitch w:val="default"/>
    <w:sig w:usb0="00000001" w:usb1="080E0000" w:usb2="00000000" w:usb3="00000000" w:csb0="00040000" w:csb1="00000000"/>
    <w:embedRegular r:id="rId4" w:fontKey="{DD794B0A-2CCC-4F59-AF8D-CEE4FB348E8E}"/>
  </w:font>
  <w:font w:name="微软雅黑">
    <w:panose1 w:val="020B0503020204020204"/>
    <w:charset w:val="86"/>
    <w:family w:val="swiss"/>
    <w:pitch w:val="default"/>
    <w:sig w:usb0="80000287" w:usb1="280F3C52" w:usb2="00000016" w:usb3="00000000" w:csb0="0004001F" w:csb1="00000000"/>
    <w:embedRegular r:id="rId5" w:fontKey="{F2B85E79-9486-43CB-BED3-B18E2D04824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- 8 -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- 8 -</w:t>
                    </w:r>
                    <w:r>
                      <w:rPr>
                        <w:rFonts w:hint="eastAsia" w:asciiTheme="minorEastAsia" w:hAnsi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198EB7"/>
    <w:multiLevelType w:val="singleLevel"/>
    <w:tmpl w:val="0B198EB7"/>
    <w:lvl w:ilvl="0" w:tentative="0">
      <w:start w:val="9"/>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JmOTRiMDRhZTVlMjYxODgwOGZkNzI2ZWJlMTcxMTkifQ=="/>
  </w:docVars>
  <w:rsids>
    <w:rsidRoot w:val="0E4C4330"/>
    <w:rsid w:val="0035574A"/>
    <w:rsid w:val="0080465A"/>
    <w:rsid w:val="009B62B7"/>
    <w:rsid w:val="028015EE"/>
    <w:rsid w:val="02A8709F"/>
    <w:rsid w:val="02EB738D"/>
    <w:rsid w:val="03264D37"/>
    <w:rsid w:val="03BA36FE"/>
    <w:rsid w:val="0AA65A69"/>
    <w:rsid w:val="0DF46EE5"/>
    <w:rsid w:val="0E4C4330"/>
    <w:rsid w:val="0EB7278C"/>
    <w:rsid w:val="0ED10760"/>
    <w:rsid w:val="10EF04FC"/>
    <w:rsid w:val="12A2064C"/>
    <w:rsid w:val="12A8753F"/>
    <w:rsid w:val="15787ABD"/>
    <w:rsid w:val="177F5918"/>
    <w:rsid w:val="1781571F"/>
    <w:rsid w:val="18D816C8"/>
    <w:rsid w:val="193C5657"/>
    <w:rsid w:val="1AD30E95"/>
    <w:rsid w:val="1AED1EEC"/>
    <w:rsid w:val="1D1F7B54"/>
    <w:rsid w:val="1DBD3E7E"/>
    <w:rsid w:val="1E9F685D"/>
    <w:rsid w:val="2065705B"/>
    <w:rsid w:val="242A6075"/>
    <w:rsid w:val="26373783"/>
    <w:rsid w:val="295D38DF"/>
    <w:rsid w:val="2CD564DD"/>
    <w:rsid w:val="2D2257DB"/>
    <w:rsid w:val="2DF87333"/>
    <w:rsid w:val="348B3E9D"/>
    <w:rsid w:val="3571709D"/>
    <w:rsid w:val="37DA1DCB"/>
    <w:rsid w:val="38111509"/>
    <w:rsid w:val="3AA03341"/>
    <w:rsid w:val="3ADF2937"/>
    <w:rsid w:val="3B8F799C"/>
    <w:rsid w:val="3C477B6A"/>
    <w:rsid w:val="3C837ABB"/>
    <w:rsid w:val="3CF2107C"/>
    <w:rsid w:val="4007776D"/>
    <w:rsid w:val="43D0224E"/>
    <w:rsid w:val="473F7E6C"/>
    <w:rsid w:val="47601526"/>
    <w:rsid w:val="48822961"/>
    <w:rsid w:val="49092F32"/>
    <w:rsid w:val="4A4132A6"/>
    <w:rsid w:val="4AF766C8"/>
    <w:rsid w:val="4D3161C8"/>
    <w:rsid w:val="4FCA1314"/>
    <w:rsid w:val="56422FAA"/>
    <w:rsid w:val="595069BF"/>
    <w:rsid w:val="59B857E0"/>
    <w:rsid w:val="5C6766EE"/>
    <w:rsid w:val="5D4A7040"/>
    <w:rsid w:val="5E823686"/>
    <w:rsid w:val="5F530EBF"/>
    <w:rsid w:val="635527B9"/>
    <w:rsid w:val="63E1722B"/>
    <w:rsid w:val="65F12A3C"/>
    <w:rsid w:val="66AE7DCF"/>
    <w:rsid w:val="68BB2F01"/>
    <w:rsid w:val="69117181"/>
    <w:rsid w:val="6B2B4E03"/>
    <w:rsid w:val="6B530E77"/>
    <w:rsid w:val="6D234DD1"/>
    <w:rsid w:val="6D8F3515"/>
    <w:rsid w:val="6E92140D"/>
    <w:rsid w:val="706A3309"/>
    <w:rsid w:val="71E26AEB"/>
    <w:rsid w:val="71F33B7F"/>
    <w:rsid w:val="72D26F23"/>
    <w:rsid w:val="734B21C8"/>
    <w:rsid w:val="75C44613"/>
    <w:rsid w:val="76311048"/>
    <w:rsid w:val="76B6633C"/>
    <w:rsid w:val="7A7F435D"/>
    <w:rsid w:val="7E6959D0"/>
    <w:rsid w:val="7F7C0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8"/>
    <w:autoRedefine/>
    <w:qFormat/>
    <w:uiPriority w:val="0"/>
    <w:rPr>
      <w:sz w:val="18"/>
      <w:szCs w:val="18"/>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customStyle="1" w:styleId="8">
    <w:name w:val="批注框文本 Char"/>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8</Pages>
  <Words>4200</Words>
  <Characters>4212</Characters>
  <Lines>7</Lines>
  <Paragraphs>8</Paragraphs>
  <TotalTime>2</TotalTime>
  <ScaleCrop>false</ScaleCrop>
  <LinksUpToDate>false</LinksUpToDate>
  <CharactersWithSpaces>4256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2024-03-12T04:00:00Z</dcterms:created>
  <dc:creator>爱爱兔</dc:creator>
  <cp:lastModifiedBy>latai527</cp:lastModifiedBy>
  <cp:lastPrinted>2024-05-16T01:22:00Z</cp:lastPrinted>
  <dcterms:modified xsi:type="dcterms:W3CDTF">2024-06-21T01:54:30Z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F4275B259F5442DD9D4E0979CF4E641B_13</vt:lpwstr>
  </property>
</Properties>
</file>