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Times New Roman"/>
          <w:sz w:val="32"/>
          <w:szCs w:val="32"/>
          <w:lang w:val="en-US" w:eastAsia="zh-CN"/>
        </w:rPr>
        <w:t>附件4</w:t>
      </w:r>
      <w:bookmarkStart w:id="0" w:name="_GoBack"/>
      <w:bookmarkEnd w:id="0"/>
    </w:p>
    <w:p>
      <w:pPr>
        <w:pStyle w:val="2"/>
        <w:jc w:val="both"/>
        <w:rPr>
          <w:rFonts w:hint="default" w:ascii="Times New Roman" w:hAnsi="Times New Roman" w:cs="Times New Roman"/>
          <w:lang w:val="en-US" w:eastAsia="zh-CN"/>
        </w:rPr>
      </w:pPr>
    </w:p>
    <w:p>
      <w:pPr>
        <w:snapToGrid w:val="0"/>
        <w:jc w:val="center"/>
        <w:rPr>
          <w:rFonts w:hint="default" w:ascii="Times New Roman" w:hAnsi="Times New Roman" w:eastAsia="仿宋_GB2312" w:cs="Times New Roman"/>
          <w:sz w:val="36"/>
          <w:szCs w:val="36"/>
          <w:lang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年专精特新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中小企业贷款贴息</w:t>
      </w:r>
      <w:r>
        <w:rPr>
          <w:rFonts w:hint="eastAsia" w:ascii="Times New Roman" w:hAnsi="Times New Roman" w:eastAsia="方正小标宋简体" w:cs="Times New Roman"/>
          <w:sz w:val="36"/>
          <w:szCs w:val="36"/>
          <w:lang w:eastAsia="zh-CN"/>
        </w:rPr>
        <w:t>项目</w:t>
      </w: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入库</w:t>
      </w:r>
      <w:r>
        <w:rPr>
          <w:rFonts w:hint="default" w:ascii="Times New Roman" w:hAnsi="Times New Roman" w:eastAsia="方正小标宋简体" w:cs="Times New Roman"/>
          <w:sz w:val="36"/>
          <w:szCs w:val="36"/>
          <w:lang w:eastAsia="zh-CN"/>
        </w:rPr>
        <w:t>申报汇总表</w:t>
      </w:r>
    </w:p>
    <w:p>
      <w:pPr>
        <w:jc w:val="both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</w:p>
    <w:p>
      <w:pPr>
        <w:jc w:val="both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填报单位（盖章）：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               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 xml:space="preserve">填报人：     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联系电话：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 xml:space="preserve">                                              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 xml:space="preserve">     </w:t>
      </w:r>
    </w:p>
    <w:tbl>
      <w:tblPr>
        <w:tblStyle w:val="3"/>
        <w:tblW w:w="12961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1"/>
        <w:gridCol w:w="1080"/>
        <w:gridCol w:w="2235"/>
        <w:gridCol w:w="1380"/>
        <w:gridCol w:w="1020"/>
        <w:gridCol w:w="1365"/>
        <w:gridCol w:w="915"/>
        <w:gridCol w:w="2220"/>
        <w:gridCol w:w="214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8" w:hRule="atLeast"/>
        </w:trPr>
        <w:tc>
          <w:tcPr>
            <w:tcW w:w="6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所属</w:t>
            </w: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地区</w:t>
            </w:r>
          </w:p>
        </w:tc>
        <w:tc>
          <w:tcPr>
            <w:tcW w:w="223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企业名称</w:t>
            </w:r>
          </w:p>
        </w:tc>
        <w:tc>
          <w:tcPr>
            <w:tcW w:w="138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 w:eastAsia="zh-CN"/>
              </w:rPr>
              <w:t>近2年主营业务收入平均增长率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上年度资产负债率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136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上年度研发经费占营业收入比重</w:t>
            </w:r>
            <w:r>
              <w:rPr>
                <w:rFonts w:hint="eastAsia" w:ascii="Times New Roman" w:hAnsi="Times New Roman" w:cs="Times New Roman"/>
                <w:bCs/>
                <w:color w:val="000000"/>
                <w:sz w:val="21"/>
                <w:szCs w:val="21"/>
                <w:lang w:val="en-US" w:eastAsia="zh-CN"/>
              </w:rPr>
              <w:t>（%）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贷款金额（万元）</w:t>
            </w: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利息金额（万元）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Cs/>
                <w:color w:val="000000"/>
                <w:sz w:val="21"/>
                <w:szCs w:val="21"/>
                <w:lang w:eastAsia="zh-CN"/>
              </w:rPr>
              <w:t>申报贴息金额（万元）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8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3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8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020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136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vMerge w:val="continue"/>
            <w:tcBorders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05.01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至202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04.30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期间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实际支付利息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202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05.01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至202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  <w:r>
              <w:rPr>
                <w:rFonts w:hint="default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年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04.30</w:t>
            </w: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eastAsia="zh-CN"/>
              </w:rPr>
              <w:t>期间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4" w:hRule="atLeast"/>
        </w:trPr>
        <w:tc>
          <w:tcPr>
            <w:tcW w:w="60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3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391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1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jc w:val="both"/>
        <w:rPr>
          <w:rFonts w:hint="default" w:ascii="Times New Roman" w:hAnsi="Times New Roman" w:cs="Times New Roman"/>
          <w:sz w:val="24"/>
          <w:szCs w:val="24"/>
          <w:lang w:eastAsia="zh-CN"/>
        </w:rPr>
      </w:pPr>
    </w:p>
    <w:p>
      <w:pPr>
        <w:jc w:val="both"/>
        <w:rPr>
          <w:rFonts w:hint="default" w:ascii="Times New Roman" w:hAnsi="Times New Roman" w:eastAsia="宋体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注：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该表由各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县级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主管部门</w:t>
      </w:r>
      <w:r>
        <w:rPr>
          <w:rFonts w:hint="default" w:ascii="Times New Roman" w:hAnsi="Times New Roman" w:cs="Times New Roman"/>
          <w:sz w:val="24"/>
          <w:szCs w:val="24"/>
          <w:lang w:eastAsia="zh-CN"/>
        </w:rPr>
        <w:t>汇总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报市</w:t>
      </w:r>
      <w:r>
        <w:rPr>
          <w:rFonts w:hint="eastAsia" w:ascii="Times New Roman" w:hAnsi="Times New Roman" w:eastAsia="宋体" w:cs="Times New Roman"/>
          <w:sz w:val="24"/>
          <w:szCs w:val="24"/>
          <w:lang w:eastAsia="zh-CN"/>
        </w:rPr>
        <w:t>工业和信息化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局。</w:t>
      </w:r>
    </w:p>
    <w:p>
      <w:pPr>
        <w:pStyle w:val="2"/>
        <w:ind w:left="0" w:leftChars="0" w:firstLine="480" w:firstLineChars="200"/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  <w:lang w:val="en-US" w:eastAsia="zh-CN"/>
        </w:rPr>
        <w:t>2.金额不按“四舍五入”填写，直接舍去“十元”及以下，填写到“百元”及以上，小数点后两位。</w:t>
      </w:r>
    </w:p>
    <w:p>
      <w:pPr>
        <w:pStyle w:val="2"/>
        <w:ind w:left="0" w:leftChars="0" w:firstLine="0" w:firstLineChars="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5D27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ind w:left="114"/>
    </w:pPr>
    <w:rPr>
      <w:rFonts w:ascii="仿宋_GB2312" w:hAnsi="仿宋_GB2312" w:eastAsia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魏湘娟</cp:lastModifiedBy>
  <dcterms:modified xsi:type="dcterms:W3CDTF">2024-06-28T03:31:42Z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