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both"/>
        <w:rPr>
          <w:rFonts w:hint="default" w:ascii="黑体" w:hAnsi="黑体" w:eastAsia="黑体" w:cs="黑体"/>
          <w:spacing w:val="-1"/>
          <w:position w:val="1"/>
          <w:sz w:val="32"/>
          <w:szCs w:val="32"/>
          <w:lang w:val="en-US" w:eastAsia="zh-CN"/>
        </w:rPr>
      </w:pPr>
      <w:r>
        <w:rPr>
          <w:rFonts w:hint="eastAsia" w:ascii="黑体" w:hAnsi="黑体" w:eastAsia="黑体" w:cs="黑体"/>
          <w:spacing w:val="-1"/>
          <w:position w:val="1"/>
          <w:sz w:val="32"/>
          <w:szCs w:val="32"/>
          <w:lang w:eastAsia="zh-CN"/>
        </w:rPr>
        <w:t>附件</w:t>
      </w:r>
      <w:r>
        <w:rPr>
          <w:rFonts w:hint="eastAsia" w:ascii="黑体" w:hAnsi="黑体" w:eastAsia="黑体" w:cs="黑体"/>
          <w:spacing w:val="-1"/>
          <w:position w:val="1"/>
          <w:sz w:val="32"/>
          <w:szCs w:val="32"/>
          <w:lang w:val="en-US" w:eastAsia="zh-CN"/>
        </w:rPr>
        <w:t xml:space="preserve">3 </w:t>
      </w:r>
    </w:p>
    <w:p>
      <w:pPr>
        <w:pStyle w:val="5"/>
        <w:rPr>
          <w:rFonts w:hint="default"/>
          <w:lang w:val="en-US" w:eastAsia="zh-CN"/>
        </w:rPr>
      </w:pPr>
    </w:p>
    <w:p>
      <w:pPr>
        <w:spacing w:line="590" w:lineRule="exact"/>
        <w:jc w:val="center"/>
        <w:rPr>
          <w:rFonts w:hint="eastAsia" w:ascii="Times New Roman" w:hAnsi="Times New Roman" w:eastAsia="方正小标宋简体" w:cs="Times New Roman"/>
          <w:spacing w:val="-1"/>
          <w:position w:val="1"/>
          <w:sz w:val="44"/>
          <w:szCs w:val="44"/>
          <w:lang w:eastAsia="zh-CN"/>
        </w:rPr>
      </w:pPr>
      <w:r>
        <w:rPr>
          <w:rFonts w:hint="eastAsia" w:ascii="Times New Roman" w:hAnsi="Times New Roman" w:eastAsia="方正小标宋简体" w:cs="Times New Roman"/>
          <w:spacing w:val="-1"/>
          <w:position w:val="1"/>
          <w:sz w:val="44"/>
          <w:szCs w:val="44"/>
          <w:lang w:eastAsia="zh-CN"/>
        </w:rPr>
        <w:t>梅州市电线电缆产品质量</w:t>
      </w:r>
    </w:p>
    <w:p>
      <w:pPr>
        <w:spacing w:line="590" w:lineRule="exact"/>
        <w:jc w:val="center"/>
        <w:rPr>
          <w:rFonts w:hint="eastAsia" w:ascii="Times New Roman" w:hAnsi="Times New Roman" w:eastAsia="方正小标宋简体" w:cs="Times New Roman"/>
          <w:spacing w:val="-1"/>
          <w:position w:val="1"/>
          <w:sz w:val="44"/>
          <w:szCs w:val="44"/>
          <w:lang w:eastAsia="zh-CN"/>
        </w:rPr>
      </w:pPr>
      <w:r>
        <w:rPr>
          <w:rFonts w:hint="eastAsia" w:ascii="Times New Roman" w:hAnsi="Times New Roman" w:eastAsia="方正小标宋简体" w:cs="Times New Roman"/>
          <w:spacing w:val="-1"/>
          <w:position w:val="1"/>
          <w:sz w:val="44"/>
          <w:szCs w:val="44"/>
          <w:lang w:eastAsia="zh-CN"/>
        </w:rPr>
        <w:t>监督抽查实施细则</w:t>
      </w:r>
    </w:p>
    <w:p>
      <w:pPr>
        <w:bidi w:val="0"/>
        <w:adjustRightInd/>
        <w:snapToGrid/>
        <w:spacing w:line="560" w:lineRule="exact"/>
        <w:jc w:val="center"/>
        <w:rPr>
          <w:rFonts w:hint="default" w:ascii="Times New Roman" w:hAnsi="Times New Roman" w:eastAsia="仿宋_GB2312" w:cs="Times New Roman"/>
          <w:color w:val="000000"/>
          <w:sz w:val="32"/>
          <w:szCs w:val="32"/>
          <w:lang w:eastAsia="zh-CN"/>
        </w:rPr>
      </w:pPr>
      <w:r>
        <w:rPr>
          <w:rFonts w:hint="eastAsia" w:ascii="楷体_GB2312" w:hAnsi="楷体_GB2312" w:eastAsia="楷体_GB2312" w:cs="楷体_GB2312"/>
          <w:color w:val="000000"/>
          <w:sz w:val="32"/>
          <w:szCs w:val="32"/>
          <w:lang w:eastAsia="zh-CN"/>
        </w:rPr>
        <w:t>（</w:t>
      </w:r>
      <w:r>
        <w:rPr>
          <w:rFonts w:hint="default" w:ascii="Times New Roman" w:hAnsi="Times New Roman" w:eastAsia="楷体_GB2312" w:cs="Times New Roman"/>
          <w:color w:val="000000"/>
          <w:sz w:val="32"/>
          <w:szCs w:val="32"/>
          <w:lang w:eastAsia="zh-CN"/>
        </w:rPr>
        <w:t>2024年版）</w:t>
      </w:r>
    </w:p>
    <w:p>
      <w:pPr>
        <w:pStyle w:val="5"/>
        <w:rPr>
          <w:rFonts w:hint="eastAsia"/>
          <w:lang w:eastAsia="zh-CN"/>
        </w:rPr>
      </w:pPr>
    </w:p>
    <w:p>
      <w:pPr>
        <w:adjustRightInd w:val="0"/>
        <w:snapToGrid w:val="0"/>
        <w:spacing w:line="360" w:lineRule="auto"/>
        <w:rPr>
          <w:rFonts w:eastAsia="黑体"/>
          <w:color w:val="000000"/>
          <w:sz w:val="32"/>
          <w:szCs w:val="32"/>
        </w:rPr>
      </w:pPr>
    </w:p>
    <w:p>
      <w:pPr>
        <w:numPr>
          <w:ilvl w:val="0"/>
          <w:numId w:val="1"/>
        </w:numPr>
        <w:adjustRightInd w:val="0"/>
        <w:snapToGrid w:val="0"/>
        <w:spacing w:line="360" w:lineRule="auto"/>
        <w:ind w:firstLine="640" w:firstLineChars="200"/>
        <w:rPr>
          <w:rFonts w:eastAsia="黑体"/>
          <w:color w:val="000000"/>
          <w:sz w:val="32"/>
          <w:szCs w:val="32"/>
        </w:rPr>
      </w:pPr>
      <w:r>
        <w:rPr>
          <w:rFonts w:eastAsia="黑体"/>
          <w:color w:val="000000"/>
          <w:sz w:val="32"/>
          <w:szCs w:val="32"/>
        </w:rPr>
        <w:t>抽样方法</w:t>
      </w:r>
    </w:p>
    <w:p>
      <w:pPr>
        <w:numPr>
          <w:ilvl w:val="0"/>
          <w:numId w:val="0"/>
        </w:numPr>
        <w:adjustRightInd w:val="0"/>
        <w:snapToGrid w:val="0"/>
        <w:spacing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以随机抽样的方式在被抽样生产者、销售者的待销产品中抽取。</w:t>
      </w:r>
    </w:p>
    <w:p>
      <w:pPr>
        <w:numPr>
          <w:ilvl w:val="0"/>
          <w:numId w:val="0"/>
        </w:numPr>
        <w:adjustRightInd w:val="0"/>
        <w:snapToGrid w:val="0"/>
        <w:spacing w:line="360"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随机数一般可使用随机数表等方法产生。</w:t>
      </w:r>
    </w:p>
    <w:p>
      <w:pPr>
        <w:numPr>
          <w:ilvl w:val="0"/>
          <w:numId w:val="0"/>
        </w:numPr>
        <w:adjustRightInd w:val="0"/>
        <w:snapToGrid w:val="0"/>
        <w:spacing w:line="360" w:lineRule="auto"/>
        <w:ind w:firstLine="640" w:firstLineChars="200"/>
        <w:rPr>
          <w:rFonts w:hint="eastAsia" w:ascii="仿宋_GB2312" w:eastAsia="仿宋_GB2312"/>
          <w:color w:val="000000"/>
          <w:sz w:val="32"/>
          <w:szCs w:val="32"/>
        </w:rPr>
      </w:pPr>
      <w:r>
        <w:rPr>
          <w:rFonts w:ascii="Times New Roman" w:hAnsi="Times New Roman" w:eastAsia="仿宋_GB2312" w:cs="Times New Roman"/>
          <w:sz w:val="32"/>
          <w:szCs w:val="32"/>
        </w:rPr>
        <w:t>每款产品抽取2卷（</w:t>
      </w:r>
      <w:r>
        <w:rPr>
          <w:rFonts w:hint="eastAsia" w:ascii="Times New Roman" w:hAnsi="Times New Roman" w:eastAsia="仿宋_GB2312" w:cs="Times New Roman"/>
          <w:sz w:val="32"/>
          <w:szCs w:val="32"/>
        </w:rPr>
        <w:t>应</w:t>
      </w:r>
      <w:r>
        <w:rPr>
          <w:rFonts w:ascii="Times New Roman" w:hAnsi="Times New Roman" w:eastAsia="仿宋_GB2312" w:cs="Times New Roman"/>
          <w:sz w:val="32"/>
          <w:szCs w:val="32"/>
        </w:rPr>
        <w:t>不少于</w:t>
      </w:r>
      <w:r>
        <w:rPr>
          <w:rFonts w:hint="eastAsia" w:ascii="Times New Roman" w:hAnsi="Times New Roman" w:eastAsia="仿宋_GB2312" w:cs="Times New Roman"/>
          <w:sz w:val="32"/>
          <w:szCs w:val="32"/>
        </w:rPr>
        <w:t>30米</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其中</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卷作为检验样品，</w:t>
      </w:r>
      <w:r>
        <w:rPr>
          <w:rFonts w:hint="eastAsia" w:ascii="Times New Roman" w:hAnsi="Times New Roman" w:eastAsia="仿宋_GB2312" w:cs="Times New Roman"/>
          <w:sz w:val="32"/>
          <w:szCs w:val="32"/>
        </w:rPr>
        <w:t>另1卷</w:t>
      </w:r>
      <w:r>
        <w:rPr>
          <w:rFonts w:ascii="Times New Roman" w:hAnsi="Times New Roman" w:eastAsia="仿宋_GB2312" w:cs="Times New Roman"/>
          <w:sz w:val="32"/>
          <w:szCs w:val="32"/>
        </w:rPr>
        <w:t>作为备用样品。样品</w:t>
      </w:r>
      <w:r>
        <w:rPr>
          <w:rFonts w:hint="eastAsia" w:ascii="Times New Roman" w:hAnsi="Times New Roman" w:eastAsia="仿宋_GB2312" w:cs="Times New Roman"/>
          <w:sz w:val="32"/>
          <w:szCs w:val="32"/>
        </w:rPr>
        <w:t>应</w:t>
      </w:r>
      <w:r>
        <w:rPr>
          <w:rFonts w:ascii="Times New Roman" w:hAnsi="Times New Roman" w:eastAsia="仿宋_GB2312" w:cs="Times New Roman"/>
          <w:sz w:val="32"/>
          <w:szCs w:val="32"/>
        </w:rPr>
        <w:t>包装完好，并附有合格证明</w:t>
      </w:r>
      <w:r>
        <w:rPr>
          <w:rFonts w:hint="eastAsia" w:ascii="仿宋_GB2312" w:eastAsia="仿宋_GB2312"/>
          <w:color w:val="000000"/>
          <w:sz w:val="32"/>
          <w:szCs w:val="32"/>
        </w:rPr>
        <w:t>。</w:t>
      </w:r>
    </w:p>
    <w:p>
      <w:pPr>
        <w:numPr>
          <w:ilvl w:val="0"/>
          <w:numId w:val="0"/>
        </w:numPr>
        <w:adjustRightInd w:val="0"/>
        <w:snapToGrid w:val="0"/>
        <w:spacing w:line="360" w:lineRule="auto"/>
        <w:ind w:firstLine="616" w:firstLineChars="200"/>
        <w:rPr>
          <w:rFonts w:ascii="Times New Roman" w:hAnsi="Times New Roman" w:eastAsia="黑体" w:cs="黑体"/>
          <w:color w:val="000000"/>
          <w:spacing w:val="-6"/>
          <w:sz w:val="32"/>
          <w:szCs w:val="32"/>
        </w:rPr>
      </w:pPr>
      <w:r>
        <w:rPr>
          <w:rFonts w:hint="eastAsia" w:ascii="Times New Roman" w:hAnsi="Times New Roman" w:eastAsia="黑体" w:cs="黑体"/>
          <w:color w:val="000000"/>
          <w:spacing w:val="-6"/>
          <w:sz w:val="32"/>
          <w:szCs w:val="32"/>
        </w:rPr>
        <w:t>二、主要检验项目及检验项目属性划分</w:t>
      </w:r>
    </w:p>
    <w:tbl>
      <w:tblPr>
        <w:tblStyle w:val="6"/>
        <w:tblW w:w="86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2374"/>
        <w:gridCol w:w="2021"/>
        <w:gridCol w:w="708"/>
        <w:gridCol w:w="709"/>
        <w:gridCol w:w="708"/>
        <w:gridCol w:w="70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序号</w:t>
            </w:r>
          </w:p>
        </w:tc>
        <w:tc>
          <w:tcPr>
            <w:tcW w:w="23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检验项目</w:t>
            </w:r>
          </w:p>
        </w:tc>
        <w:tc>
          <w:tcPr>
            <w:tcW w:w="20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依据法律法规或标准</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强制性</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非强制性</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重要项</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较重要项</w:t>
            </w:r>
          </w:p>
        </w:tc>
        <w:tc>
          <w:tcPr>
            <w:tcW w:w="709" w:type="dxa"/>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1</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导体电阻</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 5023.</w:t>
            </w:r>
            <w:r>
              <w:rPr>
                <w:rFonts w:hint="eastAsia" w:ascii="Times New Roman" w:hAnsi="Times New Roman" w:eastAsia="宋体" w:cs="Times New Roman"/>
                <w:bCs/>
                <w:color w:val="000000"/>
                <w:spacing w:val="-6"/>
                <w:kern w:val="0"/>
                <w:sz w:val="21"/>
                <w:szCs w:val="21"/>
                <w:lang w:val="en-US" w:eastAsia="zh-CN"/>
              </w:rPr>
              <w:t>2</w:t>
            </w:r>
            <w:r>
              <w:rPr>
                <w:rFonts w:hint="eastAsia" w:ascii="Times New Roman" w:hAnsi="Times New Roman" w:eastAsia="宋体" w:cs="Times New Roman"/>
                <w:bCs/>
                <w:color w:val="000000"/>
                <w:spacing w:val="-6"/>
                <w:kern w:val="0"/>
                <w:sz w:val="21"/>
                <w:szCs w:val="21"/>
              </w:rPr>
              <w:t>-2008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2</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成品电缆电压试验</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 5023.</w:t>
            </w:r>
            <w:r>
              <w:rPr>
                <w:rFonts w:hint="eastAsia" w:ascii="Times New Roman" w:hAnsi="Times New Roman" w:eastAsia="宋体" w:cs="Times New Roman"/>
                <w:bCs/>
                <w:color w:val="000000"/>
                <w:spacing w:val="-6"/>
                <w:kern w:val="0"/>
                <w:sz w:val="21"/>
                <w:szCs w:val="21"/>
                <w:lang w:val="en-US" w:eastAsia="zh-CN"/>
              </w:rPr>
              <w:t>2</w:t>
            </w:r>
            <w:r>
              <w:rPr>
                <w:rFonts w:hint="eastAsia" w:ascii="Times New Roman" w:hAnsi="Times New Roman" w:eastAsia="宋体" w:cs="Times New Roman"/>
                <w:bCs/>
                <w:color w:val="000000"/>
                <w:spacing w:val="-6"/>
                <w:kern w:val="0"/>
                <w:sz w:val="21"/>
                <w:szCs w:val="21"/>
              </w:rPr>
              <w:t>-2008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3</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绝缘线芯电压试验</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 5023.</w:t>
            </w:r>
            <w:r>
              <w:rPr>
                <w:rFonts w:hint="eastAsia" w:ascii="Times New Roman" w:hAnsi="Times New Roman" w:eastAsia="宋体" w:cs="Times New Roman"/>
                <w:bCs/>
                <w:color w:val="000000"/>
                <w:spacing w:val="-6"/>
                <w:kern w:val="0"/>
                <w:sz w:val="21"/>
                <w:szCs w:val="21"/>
                <w:lang w:val="en-US" w:eastAsia="zh-CN"/>
              </w:rPr>
              <w:t>2</w:t>
            </w:r>
            <w:r>
              <w:rPr>
                <w:rFonts w:hint="eastAsia" w:ascii="Times New Roman" w:hAnsi="Times New Roman" w:eastAsia="宋体" w:cs="Times New Roman"/>
                <w:bCs/>
                <w:color w:val="000000"/>
                <w:spacing w:val="-6"/>
                <w:kern w:val="0"/>
                <w:sz w:val="21"/>
                <w:szCs w:val="21"/>
              </w:rPr>
              <w:t>-2008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lang w:val="en-US" w:eastAsia="zh-CN"/>
              </w:rPr>
              <w:t>4</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rPr>
              <w:t>外径（外形尺寸</w:t>
            </w:r>
            <w:r>
              <w:rPr>
                <w:rFonts w:hint="eastAsia" w:ascii="Times New Roman" w:hAnsi="Times New Roman" w:eastAsia="宋体" w:cs="Times New Roman"/>
                <w:bCs/>
                <w:color w:val="000000"/>
                <w:spacing w:val="-6"/>
                <w:kern w:val="0"/>
                <w:sz w:val="21"/>
                <w:szCs w:val="21"/>
                <w:lang w:eastAsia="zh-CN"/>
              </w:rPr>
              <w:t>）</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GB/T2951.11-2008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lang w:val="en-US" w:eastAsia="zh-CN"/>
              </w:rPr>
              <w:t>5</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绝缘老化前断裂伸长率</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GB/T2951.11-2008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lang w:val="en-US" w:eastAsia="zh-CN"/>
              </w:rPr>
              <w:t>6</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绝缘老化前抗张强度</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GB/T2951.11-2008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lang w:val="en-US" w:eastAsia="zh-CN"/>
              </w:rPr>
              <w:t>7</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rPr>
              <w:t>标志</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rPr>
              <w:t>GB/T 5023.1-2008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eastAsia="zh-CN"/>
              </w:rPr>
            </w:pPr>
            <w:r>
              <w:rPr>
                <w:rFonts w:hint="eastAsia" w:ascii="Times New Roman" w:hAnsi="Times New Roman" w:eastAsia="宋体" w:cs="Times New Roman"/>
                <w:bCs/>
                <w:color w:val="000000"/>
                <w:spacing w:val="-6"/>
                <w:kern w:val="0"/>
                <w:sz w:val="21"/>
                <w:szCs w:val="21"/>
                <w:lang w:val="en-US" w:eastAsia="zh-CN"/>
              </w:rPr>
              <w:t>8</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绝缘电阻</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 5023.</w:t>
            </w:r>
            <w:r>
              <w:rPr>
                <w:rFonts w:hint="eastAsia" w:ascii="Times New Roman" w:hAnsi="Times New Roman" w:eastAsia="宋体" w:cs="Times New Roman"/>
                <w:bCs/>
                <w:color w:val="000000"/>
                <w:spacing w:val="-6"/>
                <w:kern w:val="0"/>
                <w:sz w:val="21"/>
                <w:szCs w:val="21"/>
                <w:lang w:val="en-US" w:eastAsia="zh-CN"/>
              </w:rPr>
              <w:t>2</w:t>
            </w:r>
            <w:r>
              <w:rPr>
                <w:rFonts w:hint="eastAsia" w:ascii="Times New Roman" w:hAnsi="Times New Roman" w:eastAsia="宋体" w:cs="Times New Roman"/>
                <w:bCs/>
                <w:color w:val="000000"/>
                <w:spacing w:val="-6"/>
                <w:kern w:val="0"/>
                <w:sz w:val="21"/>
                <w:szCs w:val="21"/>
              </w:rPr>
              <w:t>-2008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eastAsia="zh-CN"/>
              </w:rPr>
            </w:pPr>
            <w:r>
              <w:rPr>
                <w:rFonts w:hint="eastAsia" w:ascii="Times New Roman" w:hAnsi="Times New Roman" w:eastAsia="宋体" w:cs="Times New Roman"/>
                <w:bCs/>
                <w:color w:val="000000"/>
                <w:spacing w:val="-6"/>
                <w:kern w:val="0"/>
                <w:sz w:val="21"/>
                <w:szCs w:val="21"/>
                <w:lang w:val="en-US" w:eastAsia="zh-CN"/>
              </w:rPr>
              <w:t>9</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绝缘</w:t>
            </w:r>
            <w:r>
              <w:rPr>
                <w:rFonts w:hint="eastAsia" w:ascii="Times New Roman" w:hAnsi="Times New Roman" w:eastAsia="宋体" w:cs="Times New Roman"/>
                <w:bCs/>
                <w:color w:val="000000"/>
                <w:spacing w:val="-6"/>
                <w:kern w:val="0"/>
                <w:sz w:val="21"/>
                <w:szCs w:val="21"/>
                <w:lang w:eastAsia="zh-CN"/>
              </w:rPr>
              <w:t>平均</w:t>
            </w:r>
            <w:r>
              <w:rPr>
                <w:rFonts w:hint="eastAsia" w:ascii="Times New Roman" w:hAnsi="Times New Roman" w:eastAsia="宋体" w:cs="Times New Roman"/>
                <w:bCs/>
                <w:color w:val="000000"/>
                <w:spacing w:val="-6"/>
                <w:kern w:val="0"/>
                <w:sz w:val="21"/>
                <w:szCs w:val="21"/>
              </w:rPr>
              <w:t>厚度</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 5023.</w:t>
            </w:r>
            <w:r>
              <w:rPr>
                <w:rFonts w:hint="eastAsia" w:ascii="Times New Roman" w:hAnsi="Times New Roman" w:eastAsia="宋体" w:cs="Times New Roman"/>
                <w:bCs/>
                <w:color w:val="000000"/>
                <w:spacing w:val="-6"/>
                <w:kern w:val="0"/>
                <w:sz w:val="21"/>
                <w:szCs w:val="21"/>
                <w:lang w:val="en-US" w:eastAsia="zh-CN"/>
              </w:rPr>
              <w:t>2</w:t>
            </w:r>
            <w:r>
              <w:rPr>
                <w:rFonts w:hint="eastAsia" w:ascii="Times New Roman" w:hAnsi="Times New Roman" w:eastAsia="宋体" w:cs="Times New Roman"/>
                <w:bCs/>
                <w:color w:val="000000"/>
                <w:spacing w:val="-6"/>
                <w:kern w:val="0"/>
                <w:sz w:val="21"/>
                <w:szCs w:val="21"/>
              </w:rPr>
              <w:t>-2008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default" w:ascii="Times New Roman" w:hAnsi="Times New Roman" w:eastAsia="宋体" w:cs="Times New Roman"/>
                <w:bCs/>
                <w:color w:val="000000"/>
                <w:spacing w:val="-6"/>
                <w:kern w:val="0"/>
                <w:sz w:val="21"/>
                <w:szCs w:val="21"/>
                <w:lang w:val="en-US" w:eastAsia="zh-CN"/>
              </w:rPr>
            </w:pPr>
            <w:r>
              <w:rPr>
                <w:rFonts w:hint="eastAsia" w:ascii="Times New Roman" w:hAnsi="Times New Roman" w:eastAsia="宋体" w:cs="Times New Roman"/>
                <w:bCs/>
                <w:color w:val="000000"/>
                <w:spacing w:val="-6"/>
                <w:kern w:val="0"/>
                <w:sz w:val="21"/>
                <w:szCs w:val="21"/>
                <w:lang w:val="en-US" w:eastAsia="zh-CN"/>
              </w:rPr>
              <w:t>10</w:t>
            </w:r>
          </w:p>
        </w:tc>
        <w:tc>
          <w:tcPr>
            <w:tcW w:w="2374"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lang w:eastAsia="zh-CN"/>
              </w:rPr>
            </w:pPr>
            <w:r>
              <w:rPr>
                <w:rFonts w:hint="eastAsia" w:ascii="Times New Roman" w:hAnsi="Times New Roman" w:eastAsia="宋体" w:cs="Times New Roman"/>
                <w:bCs/>
                <w:color w:val="000000"/>
                <w:spacing w:val="-6"/>
                <w:kern w:val="0"/>
                <w:sz w:val="21"/>
                <w:szCs w:val="21"/>
              </w:rPr>
              <w:t>绝缘</w:t>
            </w:r>
            <w:r>
              <w:rPr>
                <w:rFonts w:hint="eastAsia" w:ascii="Times New Roman" w:hAnsi="Times New Roman" w:eastAsia="宋体" w:cs="Times New Roman"/>
                <w:bCs/>
                <w:color w:val="000000"/>
                <w:spacing w:val="-6"/>
                <w:kern w:val="0"/>
                <w:sz w:val="21"/>
                <w:szCs w:val="21"/>
                <w:lang w:eastAsia="zh-CN"/>
              </w:rPr>
              <w:t>最薄处厚度</w:t>
            </w:r>
          </w:p>
        </w:tc>
        <w:tc>
          <w:tcPr>
            <w:tcW w:w="202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GB/T 5023.</w:t>
            </w:r>
            <w:r>
              <w:rPr>
                <w:rFonts w:hint="eastAsia" w:ascii="Times New Roman" w:hAnsi="Times New Roman" w:eastAsia="宋体" w:cs="Times New Roman"/>
                <w:bCs/>
                <w:color w:val="000000"/>
                <w:spacing w:val="-6"/>
                <w:kern w:val="0"/>
                <w:sz w:val="21"/>
                <w:szCs w:val="21"/>
                <w:lang w:val="en-US" w:eastAsia="zh-CN"/>
              </w:rPr>
              <w:t>2</w:t>
            </w:r>
            <w:r>
              <w:rPr>
                <w:rFonts w:hint="eastAsia" w:ascii="Times New Roman" w:hAnsi="Times New Roman" w:eastAsia="宋体" w:cs="Times New Roman"/>
                <w:bCs/>
                <w:color w:val="000000"/>
                <w:spacing w:val="-6"/>
                <w:kern w:val="0"/>
                <w:sz w:val="21"/>
                <w:szCs w:val="21"/>
              </w:rPr>
              <w:t>-2008</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r>
              <w:rPr>
                <w:rFonts w:hint="eastAsia" w:ascii="Times New Roman" w:hAnsi="Times New Roman" w:eastAsia="宋体" w:cs="Times New Roman"/>
                <w:bCs/>
                <w:color w:val="000000"/>
                <w:spacing w:val="-6"/>
                <w:kern w:val="0"/>
                <w:sz w:val="21"/>
                <w:szCs w:val="21"/>
              </w:rPr>
              <w:t>●</w:t>
            </w:r>
          </w:p>
        </w:tc>
        <w:tc>
          <w:tcPr>
            <w:tcW w:w="70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71" w:leftChars="-34" w:right="-69" w:rightChars="-33"/>
              <w:jc w:val="center"/>
              <w:textAlignment w:val="auto"/>
              <w:rPr>
                <w:rFonts w:hint="eastAsia" w:ascii="Times New Roman" w:hAnsi="Times New Roman" w:eastAsia="宋体" w:cs="Times New Roman"/>
                <w:bCs/>
                <w:color w:val="000000"/>
                <w:spacing w:val="-6"/>
                <w:kern w:val="0"/>
                <w:sz w:val="21"/>
                <w:szCs w:val="21"/>
              </w:rPr>
            </w:pPr>
          </w:p>
        </w:tc>
      </w:tr>
    </w:tbl>
    <w:p>
      <w:pPr>
        <w:spacing w:line="600" w:lineRule="exact"/>
        <w:ind w:firstLine="640" w:firstLineChars="200"/>
        <w:rPr>
          <w:rFonts w:eastAsia="黑体"/>
          <w:sz w:val="32"/>
          <w:szCs w:val="48"/>
        </w:rPr>
      </w:pPr>
      <w:r>
        <w:rPr>
          <w:rFonts w:eastAsia="黑体"/>
          <w:sz w:val="32"/>
          <w:szCs w:val="48"/>
        </w:rPr>
        <w:t>三、判定规则</w:t>
      </w:r>
    </w:p>
    <w:p>
      <w:pPr>
        <w:keepNext w:val="0"/>
        <w:keepLines w:val="0"/>
        <w:pageBreakBefore w:val="0"/>
        <w:kinsoku/>
        <w:wordWrap/>
        <w:overflowPunct/>
        <w:topLinePunct w:val="0"/>
        <w:bidi w:val="0"/>
        <w:adjustRightInd w:val="0"/>
        <w:snapToGrid w:val="0"/>
        <w:spacing w:line="600" w:lineRule="exact"/>
        <w:ind w:firstLine="641"/>
        <w:textAlignment w:val="auto"/>
        <w:rPr>
          <w:rFonts w:hint="eastAsia" w:ascii="楷体_GB2312" w:hAnsi="楷体_GB2312" w:eastAsia="楷体_GB2312" w:cs="楷体_GB2312"/>
          <w:color w:val="000000"/>
          <w:spacing w:val="-6"/>
          <w:sz w:val="32"/>
          <w:szCs w:val="32"/>
        </w:rPr>
      </w:pPr>
      <w:r>
        <w:rPr>
          <w:rFonts w:hint="eastAsia" w:ascii="楷体_GB2312" w:hAnsi="楷体_GB2312" w:eastAsia="楷体_GB2312" w:cs="楷体_GB2312"/>
          <w:color w:val="000000"/>
          <w:spacing w:val="-6"/>
          <w:sz w:val="32"/>
          <w:szCs w:val="32"/>
        </w:rPr>
        <w:t>（一）依据标准</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GB</w:t>
      </w:r>
      <w:r>
        <w:rPr>
          <w:rFonts w:ascii="Times New Roman" w:hAnsi="Times New Roman" w:eastAsia="仿宋_GB2312" w:cs="Times New Roman"/>
          <w:sz w:val="32"/>
          <w:szCs w:val="32"/>
        </w:rPr>
        <w:t>/T 2951.11-2008</w:t>
      </w:r>
      <w:r>
        <w:rPr>
          <w:rFonts w:hint="eastAsia" w:ascii="Times New Roman" w:hAnsi="Times New Roman" w:eastAsia="仿宋_GB2312" w:cs="Times New Roman"/>
          <w:sz w:val="32"/>
          <w:szCs w:val="32"/>
        </w:rPr>
        <w:t>《电缆</w:t>
      </w:r>
      <w:r>
        <w:rPr>
          <w:rFonts w:ascii="Times New Roman" w:hAnsi="Times New Roman" w:eastAsia="仿宋_GB2312" w:cs="Times New Roman"/>
          <w:sz w:val="32"/>
          <w:szCs w:val="32"/>
        </w:rPr>
        <w:t>和光缆绝缘和护套材料通用试验方法</w:t>
      </w:r>
      <w:r>
        <w:rPr>
          <w:rFonts w:hint="eastAsia" w:ascii="Times New Roman" w:hAnsi="Times New Roman" w:eastAsia="仿宋_GB2312" w:cs="Times New Roman"/>
          <w:sz w:val="32"/>
          <w:szCs w:val="32"/>
        </w:rPr>
        <w:t xml:space="preserve"> 第11部分</w:t>
      </w:r>
      <w:r>
        <w:rPr>
          <w:rFonts w:ascii="Times New Roman" w:hAnsi="Times New Roman" w:eastAsia="仿宋_GB2312" w:cs="Times New Roman"/>
          <w:sz w:val="32"/>
          <w:szCs w:val="32"/>
        </w:rPr>
        <w:t>：通用试验方法—</w:t>
      </w:r>
      <w:r>
        <w:rPr>
          <w:rFonts w:hint="eastAsia" w:ascii="Times New Roman" w:hAnsi="Times New Roman" w:eastAsia="仿宋_GB2312" w:cs="Times New Roman"/>
          <w:sz w:val="32"/>
          <w:szCs w:val="32"/>
        </w:rPr>
        <w:t>厚度</w:t>
      </w:r>
      <w:r>
        <w:rPr>
          <w:rFonts w:ascii="Times New Roman" w:hAnsi="Times New Roman" w:eastAsia="仿宋_GB2312" w:cs="Times New Roman"/>
          <w:sz w:val="32"/>
          <w:szCs w:val="32"/>
        </w:rPr>
        <w:t>和外形尺寸测量—</w:t>
      </w:r>
      <w:r>
        <w:rPr>
          <w:rFonts w:hint="eastAsia" w:ascii="Times New Roman" w:hAnsi="Times New Roman" w:eastAsia="仿宋_GB2312" w:cs="Times New Roman"/>
          <w:sz w:val="32"/>
          <w:szCs w:val="32"/>
        </w:rPr>
        <w:t>机械</w:t>
      </w:r>
      <w:r>
        <w:rPr>
          <w:rFonts w:ascii="Times New Roman" w:hAnsi="Times New Roman" w:eastAsia="仿宋_GB2312" w:cs="Times New Roman"/>
          <w:sz w:val="32"/>
          <w:szCs w:val="32"/>
        </w:rPr>
        <w:t>性能试验</w:t>
      </w:r>
      <w:r>
        <w:rPr>
          <w:rFonts w:hint="eastAsia"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GB/T </w:t>
      </w:r>
      <w:r>
        <w:rPr>
          <w:rFonts w:ascii="Times New Roman" w:hAnsi="Times New Roman" w:eastAsia="仿宋_GB2312" w:cs="Times New Roman"/>
          <w:sz w:val="32"/>
          <w:szCs w:val="32"/>
        </w:rPr>
        <w:t>5023.1</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08</w:t>
      </w:r>
      <w:r>
        <w:rPr>
          <w:rFonts w:hint="eastAsia" w:ascii="Times New Roman" w:hAnsi="Times New Roman" w:eastAsia="仿宋_GB2312" w:cs="Times New Roman"/>
          <w:sz w:val="32"/>
          <w:szCs w:val="32"/>
        </w:rPr>
        <w:t>《额定电压450/750</w:t>
      </w:r>
      <w:r>
        <w:rPr>
          <w:rFonts w:ascii="Times New Roman" w:hAnsi="Times New Roman" w:eastAsia="仿宋_GB2312" w:cs="Times New Roman"/>
          <w:sz w:val="32"/>
          <w:szCs w:val="32"/>
        </w:rPr>
        <w:t>V及以下</w:t>
      </w:r>
      <w:r>
        <w:rPr>
          <w:rFonts w:hint="eastAsia" w:ascii="Times New Roman" w:hAnsi="Times New Roman" w:eastAsia="仿宋_GB2312" w:cs="Times New Roman"/>
          <w:sz w:val="32"/>
          <w:szCs w:val="32"/>
        </w:rPr>
        <w:t>聚氯乙烯绝缘电缆 第1部分</w:t>
      </w:r>
      <w:r>
        <w:rPr>
          <w:rFonts w:ascii="Times New Roman" w:hAnsi="Times New Roman" w:eastAsia="仿宋_GB2312" w:cs="Times New Roman"/>
          <w:sz w:val="32"/>
          <w:szCs w:val="32"/>
        </w:rPr>
        <w:t>：一般要求</w:t>
      </w:r>
      <w:r>
        <w:rPr>
          <w:rFonts w:hint="eastAsia" w:ascii="Times New Roman" w:hAnsi="Times New Roman" w:eastAsia="仿宋_GB2312" w:cs="Times New Roman"/>
          <w:sz w:val="32"/>
          <w:szCs w:val="32"/>
        </w:rPr>
        <w:t>》</w:t>
      </w:r>
    </w:p>
    <w:p>
      <w:pPr>
        <w:ind w:firstLine="640" w:firstLineChars="200"/>
        <w:rPr>
          <w:rFonts w:eastAsia="仿宋"/>
          <w:color w:val="000000"/>
          <w:sz w:val="32"/>
          <w:szCs w:val="32"/>
        </w:rPr>
      </w:pPr>
      <w:r>
        <w:rPr>
          <w:rFonts w:hint="eastAsia" w:ascii="Times New Roman" w:hAnsi="Times New Roman" w:eastAsia="仿宋_GB2312" w:cs="Times New Roman"/>
          <w:sz w:val="32"/>
          <w:szCs w:val="32"/>
        </w:rPr>
        <w:t xml:space="preserve">GB/T </w:t>
      </w:r>
      <w:r>
        <w:rPr>
          <w:rFonts w:ascii="Times New Roman" w:hAnsi="Times New Roman" w:eastAsia="仿宋_GB2312" w:cs="Times New Roman"/>
          <w:sz w:val="32"/>
          <w:szCs w:val="32"/>
        </w:rPr>
        <w:t>5023.2</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08</w:t>
      </w:r>
      <w:r>
        <w:rPr>
          <w:rFonts w:hint="eastAsia" w:ascii="Times New Roman" w:hAnsi="Times New Roman" w:eastAsia="仿宋_GB2312" w:cs="Times New Roman"/>
          <w:sz w:val="32"/>
          <w:szCs w:val="32"/>
        </w:rPr>
        <w:t>《额定电压450/750</w:t>
      </w:r>
      <w:r>
        <w:rPr>
          <w:rFonts w:ascii="Times New Roman" w:hAnsi="Times New Roman" w:eastAsia="仿宋_GB2312" w:cs="Times New Roman"/>
          <w:sz w:val="32"/>
          <w:szCs w:val="32"/>
        </w:rPr>
        <w:t>V及以下</w:t>
      </w:r>
      <w:r>
        <w:rPr>
          <w:rFonts w:hint="eastAsia" w:ascii="Times New Roman" w:hAnsi="Times New Roman" w:eastAsia="仿宋_GB2312" w:cs="Times New Roman"/>
          <w:sz w:val="32"/>
          <w:szCs w:val="32"/>
        </w:rPr>
        <w:t>聚氯乙烯绝缘电缆 第</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部分</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试验方法》</w:t>
      </w:r>
    </w:p>
    <w:p>
      <w:pPr>
        <w:adjustRightInd w:val="0"/>
        <w:snapToGrid w:val="0"/>
        <w:ind w:firstLine="636" w:firstLineChars="199"/>
        <w:rPr>
          <w:rFonts w:eastAsia="仿宋"/>
          <w:color w:val="000000"/>
          <w:sz w:val="32"/>
          <w:szCs w:val="32"/>
        </w:rPr>
      </w:pPr>
      <w:r>
        <w:rPr>
          <w:rFonts w:eastAsia="仿宋"/>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600" w:lineRule="exact"/>
        <w:ind w:firstLine="641"/>
        <w:textAlignment w:val="auto"/>
        <w:rPr>
          <w:rFonts w:hint="eastAsia" w:ascii="楷体_GB2312" w:hAnsi="楷体_GB2312" w:eastAsia="楷体_GB2312" w:cs="楷体_GB2312"/>
          <w:color w:val="000000"/>
          <w:spacing w:val="-6"/>
          <w:sz w:val="32"/>
          <w:szCs w:val="32"/>
        </w:rPr>
      </w:pPr>
      <w:r>
        <w:rPr>
          <w:rFonts w:hint="eastAsia" w:ascii="楷体_GB2312" w:hAnsi="楷体_GB2312" w:eastAsia="楷体_GB2312" w:cs="楷体_GB2312"/>
          <w:color w:val="000000"/>
          <w:spacing w:val="-6"/>
          <w:sz w:val="32"/>
          <w:szCs w:val="32"/>
        </w:rPr>
        <w:t>（二）判定原则</w:t>
      </w:r>
    </w:p>
    <w:p>
      <w:pPr>
        <w:ind w:firstLine="640" w:firstLineChars="200"/>
        <w:rPr>
          <w:rFonts w:ascii="Times New Roman" w:hAnsi="Times New Roman" w:eastAsia="仿宋_GB2312" w:cs="Times New Roman"/>
          <w:sz w:val="32"/>
          <w:szCs w:val="32"/>
        </w:rPr>
      </w:pPr>
      <w:r>
        <w:rPr>
          <w:rFonts w:eastAsia="仿宋"/>
          <w:color w:val="000000"/>
          <w:sz w:val="32"/>
          <w:szCs w:val="32"/>
        </w:rPr>
        <w:t>经</w:t>
      </w:r>
      <w:r>
        <w:rPr>
          <w:rFonts w:ascii="Times New Roman" w:hAnsi="Times New Roman" w:eastAsia="仿宋_GB2312" w:cs="Times New Roman"/>
          <w:sz w:val="32"/>
          <w:szCs w:val="32"/>
        </w:rPr>
        <w:t>检验，检验项目全部合格，判定为被抽查产品所检项目未发现不合格；检验项目中任一项或一项以上不合格，判定为被抽查产品不合格。</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当被检样品明示的质量要求优于监督抽查实施细则中依据的标准要求时，应按被检样品明示的质量要求判定；</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当被检样品明示的质量要求劣于或不包含监督抽查实施细则中依据的强制性标准要求时，应按照强制性标准要求判定；</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当被检样品明示的质量要求不包含监督抽查实施细则中依据的推荐性标准要求时，该指标不参与判定，但应在检验报告中作出说明；</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当被检样品未能提供有效的企业标准时，按相关国家或行业标准进行判定；</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按照产品质量相关法律法规的规定判定。</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检验中发现因样品失效或者其他原因致使检验无法进行的，检验人员应如实记录，并提供相关证明材料，报送组织监督抽查的市场监管部门。</w:t>
      </w:r>
    </w:p>
    <w:p>
      <w:pPr>
        <w:bidi w:val="0"/>
        <w:rPr>
          <w:rFonts w:asciiTheme="minorHAnsi" w:hAnsiTheme="minorHAnsi" w:eastAsiaTheme="minorEastAsia" w:cstheme="minorBidi"/>
          <w:kern w:val="2"/>
          <w:sz w:val="21"/>
          <w:szCs w:val="22"/>
          <w:lang w:val="en-US" w:eastAsia="zh-CN" w:bidi="ar-SA"/>
        </w:rPr>
      </w:pPr>
    </w:p>
    <w:p>
      <w:pPr>
        <w:bidi w:val="0"/>
        <w:rPr>
          <w:lang w:val="en-US" w:eastAsia="zh-CN"/>
        </w:rPr>
      </w:pPr>
    </w:p>
    <w:p>
      <w:pPr>
        <w:bidi w:val="0"/>
        <w:rPr>
          <w:lang w:val="en-US" w:eastAsia="zh-CN"/>
        </w:rPr>
      </w:pPr>
    </w:p>
    <w:p>
      <w:pPr>
        <w:bidi w:val="0"/>
        <w:rPr>
          <w:lang w:val="en-US" w:eastAsia="zh-CN"/>
        </w:rPr>
      </w:pPr>
    </w:p>
    <w:p>
      <w:pPr>
        <w:bidi w:val="0"/>
        <w:ind w:firstLine="246" w:firstLineChars="0"/>
        <w:jc w:val="left"/>
        <w:rPr>
          <w:rFonts w:hint="eastAsia" w:eastAsiaTheme="minorEastAsia"/>
          <w:lang w:val="en-US" w:eastAsia="zh-CN"/>
        </w:rPr>
      </w:pPr>
      <w:r>
        <w:rPr>
          <w:rFonts w:hint="eastAsia" w:ascii="Times New Roman" w:hAnsi="Times New Roman" w:eastAsia="方正小标宋简体" w:cs="Times New Roman"/>
          <w:color w:val="auto"/>
          <w:sz w:val="44"/>
          <w:szCs w:val="44"/>
          <w:highlight w:val="none"/>
          <w:lang w:val="en-US" w:eastAsia="zh-CN"/>
        </w:rPr>
        <w:t xml:space="preserve"> </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EFF" w:usb1="C000785B"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q0RMgIAAGEEAAAOAAAAZHJz&#10;L2Uyb0RvYy54bWytVM2O0zAQviPxDpbvNGlRV1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95O&#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H+OrREyAgAAYQQAAA4AAAAAAAAAAQAgAAAA&#10;NQEAAGRycy9lMm9Eb2MueG1sUEsFBgAAAAAGAAYAWQEAANk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06430B"/>
    <w:multiLevelType w:val="singleLevel"/>
    <w:tmpl w:val="3706430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hNDJmMzM2ZjcyZWM0YjU5MmY5NDBjMWVjMTExMjcifQ=="/>
  </w:docVars>
  <w:rsids>
    <w:rsidRoot w:val="00B66671"/>
    <w:rsid w:val="001549CD"/>
    <w:rsid w:val="001E3F14"/>
    <w:rsid w:val="00292E30"/>
    <w:rsid w:val="004D382D"/>
    <w:rsid w:val="008A17D1"/>
    <w:rsid w:val="00A6074F"/>
    <w:rsid w:val="00A935C0"/>
    <w:rsid w:val="00B12A8A"/>
    <w:rsid w:val="00B66671"/>
    <w:rsid w:val="00D4511E"/>
    <w:rsid w:val="00D96505"/>
    <w:rsid w:val="00E52C85"/>
    <w:rsid w:val="00E96255"/>
    <w:rsid w:val="00F55B53"/>
    <w:rsid w:val="13C15DA8"/>
    <w:rsid w:val="1ED778CC"/>
    <w:rsid w:val="282825B7"/>
    <w:rsid w:val="2A1F0EB3"/>
    <w:rsid w:val="2A75184C"/>
    <w:rsid w:val="7BFFAD14"/>
    <w:rsid w:val="7EEC55A3"/>
    <w:rsid w:val="8D7F637C"/>
    <w:rsid w:val="AF8F2D26"/>
    <w:rsid w:val="B7FFE4DA"/>
    <w:rsid w:val="D8EBCE78"/>
    <w:rsid w:val="DFBF0E71"/>
    <w:rsid w:val="F67558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unhideWhenUsed/>
    <w:qFormat/>
    <w:uiPriority w:val="99"/>
    <w:pPr>
      <w:widowControl w:val="0"/>
      <w:jc w:val="both"/>
    </w:pPr>
    <w:rPr>
      <w:rFonts w:ascii="宋体" w:hAnsi="Courier New" w:eastAsia="宋体" w:cs="Times New Roman"/>
      <w:kern w:val="2"/>
      <w:sz w:val="32"/>
      <w:szCs w:val="21"/>
      <w:lang w:val="en-US" w:eastAsia="zh-CN" w:bidi="ar-SA"/>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oc 2"/>
    <w:basedOn w:val="1"/>
    <w:next w:val="1"/>
    <w:qFormat/>
    <w:uiPriority w:val="0"/>
    <w:pPr>
      <w:ind w:left="420" w:leftChars="200"/>
    </w:p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209</Words>
  <Characters>1195</Characters>
  <Lines>9</Lines>
  <Paragraphs>2</Paragraphs>
  <TotalTime>1</TotalTime>
  <ScaleCrop>false</ScaleCrop>
  <LinksUpToDate>false</LinksUpToDate>
  <CharactersWithSpaces>1402</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2020-08-29T10:58:00Z</dcterms:created>
  <dc:creator>lenovo</dc:creator>
  <cp:lastModifiedBy>greatwall</cp:lastModifiedBy>
  <dcterms:modified xsi:type="dcterms:W3CDTF">2024-10-12T10:51:11Z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3D05AA128450407A93A44D1AB5F72CEC</vt:lpwstr>
  </property>
</Properties>
</file>