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bidi w:val="0"/>
        <w:spacing w:line="560" w:lineRule="exact"/>
        <w:jc w:val="both"/>
        <w:textAlignment w:val="auto"/>
        <w:rPr>
          <w:rFonts w:hint="default" w:ascii="Times New Roman" w:hAnsi="Times New Roman" w:eastAsia="黑体" w:cs="黑体"/>
          <w:b w:val="0"/>
          <w:bCs w:val="0"/>
          <w:color w:val="auto"/>
          <w:kern w:val="44"/>
          <w:sz w:val="32"/>
          <w:szCs w:val="32"/>
          <w:highlight w:val="none"/>
          <w:lang w:val="en-US" w:eastAsia="zh-CN" w:bidi="ar-SA"/>
        </w:rPr>
      </w:pPr>
      <w:r>
        <w:rPr>
          <w:rFonts w:hint="eastAsia" w:ascii="Times New Roman" w:hAnsi="Times New Roman" w:eastAsia="黑体" w:cs="黑体"/>
          <w:b w:val="0"/>
          <w:bCs w:val="0"/>
          <w:color w:val="auto"/>
          <w:kern w:val="44"/>
          <w:sz w:val="32"/>
          <w:szCs w:val="32"/>
          <w:highlight w:val="none"/>
          <w:lang w:val="en-US" w:eastAsia="zh-CN" w:bidi="ar-SA"/>
        </w:rPr>
        <w:t>附件1</w:t>
      </w:r>
      <w:bookmarkStart w:id="4" w:name="_GoBack"/>
      <w:bookmarkEnd w:id="4"/>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val="en-US" w:eastAsia="zh-CN"/>
        </w:rPr>
        <w:t>梅州市</w:t>
      </w:r>
      <w:r>
        <w:rPr>
          <w:rFonts w:hint="eastAsia" w:ascii="方正小标宋简体" w:hAnsi="方正小标宋简体" w:eastAsia="方正小标宋简体" w:cs="方正小标宋简体"/>
          <w:color w:val="auto"/>
          <w:sz w:val="44"/>
          <w:szCs w:val="44"/>
          <w:highlight w:val="none"/>
        </w:rPr>
        <w:t>医疗救助经办规程</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征求意见稿</w:t>
      </w:r>
      <w:r>
        <w:rPr>
          <w:rFonts w:hint="eastAsia" w:ascii="仿宋_GB2312" w:hAnsi="仿宋_GB2312" w:eastAsia="仿宋_GB2312" w:cs="仿宋_GB2312"/>
          <w:color w:val="auto"/>
          <w:sz w:val="32"/>
          <w:szCs w:val="32"/>
          <w:highlight w:val="none"/>
          <w:lang w:eastAsia="zh-CN"/>
        </w:rPr>
        <w:t>）</w:t>
      </w:r>
    </w:p>
    <w:p>
      <w:pPr>
        <w:pageBreakBefore w:val="0"/>
        <w:kinsoku/>
        <w:wordWrap/>
        <w:overflowPunct/>
        <w:topLinePunct w:val="0"/>
        <w:bidi w:val="0"/>
        <w:spacing w:line="560" w:lineRule="exact"/>
        <w:textAlignment w:val="auto"/>
        <w:rPr>
          <w:rFonts w:hint="eastAsia"/>
          <w:color w:val="auto"/>
          <w:highlight w:val="none"/>
        </w:rPr>
      </w:pPr>
    </w:p>
    <w:p>
      <w:pPr>
        <w:pStyle w:val="2"/>
        <w:pageBreakBefore w:val="0"/>
        <w:kinsoku/>
        <w:wordWrap/>
        <w:overflowPunct/>
        <w:topLinePunct w:val="0"/>
        <w:bidi w:val="0"/>
        <w:spacing w:before="0" w:after="0" w:afterAutospacing="0" w:line="560" w:lineRule="exact"/>
        <w:jc w:val="center"/>
        <w:textAlignment w:val="auto"/>
        <w:rPr>
          <w:rFonts w:hint="eastAsia" w:ascii="Times New Roman" w:hAnsi="Times New Roman" w:eastAsia="黑体" w:cs="黑体"/>
          <w:b w:val="0"/>
          <w:bCs w:val="0"/>
          <w:color w:val="auto"/>
          <w:sz w:val="32"/>
          <w:szCs w:val="32"/>
          <w:highlight w:val="none"/>
        </w:rPr>
      </w:pPr>
      <w:r>
        <w:rPr>
          <w:rFonts w:hint="eastAsia" w:ascii="Times New Roman" w:hAnsi="Times New Roman" w:eastAsia="黑体" w:cs="黑体"/>
          <w:b w:val="0"/>
          <w:bCs w:val="0"/>
          <w:color w:val="auto"/>
          <w:sz w:val="32"/>
          <w:szCs w:val="32"/>
          <w:highlight w:val="none"/>
          <w:lang w:val="en-US" w:eastAsia="zh-CN"/>
        </w:rPr>
        <w:t xml:space="preserve">第一章 </w:t>
      </w:r>
      <w:r>
        <w:rPr>
          <w:rFonts w:hint="eastAsia" w:ascii="Times New Roman" w:hAnsi="Times New Roman" w:eastAsia="黑体" w:cs="黑体"/>
          <w:b w:val="0"/>
          <w:bCs w:val="0"/>
          <w:color w:val="auto"/>
          <w:sz w:val="32"/>
          <w:szCs w:val="32"/>
          <w:highlight w:val="none"/>
        </w:rPr>
        <w:t>总</w:t>
      </w:r>
      <w:r>
        <w:rPr>
          <w:rFonts w:hint="eastAsia" w:ascii="Times New Roman" w:hAnsi="Times New Roman" w:eastAsia="黑体" w:cs="黑体"/>
          <w:b w:val="0"/>
          <w:bCs w:val="0"/>
          <w:color w:val="auto"/>
          <w:sz w:val="32"/>
          <w:szCs w:val="32"/>
          <w:highlight w:val="none"/>
          <w:lang w:val="en-US" w:eastAsia="zh-CN"/>
        </w:rPr>
        <w:t xml:space="preserve"> </w:t>
      </w:r>
      <w:r>
        <w:rPr>
          <w:rFonts w:hint="eastAsia" w:ascii="Times New Roman" w:hAnsi="Times New Roman" w:eastAsia="黑体" w:cs="黑体"/>
          <w:b w:val="0"/>
          <w:bCs w:val="0"/>
          <w:color w:val="auto"/>
          <w:sz w:val="32"/>
          <w:szCs w:val="32"/>
          <w:highlight w:val="none"/>
        </w:rPr>
        <w:t>则</w:t>
      </w:r>
    </w:p>
    <w:p>
      <w:pPr>
        <w:pageBreakBefore w:val="0"/>
        <w:kinsoku/>
        <w:wordWrap/>
        <w:overflowPunct/>
        <w:topLinePunct w:val="0"/>
        <w:bidi w:val="0"/>
        <w:spacing w:line="560" w:lineRule="exact"/>
        <w:ind w:firstLine="640" w:firstLineChars="200"/>
        <w:jc w:val="both"/>
        <w:textAlignment w:val="auto"/>
        <w:rPr>
          <w:rFonts w:hint="eastAsia"/>
          <w:color w:val="auto"/>
          <w:sz w:val="28"/>
          <w:szCs w:val="28"/>
          <w:highlight w:val="none"/>
        </w:rPr>
      </w:pPr>
      <w:r>
        <w:rPr>
          <w:rFonts w:hint="eastAsia" w:ascii="Times New Roman" w:hAnsi="Times New Roman" w:eastAsia="黑体" w:cs="黑体"/>
          <w:bCs/>
          <w:color w:val="auto"/>
          <w:kern w:val="2"/>
          <w:sz w:val="32"/>
          <w:szCs w:val="32"/>
          <w:highlight w:val="none"/>
          <w:lang w:val="en-US" w:eastAsia="zh-CN" w:bidi="ar"/>
        </w:rPr>
        <w:t>第一条【制定依据】</w:t>
      </w:r>
      <w:r>
        <w:rPr>
          <w:rFonts w:hint="eastAsia" w:ascii="仿宋_GB2312" w:hAnsi="仿宋_GB2312" w:eastAsia="仿宋_GB2312" w:cs="仿宋_GB2312"/>
          <w:color w:val="auto"/>
          <w:sz w:val="32"/>
          <w:szCs w:val="32"/>
          <w:highlight w:val="none"/>
        </w:rPr>
        <w:t>为进一步</w:t>
      </w:r>
      <w:r>
        <w:rPr>
          <w:rFonts w:hint="eastAsia" w:ascii="仿宋_GB2312" w:hAnsi="仿宋_GB2312" w:eastAsia="仿宋_GB2312" w:cs="仿宋_GB2312"/>
          <w:color w:val="auto"/>
          <w:sz w:val="32"/>
          <w:szCs w:val="32"/>
          <w:highlight w:val="none"/>
          <w:lang w:val="en-US" w:eastAsia="zh-CN"/>
        </w:rPr>
        <w:t>规范</w:t>
      </w:r>
      <w:r>
        <w:rPr>
          <w:rFonts w:hint="eastAsia" w:ascii="仿宋_GB2312" w:hAnsi="仿宋_GB2312" w:eastAsia="仿宋_GB2312" w:cs="仿宋_GB2312"/>
          <w:color w:val="auto"/>
          <w:sz w:val="32"/>
          <w:szCs w:val="32"/>
          <w:highlight w:val="none"/>
        </w:rPr>
        <w:t>我市医疗救助</w:t>
      </w:r>
      <w:r>
        <w:rPr>
          <w:rFonts w:hint="eastAsia" w:ascii="仿宋_GB2312" w:hAnsi="仿宋_GB2312" w:eastAsia="仿宋_GB2312" w:cs="仿宋_GB2312"/>
          <w:color w:val="auto"/>
          <w:sz w:val="32"/>
          <w:szCs w:val="32"/>
          <w:highlight w:val="none"/>
          <w:lang w:val="en-US" w:eastAsia="zh-CN"/>
        </w:rPr>
        <w:t>经办管理</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持续提升一体化服务水平，切实保障医疗救助对象基本医疗保障待遇权益，</w:t>
      </w:r>
      <w:r>
        <w:rPr>
          <w:rFonts w:hint="eastAsia" w:ascii="仿宋_GB2312" w:hAnsi="仿宋_GB2312" w:eastAsia="仿宋_GB2312" w:cs="仿宋_GB2312"/>
          <w:color w:val="auto"/>
          <w:sz w:val="32"/>
          <w:szCs w:val="32"/>
          <w:highlight w:val="none"/>
        </w:rPr>
        <w:t>根据《广东省医疗救助</w:t>
      </w:r>
      <w:r>
        <w:rPr>
          <w:rFonts w:hint="eastAsia" w:ascii="仿宋_GB2312" w:hAnsi="仿宋_GB2312" w:eastAsia="仿宋_GB2312" w:cs="仿宋_GB2312"/>
          <w:color w:val="auto"/>
          <w:sz w:val="32"/>
          <w:szCs w:val="32"/>
          <w:highlight w:val="none"/>
          <w:lang w:val="en-US" w:eastAsia="zh-CN"/>
        </w:rPr>
        <w:t>经办规程（试行）</w:t>
      </w:r>
      <w:r>
        <w:rPr>
          <w:rFonts w:hint="eastAsia" w:ascii="仿宋_GB2312" w:hAnsi="仿宋_GB2312" w:eastAsia="仿宋_GB2312" w:cs="仿宋_GB2312"/>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（粤医保规〔202</w:t>
      </w:r>
      <w:r>
        <w:rPr>
          <w:rFonts w:hint="eastAsia"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lang w:val="en-US" w:eastAsia="zh-CN"/>
        </w:rPr>
        <w:t>号）</w:t>
      </w:r>
      <w:r>
        <w:rPr>
          <w:rFonts w:hint="eastAsia" w:ascii="Times New Roman" w:hAnsi="Times New Roman" w:eastAsia="仿宋_GB2312" w:cs="Times New Roman"/>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关于印发&lt;梅州市医疗救助实施细则&gt;的通知</w:t>
      </w:r>
      <w:r>
        <w:rPr>
          <w:rFonts w:hint="eastAsia" w:ascii="仿宋_GB2312" w:hAnsi="仿宋_GB2312" w:eastAsia="仿宋_GB2312" w:cs="仿宋_GB2312"/>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（梅市医保规〔2023〕2号）和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梅州市财政局 梅州市医疗保障局关于联合印发&lt;梅州市医疗救助基金管理实施细则&gt;的通知</w:t>
      </w:r>
      <w:r>
        <w:rPr>
          <w:rFonts w:hint="eastAsia" w:ascii="仿宋_GB2312" w:hAnsi="仿宋_GB2312" w:eastAsia="仿宋_GB2312" w:cs="仿宋_GB2312"/>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（梅市财社〔2024〕117号）</w:t>
      </w:r>
      <w:r>
        <w:rPr>
          <w:rFonts w:hint="eastAsia" w:ascii="仿宋_GB2312" w:hAnsi="仿宋_GB2312" w:eastAsia="仿宋_GB2312" w:cs="仿宋_GB2312"/>
          <w:color w:val="auto"/>
          <w:sz w:val="32"/>
          <w:szCs w:val="32"/>
          <w:highlight w:val="none"/>
        </w:rPr>
        <w:t>等</w:t>
      </w:r>
      <w:r>
        <w:rPr>
          <w:rFonts w:hint="eastAsia" w:ascii="仿宋_GB2312" w:hAnsi="仿宋_GB2312" w:eastAsia="仿宋_GB2312" w:cs="仿宋_GB2312"/>
          <w:color w:val="auto"/>
          <w:sz w:val="32"/>
          <w:szCs w:val="32"/>
          <w:highlight w:val="none"/>
          <w:lang w:val="en-US" w:eastAsia="zh-CN"/>
        </w:rPr>
        <w:t>有关规定</w:t>
      </w:r>
      <w:r>
        <w:rPr>
          <w:rFonts w:hint="eastAsia" w:ascii="仿宋_GB2312" w:hAnsi="仿宋_GB2312" w:eastAsia="仿宋_GB2312" w:cs="仿宋_GB2312"/>
          <w:color w:val="auto"/>
          <w:sz w:val="32"/>
          <w:szCs w:val="32"/>
          <w:highlight w:val="none"/>
        </w:rPr>
        <w:t>，结合我市实际，制定本规程。</w:t>
      </w:r>
    </w:p>
    <w:p>
      <w:pPr>
        <w:keepNext w:val="0"/>
        <w:keepLines w:val="0"/>
        <w:pageBreakBefore w:val="0"/>
        <w:widowControl w:val="0"/>
        <w:kinsoku/>
        <w:wordWrap/>
        <w:overflowPunct/>
        <w:topLinePunct w:val="0"/>
        <w:bidi w:val="0"/>
        <w:snapToGrid w:val="0"/>
        <w:spacing w:line="560" w:lineRule="exact"/>
        <w:ind w:firstLine="640" w:firstLineChars="200"/>
        <w:jc w:val="both"/>
        <w:textAlignment w:val="auto"/>
        <w:rPr>
          <w:rFonts w:hint="default" w:eastAsia="仿宋_GB2312"/>
          <w:color w:val="auto"/>
          <w:sz w:val="28"/>
          <w:szCs w:val="28"/>
          <w:highlight w:val="none"/>
          <w:lang w:val="en-US" w:eastAsia="zh-CN"/>
        </w:rPr>
      </w:pPr>
      <w:r>
        <w:rPr>
          <w:rFonts w:hint="eastAsia" w:ascii="Times New Roman" w:hAnsi="Times New Roman" w:eastAsia="黑体" w:cs="黑体"/>
          <w:bCs/>
          <w:color w:val="auto"/>
          <w:kern w:val="2"/>
          <w:sz w:val="32"/>
          <w:szCs w:val="32"/>
          <w:highlight w:val="none"/>
          <w:lang w:val="en-US" w:eastAsia="zh-CN" w:bidi="ar"/>
        </w:rPr>
        <w:t>第二条【适用范围】</w:t>
      </w:r>
      <w:r>
        <w:rPr>
          <w:rFonts w:hint="eastAsia" w:ascii="仿宋_GB2312" w:hAnsi="仿宋_GB2312" w:eastAsia="仿宋_GB2312" w:cs="仿宋_GB2312"/>
          <w:color w:val="auto"/>
          <w:sz w:val="32"/>
          <w:szCs w:val="32"/>
          <w:highlight w:val="none"/>
        </w:rPr>
        <w:t>全市各级</w:t>
      </w:r>
      <w:r>
        <w:rPr>
          <w:rFonts w:hint="eastAsia" w:ascii="仿宋_GB2312" w:hAnsi="仿宋_GB2312" w:eastAsia="仿宋_GB2312" w:cs="仿宋_GB2312"/>
          <w:color w:val="auto"/>
          <w:sz w:val="32"/>
          <w:szCs w:val="32"/>
          <w:highlight w:val="none"/>
          <w:lang w:val="en-US" w:eastAsia="zh-CN"/>
        </w:rPr>
        <w:t>医保中心</w:t>
      </w:r>
      <w:r>
        <w:rPr>
          <w:rFonts w:hint="eastAsia" w:ascii="仿宋_GB2312" w:hAnsi="仿宋_GB2312" w:eastAsia="仿宋_GB2312" w:cs="仿宋_GB2312"/>
          <w:color w:val="auto"/>
          <w:sz w:val="32"/>
          <w:szCs w:val="32"/>
          <w:highlight w:val="none"/>
        </w:rPr>
        <w:t>办理医疗救助业务适用本规程。</w:t>
      </w:r>
    </w:p>
    <w:p>
      <w:pPr>
        <w:pageBreakBefore w:val="0"/>
        <w:kinsoku/>
        <w:wordWrap/>
        <w:overflowPunct/>
        <w:topLinePunct w:val="0"/>
        <w:bidi w:val="0"/>
        <w:spacing w:line="560" w:lineRule="exact"/>
        <w:ind w:firstLine="640" w:firstLineChars="200"/>
        <w:jc w:val="both"/>
        <w:textAlignment w:val="auto"/>
        <w:rPr>
          <w:rFonts w:hint="default" w:ascii="Times New Roman" w:hAnsi="Times New Roman" w:eastAsia="仿宋_GB2312" w:cs="仿宋_GB2312"/>
          <w:b w:val="0"/>
          <w:bCs w:val="0"/>
          <w:color w:val="auto"/>
          <w:kern w:val="0"/>
          <w:sz w:val="32"/>
          <w:szCs w:val="32"/>
          <w:highlight w:val="none"/>
          <w:lang w:val="en-US" w:eastAsia="zh-CN" w:bidi="ar"/>
        </w:rPr>
      </w:pPr>
      <w:r>
        <w:rPr>
          <w:rFonts w:hint="eastAsia" w:ascii="Times New Roman" w:hAnsi="Times New Roman" w:eastAsia="黑体" w:cs="黑体"/>
          <w:bCs/>
          <w:color w:val="auto"/>
          <w:kern w:val="2"/>
          <w:sz w:val="32"/>
          <w:szCs w:val="32"/>
          <w:highlight w:val="none"/>
          <w:lang w:val="en-US" w:eastAsia="zh-CN" w:bidi="ar"/>
        </w:rPr>
        <w:t>第三条【职责分工】</w:t>
      </w:r>
      <w:r>
        <w:rPr>
          <w:rFonts w:hint="eastAsia" w:ascii="仿宋_GB2312" w:hAnsi="仿宋_GB2312" w:eastAsia="仿宋_GB2312" w:cs="仿宋_GB2312"/>
          <w:color w:val="auto"/>
          <w:sz w:val="32"/>
          <w:szCs w:val="32"/>
          <w:highlight w:val="none"/>
          <w:lang w:val="en-US" w:eastAsia="zh-CN"/>
        </w:rPr>
        <w:t>市医疗保障部门</w:t>
      </w:r>
      <w:r>
        <w:rPr>
          <w:rFonts w:hint="eastAsia" w:ascii="Times New Roman" w:hAnsi="Times New Roman" w:eastAsia="仿宋_GB2312" w:cs="仿宋_GB2312"/>
          <w:b w:val="0"/>
          <w:bCs w:val="0"/>
          <w:color w:val="auto"/>
          <w:kern w:val="0"/>
          <w:sz w:val="32"/>
          <w:szCs w:val="32"/>
          <w:highlight w:val="none"/>
          <w:lang w:eastAsia="zh-CN" w:bidi="ar"/>
        </w:rPr>
        <w:t>负责制</w:t>
      </w:r>
      <w:r>
        <w:rPr>
          <w:rFonts w:hint="eastAsia" w:ascii="Times New Roman" w:hAnsi="Times New Roman" w:eastAsia="仿宋_GB2312" w:cs="仿宋_GB2312"/>
          <w:b w:val="0"/>
          <w:bCs w:val="0"/>
          <w:color w:val="auto"/>
          <w:kern w:val="0"/>
          <w:sz w:val="32"/>
          <w:szCs w:val="32"/>
          <w:highlight w:val="none"/>
          <w:lang w:val="en-US" w:eastAsia="zh-CN" w:bidi="ar"/>
        </w:rPr>
        <w:t>定</w:t>
      </w:r>
      <w:r>
        <w:rPr>
          <w:rFonts w:hint="eastAsia" w:ascii="Times New Roman" w:hAnsi="Times New Roman" w:eastAsia="仿宋_GB2312" w:cs="仿宋_GB2312"/>
          <w:b w:val="0"/>
          <w:bCs w:val="0"/>
          <w:color w:val="auto"/>
          <w:kern w:val="0"/>
          <w:sz w:val="32"/>
          <w:szCs w:val="32"/>
          <w:highlight w:val="none"/>
          <w:lang w:eastAsia="zh-CN" w:bidi="ar"/>
        </w:rPr>
        <w:t>医疗救助经办规程</w:t>
      </w:r>
      <w:r>
        <w:rPr>
          <w:rFonts w:hint="eastAsia" w:ascii="仿宋_GB2312" w:hAnsi="仿宋_GB2312" w:eastAsia="仿宋_GB2312" w:cs="仿宋_GB2312"/>
          <w:color w:val="auto"/>
          <w:sz w:val="32"/>
          <w:szCs w:val="32"/>
          <w:highlight w:val="none"/>
          <w:lang w:val="en-US" w:eastAsia="zh-CN"/>
        </w:rPr>
        <w:t>，负责指导各县（市、区）医保中心开展医疗救助经办工作。市医保中心负责做好国家医疗保障信息平台经办应用功能完善优化等工作。各县（市、区）医保中心负责医疗救助具体经办工作，按照“谁办理、谁负责”原则，对在国家医疗</w:t>
      </w:r>
      <w:r>
        <w:rPr>
          <w:rFonts w:hint="eastAsia" w:ascii="Times New Roman" w:hAnsi="Times New Roman" w:eastAsia="仿宋_GB2312" w:cs="仿宋_GB2312"/>
          <w:b w:val="0"/>
          <w:bCs w:val="0"/>
          <w:color w:val="auto"/>
          <w:kern w:val="0"/>
          <w:sz w:val="32"/>
          <w:szCs w:val="32"/>
          <w:highlight w:val="none"/>
          <w:lang w:val="en-US" w:eastAsia="zh-CN" w:bidi="ar"/>
        </w:rPr>
        <w:t>保障信息系统（以下简称“国家医保信息平台”）办理业务的合法性、真实性、准确性、完整性负责。承保商业保险机构负责做好医疗救助对象资助参保资金的拨付、参保动态监测等工作。</w:t>
      </w:r>
    </w:p>
    <w:p>
      <w:pPr>
        <w:keepNext w:val="0"/>
        <w:keepLines w:val="0"/>
        <w:pageBreakBefore w:val="0"/>
        <w:widowControl/>
        <w:suppressLineNumbers w:val="0"/>
        <w:kinsoku/>
        <w:wordWrap/>
        <w:overflowPunct/>
        <w:topLinePunct w:val="0"/>
        <w:bidi w:val="0"/>
        <w:spacing w:afterAutospacing="0" w:line="560" w:lineRule="exact"/>
        <w:ind w:firstLine="640" w:firstLineChars="200"/>
        <w:jc w:val="both"/>
        <w:textAlignment w:val="auto"/>
        <w:rPr>
          <w:rFonts w:hint="eastAsia" w:ascii="Times New Roman" w:hAnsi="Times New Roman" w:eastAsia="仿宋_GB2312" w:cs="仿宋_GB2312"/>
          <w:color w:val="auto"/>
          <w:kern w:val="21"/>
          <w:sz w:val="32"/>
          <w:szCs w:val="32"/>
          <w:highlight w:val="none"/>
          <w:lang w:val="en-US" w:eastAsia="zh-CN"/>
        </w:rPr>
      </w:pPr>
      <w:r>
        <w:rPr>
          <w:rFonts w:hint="eastAsia" w:ascii="Times New Roman" w:hAnsi="Times New Roman" w:eastAsia="黑体" w:cs="黑体"/>
          <w:bCs/>
          <w:color w:val="auto"/>
          <w:kern w:val="2"/>
          <w:sz w:val="32"/>
          <w:szCs w:val="32"/>
          <w:highlight w:val="none"/>
          <w:lang w:val="en-US" w:eastAsia="zh-CN" w:bidi="ar"/>
        </w:rPr>
        <w:t>第四条【</w:t>
      </w:r>
      <w:r>
        <w:rPr>
          <w:rFonts w:hint="eastAsia" w:ascii="黑体" w:hAnsi="黑体" w:eastAsia="黑体" w:cs="黑体"/>
          <w:b w:val="0"/>
          <w:bCs w:val="0"/>
          <w:color w:val="auto"/>
          <w:sz w:val="32"/>
          <w:szCs w:val="32"/>
          <w:highlight w:val="none"/>
          <w:lang w:val="en-US" w:eastAsia="zh-CN"/>
        </w:rPr>
        <w:t>信息共享</w:t>
      </w:r>
      <w:r>
        <w:rPr>
          <w:rFonts w:hint="eastAsia" w:ascii="Times New Roman" w:hAnsi="Times New Roman" w:eastAsia="黑体" w:cs="黑体"/>
          <w:bCs/>
          <w:color w:val="auto"/>
          <w:kern w:val="2"/>
          <w:sz w:val="32"/>
          <w:szCs w:val="32"/>
          <w:highlight w:val="none"/>
          <w:lang w:val="en-US" w:eastAsia="zh-CN" w:bidi="ar"/>
        </w:rPr>
        <w:t>】</w:t>
      </w:r>
      <w:r>
        <w:rPr>
          <w:rFonts w:hint="eastAsia" w:ascii="Times New Roman" w:hAnsi="Times New Roman" w:eastAsia="仿宋_GB2312" w:cs="仿宋_GB2312"/>
          <w:b w:val="0"/>
          <w:bCs w:val="0"/>
          <w:color w:val="auto"/>
          <w:kern w:val="0"/>
          <w:sz w:val="32"/>
          <w:szCs w:val="32"/>
          <w:highlight w:val="none"/>
          <w:lang w:eastAsia="zh-CN" w:bidi="ar"/>
        </w:rPr>
        <w:t>本规程涉及需要</w:t>
      </w:r>
      <w:r>
        <w:rPr>
          <w:rFonts w:hint="default" w:ascii="Times New Roman" w:hAnsi="Times New Roman" w:eastAsia="仿宋_GB2312" w:cs="仿宋_GB2312"/>
          <w:b w:val="0"/>
          <w:bCs w:val="0"/>
          <w:color w:val="auto"/>
          <w:kern w:val="0"/>
          <w:sz w:val="32"/>
          <w:szCs w:val="32"/>
          <w:highlight w:val="none"/>
          <w:lang w:val="en-US" w:eastAsia="zh-CN" w:bidi="ar"/>
        </w:rPr>
        <w:t>医疗救助对象</w:t>
      </w:r>
      <w:r>
        <w:rPr>
          <w:rFonts w:hint="eastAsia" w:ascii="Times New Roman" w:hAnsi="Times New Roman" w:eastAsia="仿宋_GB2312" w:cs="仿宋_GB2312"/>
          <w:b w:val="0"/>
          <w:bCs w:val="0"/>
          <w:color w:val="auto"/>
          <w:kern w:val="0"/>
          <w:sz w:val="32"/>
          <w:szCs w:val="32"/>
          <w:highlight w:val="none"/>
          <w:lang w:eastAsia="zh-CN" w:bidi="ar"/>
        </w:rPr>
        <w:t>提供的证照材料，可通过政府部门内部核查和部门间信息共享等方式</w:t>
      </w:r>
      <w:r>
        <w:rPr>
          <w:rFonts w:hint="eastAsia" w:ascii="Times New Roman" w:hAnsi="Times New Roman" w:eastAsia="仿宋_GB2312" w:cs="仿宋_GB2312"/>
          <w:b w:val="0"/>
          <w:bCs w:val="0"/>
          <w:color w:val="auto"/>
          <w:kern w:val="0"/>
          <w:sz w:val="32"/>
          <w:szCs w:val="32"/>
          <w:highlight w:val="none"/>
          <w:lang w:val="en-US" w:eastAsia="zh-CN" w:bidi="ar"/>
        </w:rPr>
        <w:t>获取</w:t>
      </w:r>
      <w:r>
        <w:rPr>
          <w:rFonts w:hint="eastAsia" w:ascii="Times New Roman" w:hAnsi="Times New Roman" w:eastAsia="仿宋_GB2312" w:cs="仿宋_GB2312"/>
          <w:b w:val="0"/>
          <w:bCs w:val="0"/>
          <w:color w:val="auto"/>
          <w:kern w:val="0"/>
          <w:sz w:val="32"/>
          <w:szCs w:val="32"/>
          <w:highlight w:val="none"/>
          <w:lang w:eastAsia="zh-CN" w:bidi="ar"/>
        </w:rPr>
        <w:t>的，不再要求</w:t>
      </w:r>
      <w:r>
        <w:rPr>
          <w:rFonts w:hint="eastAsia" w:ascii="Times New Roman" w:hAnsi="Times New Roman" w:eastAsia="仿宋_GB2312" w:cs="仿宋_GB2312"/>
          <w:b w:val="0"/>
          <w:bCs w:val="0"/>
          <w:color w:val="auto"/>
          <w:kern w:val="0"/>
          <w:sz w:val="32"/>
          <w:szCs w:val="32"/>
          <w:highlight w:val="none"/>
          <w:lang w:val="en-US" w:eastAsia="zh-CN" w:bidi="ar"/>
        </w:rPr>
        <w:t>医疗救助对象提供</w:t>
      </w:r>
      <w:r>
        <w:rPr>
          <w:rFonts w:hint="eastAsia" w:ascii="Times New Roman" w:hAnsi="Times New Roman" w:eastAsia="仿宋_GB2312" w:cs="仿宋_GB2312"/>
          <w:b w:val="0"/>
          <w:bCs w:val="0"/>
          <w:color w:val="auto"/>
          <w:kern w:val="0"/>
          <w:sz w:val="32"/>
          <w:szCs w:val="32"/>
          <w:highlight w:val="none"/>
          <w:lang w:eastAsia="zh-CN" w:bidi="ar"/>
        </w:rPr>
        <w:t>。</w:t>
      </w:r>
    </w:p>
    <w:p>
      <w:pPr>
        <w:keepNext w:val="0"/>
        <w:keepLines w:val="0"/>
        <w:pageBreakBefore w:val="0"/>
        <w:widowControl/>
        <w:suppressLineNumbers w:val="0"/>
        <w:kinsoku/>
        <w:wordWrap/>
        <w:overflowPunct/>
        <w:topLinePunct w:val="0"/>
        <w:bidi w:val="0"/>
        <w:spacing w:afterAutospacing="0"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Times New Roman" w:hAnsi="Times New Roman" w:eastAsia="黑体" w:cs="黑体"/>
          <w:bCs/>
          <w:color w:val="auto"/>
          <w:kern w:val="2"/>
          <w:sz w:val="32"/>
          <w:szCs w:val="32"/>
          <w:highlight w:val="none"/>
          <w:lang w:val="en-US" w:eastAsia="zh-CN" w:bidi="ar"/>
        </w:rPr>
        <w:t>第五条【签约承保</w:t>
      </w:r>
      <w:bookmarkStart w:id="0" w:name="OLE_LINK1"/>
      <w:r>
        <w:rPr>
          <w:rFonts w:hint="eastAsia" w:ascii="Times New Roman" w:hAnsi="Times New Roman" w:eastAsia="黑体" w:cs="黑体"/>
          <w:bCs/>
          <w:color w:val="auto"/>
          <w:kern w:val="2"/>
          <w:sz w:val="32"/>
          <w:szCs w:val="32"/>
          <w:highlight w:val="none"/>
          <w:lang w:val="en-US" w:eastAsia="zh-CN" w:bidi="ar"/>
        </w:rPr>
        <w:t>】</w:t>
      </w:r>
      <w:r>
        <w:rPr>
          <w:rFonts w:hint="eastAsia" w:ascii="仿宋_GB2312" w:hAnsi="仿宋_GB2312" w:eastAsia="仿宋_GB2312" w:cs="仿宋_GB2312"/>
          <w:color w:val="auto"/>
          <w:sz w:val="32"/>
          <w:szCs w:val="32"/>
          <w:highlight w:val="none"/>
          <w:lang w:val="en-US" w:eastAsia="zh-CN"/>
        </w:rPr>
        <w:t>市医疗保障部门根据医疗救助服务需求，按照法定的招标程序选定全市统一的承保商业保险机构。市级医疗保障部门与商业保险机构签订承保协议书。</w:t>
      </w:r>
      <w:bookmarkEnd w:id="0"/>
    </w:p>
    <w:p>
      <w:pPr>
        <w:keepNext w:val="0"/>
        <w:keepLines w:val="0"/>
        <w:pageBreakBefore w:val="0"/>
        <w:widowControl/>
        <w:suppressLineNumbers w:val="0"/>
        <w:kinsoku/>
        <w:wordWrap/>
        <w:overflowPunct/>
        <w:topLinePunct w:val="0"/>
        <w:bidi w:val="0"/>
        <w:spacing w:afterAutospacing="0" w:line="56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rPr>
      </w:pPr>
    </w:p>
    <w:p>
      <w:pPr>
        <w:pStyle w:val="2"/>
        <w:pageBreakBefore w:val="0"/>
        <w:kinsoku/>
        <w:wordWrap/>
        <w:overflowPunct/>
        <w:topLinePunct w:val="0"/>
        <w:bidi w:val="0"/>
        <w:spacing w:before="0" w:after="0" w:afterAutospacing="0" w:line="560" w:lineRule="exact"/>
        <w:jc w:val="center"/>
        <w:textAlignment w:val="auto"/>
        <w:rPr>
          <w:rFonts w:hint="eastAsia"/>
          <w:color w:val="auto"/>
          <w:highlight w:val="none"/>
        </w:rPr>
      </w:pPr>
      <w:r>
        <w:rPr>
          <w:rFonts w:hint="eastAsia" w:ascii="Times New Roman" w:hAnsi="Times New Roman" w:eastAsia="黑体" w:cs="黑体"/>
          <w:b w:val="0"/>
          <w:bCs w:val="0"/>
          <w:color w:val="auto"/>
          <w:sz w:val="32"/>
          <w:szCs w:val="32"/>
          <w:highlight w:val="none"/>
          <w:lang w:val="en-US" w:eastAsia="zh-CN"/>
        </w:rPr>
        <w:t>第二章 医疗救助对象参保管理</w:t>
      </w:r>
    </w:p>
    <w:p>
      <w:pPr>
        <w:pStyle w:val="1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Times New Roman" w:hAnsi="Times New Roman" w:eastAsia="黑体" w:cs="黑体"/>
          <w:bCs/>
          <w:color w:val="auto"/>
          <w:kern w:val="2"/>
          <w:sz w:val="32"/>
          <w:szCs w:val="32"/>
          <w:highlight w:val="none"/>
          <w:lang w:val="en-US" w:eastAsia="zh-CN" w:bidi="ar"/>
        </w:rPr>
        <w:t>第六条</w:t>
      </w:r>
      <w:r>
        <w:rPr>
          <w:rFonts w:hint="eastAsia" w:ascii="黑体" w:hAnsi="黑体" w:eastAsia="黑体" w:cs="黑体"/>
          <w:bCs/>
          <w:color w:val="auto"/>
          <w:kern w:val="2"/>
          <w:sz w:val="32"/>
          <w:szCs w:val="32"/>
          <w:highlight w:val="none"/>
          <w:lang w:val="en-US" w:eastAsia="zh-CN" w:bidi="ar"/>
        </w:rPr>
        <w:t>【参保登记】</w:t>
      </w:r>
      <w:r>
        <w:rPr>
          <w:rFonts w:hint="eastAsia" w:ascii="仿宋_GB2312" w:hAnsi="仿宋_GB2312" w:eastAsia="仿宋_GB2312" w:cs="仿宋_GB2312"/>
          <w:color w:val="auto"/>
          <w:sz w:val="32"/>
          <w:szCs w:val="32"/>
          <w:highlight w:val="none"/>
          <w:lang w:val="en-US" w:eastAsia="zh-CN"/>
        </w:rPr>
        <w:t>各县（市、区）医保中心收到民政部门推送的特困人员、孤儿、事实无人抚养儿童、最低生活保障对象、最低生活保障边缘家庭成员和农业农村部门推送的纳入监测范围的农村易返贫致贫人口等符合资助参保医疗救助对象范围的人员信息后，应当在2个工作日内做好参加城乡居民基本医疗保险（以下简称“居民医保”）登记工作。</w:t>
      </w:r>
    </w:p>
    <w:p>
      <w:pPr>
        <w:pStyle w:val="10"/>
        <w:pageBreakBefore w:val="0"/>
        <w:kinsoku/>
        <w:wordWrap/>
        <w:overflowPunct/>
        <w:topLinePunct w:val="0"/>
        <w:bidi w:val="0"/>
        <w:spacing w:line="560" w:lineRule="exact"/>
        <w:ind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各县（市、区）医保中心为符合资助参保医疗救助对象登记参保前，应当及时获取医疗救助对象的待遇享受开始时间，并按照下列情形办理参保登记手续和身份标识工作。</w:t>
      </w:r>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bidi="ar-SA"/>
        </w:rPr>
        <w:t>（一）未参加基本医疗保险的，应及时为其办理当年度的参保登记。</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2"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bidi="ar-SA"/>
        </w:rPr>
        <w:t>（二）已参加本市以外居民医保的，</w:t>
      </w:r>
      <w:r>
        <w:rPr>
          <w:rFonts w:hint="eastAsia" w:ascii="仿宋_GB2312" w:hAnsi="仿宋_GB2312" w:eastAsia="仿宋_GB2312" w:cs="仿宋_GB2312"/>
          <w:color w:val="auto"/>
          <w:sz w:val="32"/>
          <w:szCs w:val="32"/>
          <w:highlight w:val="none"/>
          <w:lang w:val="en-US" w:eastAsia="zh-CN"/>
        </w:rPr>
        <w:t>各县（市、区）医保中心在征得本人同意后，按规定资助其参加下一年度的居民医保</w:t>
      </w:r>
      <w:r>
        <w:rPr>
          <w:rFonts w:hint="eastAsia" w:ascii="仿宋_GB2312" w:hAnsi="仿宋_GB2312" w:eastAsia="仿宋_GB2312" w:cs="仿宋_GB2312"/>
          <w:color w:val="auto"/>
          <w:sz w:val="32"/>
          <w:szCs w:val="32"/>
          <w:highlight w:val="none"/>
          <w:lang w:val="en-US" w:eastAsia="zh-CN" w:bidi="ar-SA"/>
        </w:rPr>
        <w:t>。</w:t>
      </w:r>
    </w:p>
    <w:p>
      <w:pPr>
        <w:pageBreakBefore w:val="0"/>
        <w:kinsoku/>
        <w:wordWrap/>
        <w:overflowPunct/>
        <w:topLinePunct w:val="0"/>
        <w:bidi w:val="0"/>
        <w:spacing w:line="560" w:lineRule="exact"/>
        <w:ind w:firstLine="640" w:firstLineChars="200"/>
        <w:jc w:val="both"/>
        <w:textAlignment w:val="auto"/>
        <w:rPr>
          <w:rFonts w:hint="default"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（三）新增的医疗救助对象在相关部门认定其医疗救助资格前已经自行参加当年度居民医保的，按规定资助其参加下一年度的居民医保。</w:t>
      </w:r>
    </w:p>
    <w:p>
      <w:pPr>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四）已参加职工基本医疗保险的，不予资助参加本市居民医保。后续救助身份存续期间，如出现暂停职工医保关系的，各县（市、区）医保中心在征得本人同意后，按规定为其办理居民医保资助参保手续，并确保医疗保障待遇无空档期。</w:t>
      </w:r>
    </w:p>
    <w:p>
      <w:pPr>
        <w:pageBreakBefore w:val="0"/>
        <w:kinsoku/>
        <w:wordWrap/>
        <w:overflowPunct/>
        <w:topLinePunct w:val="0"/>
        <w:autoSpaceDE w:val="0"/>
        <w:autoSpaceDN w:val="0"/>
        <w:bidi w:val="0"/>
        <w:adjustRightInd w:val="0"/>
        <w:spacing w:line="560" w:lineRule="exact"/>
        <w:ind w:firstLine="640"/>
        <w:textAlignment w:val="auto"/>
        <w:rPr>
          <w:rFonts w:hint="eastAsia" w:ascii="仿宋_GB2312" w:hAnsi="仿宋_GB2312" w:eastAsia="仿宋_GB2312" w:cs="仿宋_GB2312"/>
          <w:color w:val="auto"/>
          <w:sz w:val="32"/>
          <w:szCs w:val="32"/>
          <w:highlight w:val="none"/>
          <w:lang w:val="en-US" w:eastAsia="zh-CN" w:bidi="ar-SA"/>
        </w:rPr>
      </w:pPr>
      <w:r>
        <w:rPr>
          <w:rFonts w:hint="eastAsia" w:ascii="黑体" w:hAnsi="黑体" w:eastAsia="黑体" w:cs="黑体"/>
          <w:bCs/>
          <w:color w:val="auto"/>
          <w:kern w:val="2"/>
          <w:sz w:val="32"/>
          <w:szCs w:val="32"/>
          <w:highlight w:val="none"/>
          <w:lang w:val="en-US" w:eastAsia="zh-CN" w:bidi="ar"/>
        </w:rPr>
        <w:t>第七条【资助参保流程】</w:t>
      </w:r>
      <w:r>
        <w:rPr>
          <w:rFonts w:hint="eastAsia" w:ascii="仿宋_GB2312" w:hAnsi="仿宋_GB2312" w:eastAsia="仿宋_GB2312" w:cs="仿宋_GB2312"/>
          <w:bCs/>
          <w:color w:val="auto"/>
          <w:kern w:val="2"/>
          <w:sz w:val="32"/>
          <w:szCs w:val="32"/>
          <w:highlight w:val="none"/>
          <w:lang w:val="en-US" w:eastAsia="zh-CN" w:bidi="ar"/>
        </w:rPr>
        <w:t>符合第六条规定的医疗救助对象实行“先登记参保、后补助缴费”。各县（市、</w:t>
      </w:r>
      <w:r>
        <w:rPr>
          <w:rFonts w:hint="eastAsia" w:ascii="仿宋_GB2312" w:hAnsi="仿宋_GB2312" w:eastAsia="仿宋_GB2312" w:cs="仿宋_GB2312"/>
          <w:color w:val="auto"/>
          <w:sz w:val="32"/>
          <w:szCs w:val="32"/>
          <w:highlight w:val="none"/>
          <w:lang w:val="en-US" w:eastAsia="zh-CN" w:bidi="ar-SA"/>
        </w:rPr>
        <w:t>区）医保中心办理参保登记后，应即时通过国家医保信息平台，为符合本市资助参保的医疗救助对象生成“免缴台账”，并按规定申请拨款、办理缴费到账确认手续。</w:t>
      </w:r>
    </w:p>
    <w:p>
      <w:pPr>
        <w:pageBreakBefore w:val="0"/>
        <w:kinsoku/>
        <w:wordWrap/>
        <w:overflowPunct/>
        <w:topLinePunct w:val="0"/>
        <w:autoSpaceDE w:val="0"/>
        <w:autoSpaceDN w:val="0"/>
        <w:bidi w:val="0"/>
        <w:adjustRightInd w:val="0"/>
        <w:spacing w:line="560" w:lineRule="exact"/>
        <w:ind w:firstLine="640"/>
        <w:textAlignment w:val="auto"/>
        <w:rPr>
          <w:rFonts w:hint="eastAsia" w:ascii="仿宋_GB2312" w:hAnsi="仿宋_GB2312" w:eastAsia="仿宋_GB2312" w:cs="仿宋_GB2312"/>
          <w:color w:val="auto"/>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bidi="ar-SA"/>
        </w:rPr>
        <w:t>（一）各县（市、区）医保中心于每年居民医保集中缴费期工作启动前主动对接同级民政、农业农村等部门，按职责分工收集汇总属于全额资助参保人员名单，按身份类别进行分类造册，并按规定将资助参保人员名单报送给市医保中心，由市医保中心收集汇总全市资助参保名单后移交给承保商业保险机构做好资助参保资金拨付工作。</w:t>
      </w:r>
    </w:p>
    <w:p>
      <w:pPr>
        <w:pageBreakBefore w:val="0"/>
        <w:kinsoku/>
        <w:wordWrap/>
        <w:overflowPunct/>
        <w:topLinePunct w:val="0"/>
        <w:autoSpaceDE w:val="0"/>
        <w:autoSpaceDN w:val="0"/>
        <w:bidi w:val="0"/>
        <w:adjustRightInd w:val="0"/>
        <w:spacing w:line="560" w:lineRule="exact"/>
        <w:ind w:firstLine="640"/>
        <w:textAlignment w:val="auto"/>
        <w:rPr>
          <w:rFonts w:hint="eastAsia" w:ascii="仿宋_GB2312" w:hAnsi="仿宋_GB2312" w:eastAsia="仿宋_GB2312" w:cs="仿宋_GB2312"/>
          <w:color w:val="auto"/>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bidi="ar-SA"/>
        </w:rPr>
        <w:t>（二）各县（市、区）医保中心在居民医保集中缴费期结束后，应及时监测中途新增的医疗救助对象，符合资助参保条件的人员，应在相关部门认定其开始享受困难群众待遇的当月完成资助参保登记和身份标识。并于每月25日前将当月新增的中途参保人员名单报送给市医保中心，由市医保中心收集汇总名单后移交给承保商业保险机构做好资助参保资金拨付工作。</w:t>
      </w:r>
    </w:p>
    <w:p>
      <w:pPr>
        <w:pageBreakBefore w:val="0"/>
        <w:kinsoku/>
        <w:wordWrap/>
        <w:overflowPunct/>
        <w:topLinePunct w:val="0"/>
        <w:autoSpaceDE w:val="0"/>
        <w:autoSpaceDN w:val="0"/>
        <w:bidi w:val="0"/>
        <w:adjustRightInd w:val="0"/>
        <w:spacing w:line="560" w:lineRule="exact"/>
        <w:ind w:firstLine="640"/>
        <w:textAlignment w:val="auto"/>
        <w:rPr>
          <w:rFonts w:hint="eastAsia" w:ascii="仿宋_GB2312" w:hAnsi="仿宋_GB2312" w:eastAsia="仿宋_GB2312" w:cs="仿宋_GB2312"/>
          <w:color w:val="auto"/>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bidi="ar-SA"/>
        </w:rPr>
        <w:t>（三）医疗救助对象纳入医疗救助保障期后，因各种原因自行缴交本市当年或下一年度居民医保的，无需参保人员申请，各县（市、区）医保中心应主动通知参保人员前来办理退费手续，并按照资助参保流程在医保信息系统中完成免缴台账数据的核定，并同时报送给市医保中心，由市医保中心收集汇总名单后移交给承办商业保险机构做好资助参保资金拨付工作。</w:t>
      </w:r>
    </w:p>
    <w:p>
      <w:pPr>
        <w:pageBreakBefore w:val="0"/>
        <w:kinsoku/>
        <w:wordWrap/>
        <w:overflowPunct/>
        <w:topLinePunct w:val="0"/>
        <w:bidi w:val="0"/>
        <w:spacing w:afterAutospacing="0" w:line="560" w:lineRule="exact"/>
        <w:ind w:firstLine="640" w:firstLineChars="200"/>
        <w:jc w:val="both"/>
        <w:textAlignment w:val="auto"/>
        <w:rPr>
          <w:rFonts w:ascii="Arial"/>
          <w:color w:val="auto"/>
          <w:sz w:val="32"/>
          <w:szCs w:val="32"/>
          <w:highlight w:val="none"/>
        </w:rPr>
      </w:pPr>
      <w:r>
        <w:rPr>
          <w:rFonts w:hint="eastAsia" w:ascii="Times New Roman" w:hAnsi="Times New Roman" w:eastAsia="黑体" w:cs="仿宋_GB2312"/>
          <w:bCs/>
          <w:color w:val="auto"/>
          <w:kern w:val="21"/>
          <w:sz w:val="32"/>
          <w:szCs w:val="32"/>
          <w:highlight w:val="none"/>
        </w:rPr>
        <w:t>第</w:t>
      </w:r>
      <w:r>
        <w:rPr>
          <w:rFonts w:hint="eastAsia" w:ascii="Times New Roman" w:hAnsi="Times New Roman" w:eastAsia="黑体" w:cs="仿宋_GB2312"/>
          <w:bCs/>
          <w:color w:val="auto"/>
          <w:kern w:val="21"/>
          <w:sz w:val="32"/>
          <w:szCs w:val="32"/>
          <w:highlight w:val="none"/>
          <w:lang w:val="en-US" w:eastAsia="zh-CN"/>
        </w:rPr>
        <w:t>八</w:t>
      </w:r>
      <w:r>
        <w:rPr>
          <w:rFonts w:hint="eastAsia" w:ascii="Times New Roman" w:hAnsi="Times New Roman" w:eastAsia="黑体" w:cs="仿宋_GB2312"/>
          <w:bCs/>
          <w:color w:val="auto"/>
          <w:kern w:val="21"/>
          <w:sz w:val="32"/>
          <w:szCs w:val="32"/>
          <w:highlight w:val="none"/>
        </w:rPr>
        <w:t>条</w:t>
      </w:r>
      <w:r>
        <w:rPr>
          <w:rFonts w:hint="eastAsia" w:ascii="Times New Roman" w:hAnsi="Times New Roman" w:eastAsia="黑体" w:cs="黑体"/>
          <w:b w:val="0"/>
          <w:bCs/>
          <w:color w:val="auto"/>
          <w:sz w:val="32"/>
          <w:szCs w:val="32"/>
          <w:highlight w:val="none"/>
        </w:rPr>
        <w:t>【</w:t>
      </w:r>
      <w:r>
        <w:rPr>
          <w:rFonts w:hint="eastAsia" w:ascii="Times New Roman" w:hAnsi="Times New Roman" w:eastAsia="黑体" w:cs="黑体"/>
          <w:b w:val="0"/>
          <w:bCs/>
          <w:color w:val="auto"/>
          <w:sz w:val="32"/>
          <w:szCs w:val="32"/>
          <w:highlight w:val="none"/>
          <w:lang w:val="en-US" w:eastAsia="zh-CN"/>
        </w:rPr>
        <w:t>主动服务</w:t>
      </w:r>
      <w:r>
        <w:rPr>
          <w:rFonts w:hint="eastAsia" w:ascii="Times New Roman" w:hAnsi="Times New Roman" w:eastAsia="黑体" w:cs="黑体"/>
          <w:b w:val="0"/>
          <w:bCs/>
          <w:color w:val="auto"/>
          <w:sz w:val="32"/>
          <w:szCs w:val="32"/>
          <w:highlight w:val="none"/>
          <w:lang w:eastAsia="zh-CN"/>
        </w:rPr>
        <w:t>】</w:t>
      </w:r>
      <w:r>
        <w:rPr>
          <w:rFonts w:hint="eastAsia" w:ascii="Times New Roman" w:hAnsi="Times New Roman" w:eastAsia="仿宋_GB2312" w:cs="仿宋_GB2312"/>
          <w:color w:val="auto"/>
          <w:kern w:val="21"/>
          <w:sz w:val="32"/>
          <w:szCs w:val="32"/>
          <w:highlight w:val="none"/>
          <w:lang w:val="en-US" w:eastAsia="zh-CN"/>
        </w:rPr>
        <w:t>医保中心</w:t>
      </w:r>
      <w:r>
        <w:rPr>
          <w:rFonts w:hint="eastAsia" w:ascii="Times New Roman" w:hAnsi="Times New Roman" w:eastAsia="仿宋_GB2312" w:cs="仿宋_GB2312"/>
          <w:color w:val="auto"/>
          <w:kern w:val="21"/>
          <w:sz w:val="32"/>
          <w:szCs w:val="32"/>
          <w:highlight w:val="none"/>
        </w:rPr>
        <w:t>应</w:t>
      </w:r>
      <w:r>
        <w:rPr>
          <w:rFonts w:hint="eastAsia" w:ascii="Times New Roman" w:hAnsi="Times New Roman" w:eastAsia="仿宋_GB2312" w:cs="仿宋_GB2312"/>
          <w:color w:val="auto"/>
          <w:kern w:val="21"/>
          <w:sz w:val="32"/>
          <w:szCs w:val="32"/>
          <w:highlight w:val="none"/>
          <w:lang w:val="en-US" w:eastAsia="zh-CN"/>
        </w:rPr>
        <w:t>当强化数智建设，持续优化“符合资助条件的救助对象参加居民医保个人缴费补贴”免申即享服务，不断提升适残化、适老化经办服务水平。</w:t>
      </w:r>
    </w:p>
    <w:p>
      <w:pPr>
        <w:pStyle w:val="4"/>
        <w:pageBreakBefore w:val="0"/>
        <w:kinsoku/>
        <w:wordWrap/>
        <w:overflowPunct/>
        <w:topLinePunct w:val="0"/>
        <w:bidi w:val="0"/>
        <w:spacing w:before="101" w:line="560" w:lineRule="exact"/>
        <w:ind w:right="1"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黑体" w:hAnsi="黑体" w:eastAsia="黑体" w:cs="黑体"/>
          <w:color w:val="auto"/>
          <w:kern w:val="2"/>
          <w:sz w:val="32"/>
          <w:szCs w:val="32"/>
          <w:highlight w:val="none"/>
          <w:lang w:val="en-US" w:eastAsia="zh-CN" w:bidi="ar-SA"/>
        </w:rPr>
        <w:t>第九条【查询服务】</w:t>
      </w:r>
      <w:r>
        <w:rPr>
          <w:rFonts w:hint="eastAsia" w:ascii="Times New Roman" w:hAnsi="Times New Roman" w:eastAsia="仿宋_GB2312" w:cs="仿宋_GB2312"/>
          <w:color w:val="auto"/>
          <w:kern w:val="21"/>
          <w:sz w:val="32"/>
          <w:szCs w:val="32"/>
          <w:highlight w:val="none"/>
          <w:lang w:val="en-US" w:eastAsia="zh-CN" w:bidi="ar-SA"/>
        </w:rPr>
        <w:t>医保中心应</w:t>
      </w:r>
      <w:r>
        <w:rPr>
          <w:rFonts w:hint="eastAsia" w:ascii="仿宋_GB2312" w:hAnsi="仿宋_GB2312" w:eastAsia="仿宋_GB2312" w:cs="仿宋_GB2312"/>
          <w:color w:val="auto"/>
          <w:kern w:val="2"/>
          <w:sz w:val="32"/>
          <w:szCs w:val="32"/>
          <w:highlight w:val="none"/>
          <w:lang w:val="en-US" w:eastAsia="zh-CN" w:bidi="ar-SA"/>
        </w:rPr>
        <w:t>当免费向医疗救助对象提供查询核对医疗保险参保和享受医疗救助待遇记录、医疗救助咨询等相关服务。</w:t>
      </w:r>
    </w:p>
    <w:p>
      <w:pPr>
        <w:pStyle w:val="4"/>
        <w:pageBreakBefore w:val="0"/>
        <w:kinsoku/>
        <w:wordWrap/>
        <w:overflowPunct/>
        <w:topLinePunct w:val="0"/>
        <w:bidi w:val="0"/>
        <w:spacing w:before="101" w:line="560" w:lineRule="exact"/>
        <w:ind w:right="1"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p>
    <w:p>
      <w:pPr>
        <w:pageBreakBefore w:val="0"/>
        <w:numPr>
          <w:ilvl w:val="0"/>
          <w:numId w:val="0"/>
        </w:numPr>
        <w:kinsoku/>
        <w:wordWrap/>
        <w:overflowPunct/>
        <w:topLinePunct w:val="0"/>
        <w:bidi w:val="0"/>
        <w:spacing w:line="560" w:lineRule="exact"/>
        <w:ind w:leftChars="0"/>
        <w:jc w:val="center"/>
        <w:textAlignment w:val="auto"/>
        <w:rPr>
          <w:rFonts w:hint="eastAsia"/>
          <w:color w:val="auto"/>
          <w:highlight w:val="none"/>
        </w:rPr>
      </w:pPr>
      <w:r>
        <w:rPr>
          <w:rFonts w:hint="eastAsia" w:ascii="Times New Roman" w:hAnsi="Times New Roman" w:eastAsia="黑体" w:cs="黑体"/>
          <w:b w:val="0"/>
          <w:bCs w:val="0"/>
          <w:color w:val="auto"/>
          <w:kern w:val="44"/>
          <w:sz w:val="32"/>
          <w:szCs w:val="32"/>
          <w:highlight w:val="none"/>
          <w:lang w:val="en-US" w:eastAsia="zh-CN" w:bidi="ar-SA"/>
        </w:rPr>
        <w:t>第三章 待遇支付管理</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right="0" w:firstLine="6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Times New Roman" w:hAnsi="Times New Roman" w:eastAsia="黑体" w:cs="黑体"/>
          <w:color w:val="auto"/>
          <w:kern w:val="21"/>
          <w:sz w:val="32"/>
          <w:szCs w:val="32"/>
          <w:highlight w:val="none"/>
          <w:lang w:eastAsia="zh-CN"/>
        </w:rPr>
        <w:t>第</w:t>
      </w:r>
      <w:r>
        <w:rPr>
          <w:rFonts w:hint="eastAsia" w:ascii="Times New Roman" w:hAnsi="Times New Roman" w:eastAsia="黑体" w:cs="黑体"/>
          <w:color w:val="auto"/>
          <w:kern w:val="21"/>
          <w:sz w:val="32"/>
          <w:szCs w:val="32"/>
          <w:highlight w:val="none"/>
          <w:lang w:val="en-US" w:eastAsia="zh-CN"/>
        </w:rPr>
        <w:t>十</w:t>
      </w:r>
      <w:r>
        <w:rPr>
          <w:rFonts w:hint="eastAsia" w:ascii="Times New Roman" w:hAnsi="Times New Roman" w:eastAsia="黑体" w:cs="黑体"/>
          <w:color w:val="auto"/>
          <w:kern w:val="21"/>
          <w:sz w:val="32"/>
          <w:szCs w:val="32"/>
          <w:highlight w:val="none"/>
          <w:lang w:eastAsia="zh-CN"/>
        </w:rPr>
        <w:t>条</w:t>
      </w:r>
      <w:r>
        <w:rPr>
          <w:rFonts w:hint="eastAsia" w:ascii="Times New Roman" w:hAnsi="Times New Roman" w:eastAsia="黑体" w:cs="黑体"/>
          <w:b w:val="0"/>
          <w:bCs/>
          <w:color w:val="auto"/>
          <w:sz w:val="32"/>
          <w:szCs w:val="32"/>
          <w:highlight w:val="none"/>
        </w:rPr>
        <w:t>【</w:t>
      </w:r>
      <w:r>
        <w:rPr>
          <w:rFonts w:hint="eastAsia" w:ascii="Times New Roman" w:hAnsi="Times New Roman" w:eastAsia="黑体" w:cs="黑体"/>
          <w:b w:val="0"/>
          <w:bCs w:val="0"/>
          <w:color w:val="auto"/>
          <w:kern w:val="2"/>
          <w:sz w:val="32"/>
          <w:szCs w:val="32"/>
          <w:highlight w:val="none"/>
          <w:lang w:val="en-US" w:eastAsia="zh-CN" w:bidi="ar"/>
        </w:rPr>
        <w:t>待遇享受期</w:t>
      </w:r>
      <w:r>
        <w:rPr>
          <w:rFonts w:hint="eastAsia" w:ascii="Times New Roman" w:hAnsi="Times New Roman" w:eastAsia="黑体" w:cs="黑体"/>
          <w:b w:val="0"/>
          <w:bCs/>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医保中心应当及时核发医疗救助对象的医疗救助待遇，医疗救助对象的医疗救助待遇享受期按照以下规定执行：</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right="0" w:firstLine="6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特困人员、孤儿、事实无人抚养儿童、最低生活保障对象、最低生活保障边缘家庭成员、农村易返贫致贫人口等困难群众的医疗救助待遇享受起始时间为身份认定当日（相关部门确定的待遇发放开始时间）至身份终止之日（含当日）。</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Lines="0" w:beforeAutospacing="0" w:after="0" w:afterLines="0" w:afterAutospacing="0" w:line="560" w:lineRule="exact"/>
        <w:ind w:left="0" w:right="0" w:firstLine="600"/>
        <w:jc w:val="both"/>
        <w:textAlignment w:val="auto"/>
        <w:rPr>
          <w:rFonts w:hint="default" w:ascii="Times New Roman" w:hAnsi="Times New Roman" w:eastAsia="仿宋_GB2312" w:cs="Times New Roman"/>
          <w:b w:val="0"/>
          <w:bCs w:val="0"/>
          <w:color w:val="auto"/>
          <w:kern w:val="2"/>
          <w:sz w:val="32"/>
          <w:szCs w:val="32"/>
          <w:highlight w:val="none"/>
          <w:lang w:val="en" w:eastAsia="zh-CN" w:bidi="ar"/>
        </w:rPr>
      </w:pPr>
      <w:r>
        <w:rPr>
          <w:rFonts w:hint="eastAsia" w:ascii="Times New Roman" w:hAnsi="Times New Roman" w:eastAsia="仿宋_GB2312" w:cs="Times New Roman"/>
          <w:b w:val="0"/>
          <w:bCs w:val="0"/>
          <w:color w:val="auto"/>
          <w:kern w:val="2"/>
          <w:sz w:val="32"/>
          <w:szCs w:val="32"/>
          <w:highlight w:val="none"/>
          <w:lang w:val="en-US" w:eastAsia="zh-CN" w:bidi="ar"/>
        </w:rPr>
        <w:t>（二）支出型医疗救助对象医疗救助待遇享受起始时间为支出型困难家庭资格认定之日前12个月的同日，如无相同日期则以前1日为准，终止时间为</w:t>
      </w:r>
      <w:r>
        <w:rPr>
          <w:rFonts w:hint="default" w:ascii="Times New Roman" w:hAnsi="Times New Roman" w:eastAsia="仿宋_GB2312" w:cs="Times New Roman"/>
          <w:b w:val="0"/>
          <w:bCs w:val="0"/>
          <w:color w:val="auto"/>
          <w:kern w:val="2"/>
          <w:sz w:val="32"/>
          <w:szCs w:val="32"/>
          <w:highlight w:val="none"/>
          <w:lang w:val="en" w:eastAsia="zh-CN" w:bidi="ar"/>
        </w:rPr>
        <w:t>其</w:t>
      </w:r>
      <w:r>
        <w:rPr>
          <w:rFonts w:hint="eastAsia" w:ascii="Times New Roman" w:hAnsi="Times New Roman" w:eastAsia="仿宋_GB2312" w:cs="Times New Roman"/>
          <w:b w:val="0"/>
          <w:bCs w:val="0"/>
          <w:color w:val="auto"/>
          <w:kern w:val="2"/>
          <w:sz w:val="32"/>
          <w:szCs w:val="32"/>
          <w:highlight w:val="none"/>
          <w:lang w:val="en-US" w:eastAsia="zh-CN" w:bidi="ar"/>
        </w:rPr>
        <w:t>身份终止之日</w:t>
      </w:r>
      <w:r>
        <w:rPr>
          <w:rFonts w:hint="default" w:ascii="Times New Roman" w:hAnsi="Times New Roman" w:eastAsia="仿宋_GB2312" w:cs="Times New Roman"/>
          <w:b w:val="0"/>
          <w:bCs w:val="0"/>
          <w:color w:val="auto"/>
          <w:kern w:val="2"/>
          <w:sz w:val="32"/>
          <w:szCs w:val="32"/>
          <w:highlight w:val="none"/>
          <w:lang w:val="en" w:eastAsia="zh-CN" w:bidi="ar"/>
        </w:rPr>
        <w:t>（含当日）</w:t>
      </w:r>
      <w:r>
        <w:rPr>
          <w:rFonts w:hint="eastAsia" w:ascii="Times New Roman" w:hAnsi="Times New Roman" w:eastAsia="仿宋_GB2312" w:cs="Times New Roman"/>
          <w:b w:val="0"/>
          <w:bCs w:val="0"/>
          <w:color w:val="auto"/>
          <w:kern w:val="2"/>
          <w:sz w:val="32"/>
          <w:szCs w:val="32"/>
          <w:highlight w:val="none"/>
          <w:lang w:val="en" w:eastAsia="zh-CN" w:bidi="ar"/>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Lines="0" w:beforeAutospacing="0" w:after="0" w:afterLines="0" w:afterAutospacing="0" w:line="560" w:lineRule="exact"/>
        <w:ind w:left="0" w:right="0" w:firstLine="600"/>
        <w:jc w:val="both"/>
        <w:textAlignment w:val="auto"/>
        <w:rPr>
          <w:rFonts w:hint="eastAsia" w:ascii="Times New Roman" w:hAnsi="Times New Roman" w:eastAsia="仿宋_GB2312" w:cs="Times New Roman"/>
          <w:b w:val="0"/>
          <w:bCs w:val="0"/>
          <w:color w:val="auto"/>
          <w:kern w:val="2"/>
          <w:sz w:val="32"/>
          <w:szCs w:val="32"/>
          <w:highlight w:val="none"/>
          <w:lang w:val="en-US" w:eastAsia="zh-CN" w:bidi="ar"/>
        </w:rPr>
      </w:pPr>
      <w:r>
        <w:rPr>
          <w:rFonts w:hint="eastAsia" w:ascii="Times New Roman" w:hAnsi="Times New Roman" w:eastAsia="黑体" w:cs="黑体"/>
          <w:color w:val="auto"/>
          <w:kern w:val="21"/>
          <w:sz w:val="32"/>
          <w:szCs w:val="32"/>
          <w:highlight w:val="none"/>
          <w:u w:val="none"/>
          <w:lang w:eastAsia="zh-CN"/>
        </w:rPr>
        <w:t>第</w:t>
      </w:r>
      <w:r>
        <w:rPr>
          <w:rFonts w:hint="eastAsia" w:ascii="Times New Roman" w:hAnsi="Times New Roman" w:eastAsia="黑体" w:cs="黑体"/>
          <w:color w:val="auto"/>
          <w:kern w:val="21"/>
          <w:sz w:val="32"/>
          <w:szCs w:val="32"/>
          <w:highlight w:val="none"/>
          <w:u w:val="none"/>
          <w:lang w:val="en-US" w:eastAsia="zh-CN"/>
        </w:rPr>
        <w:t>十一</w:t>
      </w:r>
      <w:r>
        <w:rPr>
          <w:rFonts w:hint="eastAsia" w:ascii="Times New Roman" w:hAnsi="Times New Roman" w:eastAsia="黑体" w:cs="黑体"/>
          <w:color w:val="auto"/>
          <w:kern w:val="21"/>
          <w:sz w:val="32"/>
          <w:szCs w:val="32"/>
          <w:highlight w:val="none"/>
          <w:u w:val="none"/>
          <w:lang w:eastAsia="zh-CN"/>
        </w:rPr>
        <w:t>条</w:t>
      </w:r>
      <w:r>
        <w:rPr>
          <w:rFonts w:hint="eastAsia" w:ascii="Times New Roman" w:hAnsi="Times New Roman" w:eastAsia="黑体" w:cs="黑体"/>
          <w:color w:val="auto"/>
          <w:kern w:val="21"/>
          <w:sz w:val="32"/>
          <w:szCs w:val="32"/>
          <w:highlight w:val="none"/>
          <w:u w:val="none"/>
          <w:lang w:val="en-US" w:eastAsia="zh-CN"/>
        </w:rPr>
        <w:t xml:space="preserve"> </w:t>
      </w:r>
      <w:r>
        <w:rPr>
          <w:rFonts w:hint="eastAsia" w:ascii="Times New Roman" w:hAnsi="Times New Roman" w:eastAsia="黑体" w:cs="黑体"/>
          <w:b w:val="0"/>
          <w:bCs w:val="0"/>
          <w:color w:val="auto"/>
          <w:sz w:val="32"/>
          <w:szCs w:val="32"/>
          <w:highlight w:val="none"/>
          <w:u w:val="none"/>
        </w:rPr>
        <w:t>【</w:t>
      </w:r>
      <w:r>
        <w:rPr>
          <w:rFonts w:hint="eastAsia" w:ascii="Times New Roman" w:hAnsi="Times New Roman" w:eastAsia="黑体" w:cs="黑体"/>
          <w:b w:val="0"/>
          <w:bCs w:val="0"/>
          <w:color w:val="auto"/>
          <w:kern w:val="2"/>
          <w:sz w:val="32"/>
          <w:szCs w:val="32"/>
          <w:highlight w:val="none"/>
          <w:u w:val="none"/>
          <w:lang w:val="en-US" w:eastAsia="zh-CN" w:bidi="ar"/>
        </w:rPr>
        <w:t>待遇享受期时间点</w:t>
      </w:r>
      <w:r>
        <w:rPr>
          <w:rFonts w:hint="eastAsia" w:ascii="Times New Roman" w:hAnsi="Times New Roman" w:eastAsia="黑体" w:cs="黑体"/>
          <w:b w:val="0"/>
          <w:bCs w:val="0"/>
          <w:color w:val="auto"/>
          <w:sz w:val="32"/>
          <w:szCs w:val="32"/>
          <w:highlight w:val="none"/>
          <w:u w:val="none"/>
          <w:lang w:eastAsia="zh-CN"/>
        </w:rPr>
        <w:t>】</w:t>
      </w:r>
      <w:r>
        <w:rPr>
          <w:rFonts w:hint="eastAsia" w:ascii="Times New Roman" w:hAnsi="Times New Roman" w:eastAsia="仿宋_GB2312" w:cs="Times New Roman"/>
          <w:b w:val="0"/>
          <w:bCs w:val="0"/>
          <w:color w:val="auto"/>
          <w:kern w:val="2"/>
          <w:sz w:val="32"/>
          <w:szCs w:val="32"/>
          <w:highlight w:val="none"/>
          <w:lang w:val="en-US" w:eastAsia="zh-CN" w:bidi="ar"/>
        </w:rPr>
        <w:t>医疗救助对象</w:t>
      </w:r>
      <w:r>
        <w:rPr>
          <w:rFonts w:hint="default" w:ascii="Times New Roman" w:hAnsi="Times New Roman" w:eastAsia="仿宋_GB2312" w:cs="Times New Roman"/>
          <w:b w:val="0"/>
          <w:bCs w:val="0"/>
          <w:color w:val="auto"/>
          <w:kern w:val="2"/>
          <w:sz w:val="32"/>
          <w:szCs w:val="32"/>
          <w:highlight w:val="none"/>
          <w:lang w:val="en" w:eastAsia="zh-CN" w:bidi="ar"/>
        </w:rPr>
        <w:t>享受</w:t>
      </w:r>
      <w:r>
        <w:rPr>
          <w:rFonts w:hint="eastAsia" w:ascii="Times New Roman" w:hAnsi="Times New Roman" w:eastAsia="仿宋_GB2312" w:cs="Times New Roman"/>
          <w:b w:val="0"/>
          <w:bCs w:val="0"/>
          <w:color w:val="auto"/>
          <w:kern w:val="2"/>
          <w:sz w:val="32"/>
          <w:szCs w:val="32"/>
          <w:highlight w:val="none"/>
          <w:lang w:val="en-US" w:eastAsia="zh-CN" w:bidi="ar"/>
        </w:rPr>
        <w:t>待遇</w:t>
      </w:r>
      <w:r>
        <w:rPr>
          <w:rFonts w:hint="default" w:ascii="Times New Roman" w:hAnsi="Times New Roman" w:eastAsia="仿宋_GB2312" w:cs="Times New Roman"/>
          <w:b w:val="0"/>
          <w:bCs w:val="0"/>
          <w:color w:val="auto"/>
          <w:kern w:val="2"/>
          <w:sz w:val="32"/>
          <w:szCs w:val="32"/>
          <w:highlight w:val="none"/>
          <w:lang w:val="en" w:eastAsia="zh-CN" w:bidi="ar"/>
        </w:rPr>
        <w:t>的</w:t>
      </w:r>
      <w:r>
        <w:rPr>
          <w:rFonts w:hint="eastAsia" w:ascii="Times New Roman" w:hAnsi="Times New Roman" w:eastAsia="仿宋_GB2312" w:cs="Times New Roman"/>
          <w:b w:val="0"/>
          <w:bCs w:val="0"/>
          <w:color w:val="auto"/>
          <w:kern w:val="2"/>
          <w:sz w:val="32"/>
          <w:szCs w:val="32"/>
          <w:highlight w:val="none"/>
          <w:lang w:val="en-US" w:eastAsia="zh-CN" w:bidi="ar"/>
        </w:rPr>
        <w:t>时间原则上以出院或门诊就诊时间为准。在住院治疗期间获得、终止或变更医疗救助身份的并符合以下情形的，按照就高不就低原则享受医疗救助待遇。</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Lines="0" w:beforeAutospacing="0" w:after="0" w:afterLines="0" w:afterAutospacing="0" w:line="560" w:lineRule="exact"/>
        <w:ind w:left="0" w:right="0" w:firstLine="600"/>
        <w:jc w:val="both"/>
        <w:textAlignment w:val="auto"/>
        <w:rPr>
          <w:rFonts w:hint="eastAsia" w:ascii="Times New Roman" w:hAnsi="Times New Roman" w:eastAsia="仿宋_GB2312" w:cs="Times New Roman"/>
          <w:b w:val="0"/>
          <w:bCs w:val="0"/>
          <w:color w:val="auto"/>
          <w:kern w:val="2"/>
          <w:sz w:val="32"/>
          <w:szCs w:val="32"/>
          <w:highlight w:val="none"/>
          <w:lang w:val="en-US" w:eastAsia="zh-CN" w:bidi="ar"/>
        </w:rPr>
      </w:pPr>
      <w:r>
        <w:rPr>
          <w:rFonts w:hint="eastAsia" w:ascii="Times New Roman" w:hAnsi="Times New Roman" w:eastAsia="仿宋_GB2312" w:cs="Times New Roman"/>
          <w:b w:val="0"/>
          <w:bCs w:val="0"/>
          <w:color w:val="auto"/>
          <w:kern w:val="2"/>
          <w:sz w:val="32"/>
          <w:szCs w:val="32"/>
          <w:highlight w:val="none"/>
          <w:lang w:val="en-US" w:eastAsia="zh-CN" w:bidi="ar"/>
        </w:rPr>
        <w:t>（一）入院时为医疗救助身份，出院时终止医疗救助身份的，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Lines="0" w:beforeAutospacing="0" w:after="0" w:afterLines="0" w:afterAutospacing="0" w:line="560" w:lineRule="exact"/>
        <w:ind w:right="0"/>
        <w:jc w:val="both"/>
        <w:textAlignment w:val="auto"/>
        <w:rPr>
          <w:rFonts w:hint="eastAsia" w:ascii="Times New Roman" w:hAnsi="Times New Roman" w:eastAsia="仿宋_GB2312" w:cs="Times New Roman"/>
          <w:b w:val="0"/>
          <w:bCs w:val="0"/>
          <w:color w:val="auto"/>
          <w:kern w:val="2"/>
          <w:sz w:val="32"/>
          <w:szCs w:val="32"/>
          <w:highlight w:val="none"/>
          <w:lang w:val="en-US" w:eastAsia="zh-CN" w:bidi="ar"/>
        </w:rPr>
      </w:pPr>
      <w:r>
        <w:rPr>
          <w:rFonts w:hint="eastAsia" w:ascii="Times New Roman" w:hAnsi="Times New Roman" w:eastAsia="仿宋_GB2312" w:cs="Times New Roman"/>
          <w:b w:val="0"/>
          <w:bCs w:val="0"/>
          <w:color w:val="auto"/>
          <w:kern w:val="2"/>
          <w:sz w:val="32"/>
          <w:szCs w:val="32"/>
          <w:highlight w:val="none"/>
          <w:lang w:val="en-US" w:eastAsia="zh-CN" w:bidi="ar"/>
        </w:rPr>
        <w:t>出院时按照原医疗救助身份享受待遇。</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Lines="0" w:beforeAutospacing="0" w:after="0" w:afterLines="0" w:afterAutospacing="0" w:line="560" w:lineRule="exact"/>
        <w:ind w:right="0" w:firstLine="640" w:firstLineChars="200"/>
        <w:jc w:val="both"/>
        <w:textAlignment w:val="auto"/>
        <w:rPr>
          <w:rFonts w:hint="eastAsia" w:ascii="Times New Roman" w:hAnsi="Times New Roman" w:eastAsia="仿宋_GB2312" w:cs="Times New Roman"/>
          <w:b w:val="0"/>
          <w:bCs w:val="0"/>
          <w:color w:val="auto"/>
          <w:kern w:val="2"/>
          <w:sz w:val="32"/>
          <w:szCs w:val="32"/>
          <w:highlight w:val="none"/>
          <w:lang w:val="en-US" w:eastAsia="zh-CN" w:bidi="ar"/>
        </w:rPr>
      </w:pPr>
      <w:r>
        <w:rPr>
          <w:rFonts w:hint="eastAsia" w:ascii="Times New Roman" w:hAnsi="Times New Roman" w:eastAsia="仿宋_GB2312" w:cs="Times New Roman"/>
          <w:b w:val="0"/>
          <w:bCs w:val="0"/>
          <w:color w:val="auto"/>
          <w:kern w:val="2"/>
          <w:sz w:val="32"/>
          <w:szCs w:val="32"/>
          <w:highlight w:val="none"/>
          <w:lang w:val="en-US" w:eastAsia="zh-CN" w:bidi="ar"/>
        </w:rPr>
        <w:t>（二）入院时为非医疗救助对象，出院时为医疗救助对象的，出院时按照医疗救助身份享受待遇。</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Lines="0" w:beforeAutospacing="0" w:after="0" w:afterLines="0" w:afterAutospacing="0" w:line="560" w:lineRule="exact"/>
        <w:ind w:right="0" w:firstLine="640" w:firstLineChars="200"/>
        <w:jc w:val="both"/>
        <w:textAlignment w:val="auto"/>
        <w:rPr>
          <w:rFonts w:hint="eastAsia" w:ascii="Times New Roman" w:hAnsi="Times New Roman" w:eastAsia="仿宋_GB2312" w:cs="Times New Roman"/>
          <w:b w:val="0"/>
          <w:bCs w:val="0"/>
          <w:color w:val="auto"/>
          <w:kern w:val="2"/>
          <w:sz w:val="32"/>
          <w:szCs w:val="32"/>
          <w:highlight w:val="none"/>
          <w:lang w:val="en-US" w:eastAsia="zh-CN" w:bidi="ar"/>
        </w:rPr>
      </w:pPr>
      <w:r>
        <w:rPr>
          <w:rFonts w:hint="eastAsia" w:ascii="Times New Roman" w:hAnsi="Times New Roman" w:eastAsia="仿宋_GB2312" w:cs="Times New Roman"/>
          <w:b w:val="0"/>
          <w:bCs w:val="0"/>
          <w:color w:val="auto"/>
          <w:kern w:val="2"/>
          <w:sz w:val="32"/>
          <w:szCs w:val="32"/>
          <w:highlight w:val="none"/>
          <w:lang w:val="en-US" w:eastAsia="zh-CN" w:bidi="ar"/>
        </w:rPr>
        <w:t>（三）住院期间变更医疗救助身份的，当次住院按照就高不就低原则享受医疗救助待遇。</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color w:val="auto"/>
          <w:kern w:val="2"/>
          <w:sz w:val="32"/>
          <w:szCs w:val="32"/>
          <w:highlight w:val="none"/>
          <w:lang w:val="en-US" w:eastAsia="zh-CN" w:bidi="ar"/>
        </w:rPr>
      </w:pPr>
      <w:r>
        <w:rPr>
          <w:rFonts w:hint="eastAsia" w:ascii="Times New Roman" w:hAnsi="Times New Roman" w:eastAsia="黑体" w:cs="黑体"/>
          <w:b w:val="0"/>
          <w:bCs/>
          <w:color w:val="auto"/>
          <w:sz w:val="32"/>
          <w:szCs w:val="32"/>
          <w:highlight w:val="none"/>
          <w:lang w:val="en-US" w:eastAsia="zh-CN"/>
        </w:rPr>
        <w:t>第十二条 【费用结算】</w:t>
      </w:r>
      <w:r>
        <w:rPr>
          <w:rFonts w:hint="eastAsia" w:ascii="Times New Roman" w:hAnsi="Times New Roman" w:eastAsia="仿宋_GB2312" w:cs="Times New Roman"/>
          <w:b w:val="0"/>
          <w:bCs w:val="0"/>
          <w:color w:val="auto"/>
          <w:kern w:val="2"/>
          <w:sz w:val="32"/>
          <w:szCs w:val="32"/>
          <w:highlight w:val="none"/>
          <w:lang w:val="en-US" w:eastAsia="zh-CN" w:bidi="ar"/>
        </w:rPr>
        <w:t>医疗救助对象在定点医药机构发生的符合基本医疗保险规定的普通门诊、门诊特定病种、住院医疗费用，经基本医疗保险、大病保险等支付后，个人负担的符合医疗救助基金支付范围的费用，可享受医疗救助“一站式”结算或手工报销服务。</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Times New Roman" w:hAnsi="Times New Roman" w:eastAsia="仿宋_GB2312" w:cs="Times New Roman"/>
          <w:b w:val="0"/>
          <w:bCs w:val="0"/>
          <w:color w:val="auto"/>
          <w:kern w:val="2"/>
          <w:sz w:val="32"/>
          <w:szCs w:val="32"/>
          <w:highlight w:val="none"/>
          <w:lang w:val="en-US" w:eastAsia="zh-CN" w:bidi="ar"/>
        </w:rPr>
      </w:pPr>
      <w:r>
        <w:rPr>
          <w:rFonts w:hint="eastAsia" w:ascii="楷体" w:hAnsi="楷体" w:eastAsia="楷体" w:cs="楷体"/>
          <w:b w:val="0"/>
          <w:bCs w:val="0"/>
          <w:color w:val="auto"/>
          <w:kern w:val="2"/>
          <w:sz w:val="32"/>
          <w:szCs w:val="32"/>
          <w:highlight w:val="none"/>
          <w:lang w:val="en-US" w:eastAsia="zh-CN" w:bidi="ar"/>
        </w:rPr>
        <w:t>（一）市内联网定点医药机构直接结算。</w:t>
      </w:r>
      <w:r>
        <w:rPr>
          <w:rFonts w:hint="default" w:ascii="Times New Roman" w:hAnsi="Times New Roman" w:eastAsia="仿宋_GB2312" w:cs="Times New Roman"/>
          <w:b w:val="0"/>
          <w:bCs w:val="0"/>
          <w:color w:val="auto"/>
          <w:kern w:val="2"/>
          <w:sz w:val="32"/>
          <w:szCs w:val="32"/>
          <w:highlight w:val="none"/>
          <w:lang w:val="en-US" w:eastAsia="zh-CN" w:bidi="ar"/>
        </w:rPr>
        <w:t>医疗救助对象</w:t>
      </w:r>
      <w:r>
        <w:rPr>
          <w:rFonts w:hint="eastAsia" w:ascii="Times New Roman" w:hAnsi="Times New Roman" w:eastAsia="仿宋_GB2312" w:cs="Times New Roman"/>
          <w:b w:val="0"/>
          <w:bCs w:val="0"/>
          <w:color w:val="auto"/>
          <w:kern w:val="2"/>
          <w:sz w:val="32"/>
          <w:szCs w:val="32"/>
          <w:highlight w:val="none"/>
          <w:lang w:val="en-US" w:eastAsia="zh-CN" w:bidi="ar"/>
        </w:rPr>
        <w:t>在定点医药机构就医时，应出示</w:t>
      </w:r>
      <w:r>
        <w:rPr>
          <w:rFonts w:hint="default" w:ascii="Times New Roman" w:hAnsi="Times New Roman" w:eastAsia="仿宋_GB2312" w:cs="Times New Roman"/>
          <w:b w:val="0"/>
          <w:bCs w:val="0"/>
          <w:color w:val="auto"/>
          <w:kern w:val="2"/>
          <w:sz w:val="32"/>
          <w:szCs w:val="32"/>
          <w:highlight w:val="none"/>
          <w:lang w:val="en-US" w:eastAsia="zh-CN" w:bidi="ar"/>
        </w:rPr>
        <w:t>社会保障卡（医保电子凭证）</w:t>
      </w:r>
      <w:r>
        <w:rPr>
          <w:rFonts w:hint="eastAsia" w:ascii="Times New Roman" w:hAnsi="Times New Roman" w:eastAsia="仿宋_GB2312" w:cs="Times New Roman"/>
          <w:b w:val="0"/>
          <w:bCs w:val="0"/>
          <w:color w:val="auto"/>
          <w:kern w:val="2"/>
          <w:sz w:val="32"/>
          <w:szCs w:val="32"/>
          <w:highlight w:val="none"/>
          <w:lang w:val="en-US" w:eastAsia="zh-CN" w:bidi="ar"/>
        </w:rPr>
        <w:t>或身份证等证件，在定点医药机构发生的符合医疗救助基金支付范围的医疗费用，由定点医药机构实现</w:t>
      </w:r>
      <w:r>
        <w:rPr>
          <w:rFonts w:hint="default" w:ascii="Times New Roman" w:hAnsi="Times New Roman" w:eastAsia="仿宋_GB2312" w:cs="Times New Roman"/>
          <w:b w:val="0"/>
          <w:bCs w:val="0"/>
          <w:color w:val="auto"/>
          <w:kern w:val="2"/>
          <w:sz w:val="32"/>
          <w:szCs w:val="32"/>
          <w:highlight w:val="none"/>
          <w:lang w:val="en-US" w:eastAsia="zh-CN" w:bidi="ar"/>
        </w:rPr>
        <w:t>基本医疗保险、大病保险</w:t>
      </w:r>
      <w:r>
        <w:rPr>
          <w:rFonts w:hint="eastAsia" w:ascii="Times New Roman" w:hAnsi="Times New Roman" w:eastAsia="仿宋_GB2312" w:cs="Times New Roman"/>
          <w:b w:val="0"/>
          <w:bCs w:val="0"/>
          <w:color w:val="auto"/>
          <w:kern w:val="2"/>
          <w:sz w:val="32"/>
          <w:szCs w:val="32"/>
          <w:highlight w:val="none"/>
          <w:lang w:val="en-US" w:eastAsia="zh-CN" w:bidi="ar"/>
        </w:rPr>
        <w:t>、医疗救助（含倾斜救助）直接结算。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b w:val="0"/>
          <w:bCs w:val="0"/>
          <w:color w:val="auto"/>
          <w:kern w:val="2"/>
          <w:sz w:val="32"/>
          <w:szCs w:val="32"/>
          <w:highlight w:val="none"/>
          <w:lang w:val="en-US" w:eastAsia="zh-CN" w:bidi="ar"/>
        </w:rPr>
      </w:pPr>
      <w:r>
        <w:rPr>
          <w:rFonts w:hint="eastAsia" w:ascii="Times New Roman" w:hAnsi="Times New Roman" w:eastAsia="仿宋_GB2312" w:cs="Times New Roman"/>
          <w:b w:val="0"/>
          <w:bCs w:val="0"/>
          <w:color w:val="auto"/>
          <w:kern w:val="2"/>
          <w:sz w:val="32"/>
          <w:szCs w:val="32"/>
          <w:highlight w:val="none"/>
          <w:lang w:val="en-US" w:eastAsia="zh-CN" w:bidi="ar"/>
        </w:rPr>
        <w:t>医疗费用</w:t>
      </w:r>
      <w:r>
        <w:rPr>
          <w:rFonts w:hint="default" w:ascii="Times New Roman" w:hAnsi="Times New Roman" w:eastAsia="仿宋_GB2312" w:cs="Times New Roman"/>
          <w:b w:val="0"/>
          <w:bCs w:val="0"/>
          <w:color w:val="auto"/>
          <w:kern w:val="2"/>
          <w:sz w:val="32"/>
          <w:szCs w:val="32"/>
          <w:highlight w:val="none"/>
          <w:lang w:val="en-US" w:eastAsia="zh-CN" w:bidi="ar"/>
        </w:rPr>
        <w:t>中应当由</w:t>
      </w:r>
      <w:r>
        <w:rPr>
          <w:rFonts w:hint="eastAsia" w:ascii="Times New Roman" w:hAnsi="Times New Roman" w:eastAsia="仿宋_GB2312" w:cs="Times New Roman"/>
          <w:b w:val="0"/>
          <w:bCs w:val="0"/>
          <w:color w:val="auto"/>
          <w:kern w:val="2"/>
          <w:sz w:val="32"/>
          <w:szCs w:val="32"/>
          <w:highlight w:val="none"/>
          <w:lang w:val="en-US" w:eastAsia="zh-CN" w:bidi="ar"/>
        </w:rPr>
        <w:t>医疗救助基金</w:t>
      </w:r>
      <w:r>
        <w:rPr>
          <w:rFonts w:hint="default" w:ascii="Times New Roman" w:hAnsi="Times New Roman" w:eastAsia="仿宋_GB2312" w:cs="Times New Roman"/>
          <w:b w:val="0"/>
          <w:bCs w:val="0"/>
          <w:color w:val="auto"/>
          <w:kern w:val="2"/>
          <w:sz w:val="32"/>
          <w:szCs w:val="32"/>
          <w:highlight w:val="none"/>
          <w:lang w:val="en-US" w:eastAsia="zh-CN" w:bidi="ar"/>
        </w:rPr>
        <w:t>支付的部分，</w:t>
      </w:r>
      <w:r>
        <w:rPr>
          <w:rFonts w:hint="eastAsia" w:ascii="Times New Roman" w:hAnsi="Times New Roman" w:eastAsia="仿宋_GB2312" w:cs="Times New Roman"/>
          <w:b w:val="0"/>
          <w:bCs w:val="0"/>
          <w:color w:val="auto"/>
          <w:kern w:val="2"/>
          <w:sz w:val="32"/>
          <w:szCs w:val="32"/>
          <w:highlight w:val="none"/>
          <w:lang w:val="en-US" w:eastAsia="zh-CN" w:bidi="ar"/>
        </w:rPr>
        <w:t>由市医保中心按月向承办商业保险机构提供定点医药机构上传的“一站式”结算数据，由承办商业保险机构核对无误后，在规定的时限内将“一站式”结算费用拨付至市医保中心，市医保中心再支付至市内各定点医药机构。</w:t>
      </w:r>
      <w:r>
        <w:rPr>
          <w:rFonts w:hint="default" w:ascii="Times New Roman" w:hAnsi="Times New Roman" w:eastAsia="仿宋_GB2312" w:cs="Times New Roman"/>
          <w:b w:val="0"/>
          <w:bCs w:val="0"/>
          <w:color w:val="auto"/>
          <w:kern w:val="2"/>
          <w:sz w:val="32"/>
          <w:szCs w:val="32"/>
          <w:highlight w:val="none"/>
          <w:lang w:val="en-US" w:eastAsia="zh-CN" w:bidi="ar"/>
        </w:rPr>
        <w:t>应当由</w:t>
      </w:r>
      <w:r>
        <w:rPr>
          <w:rFonts w:hint="eastAsia" w:ascii="Times New Roman" w:hAnsi="Times New Roman" w:eastAsia="仿宋_GB2312" w:cs="Times New Roman"/>
          <w:b w:val="0"/>
          <w:bCs w:val="0"/>
          <w:color w:val="auto"/>
          <w:kern w:val="2"/>
          <w:sz w:val="32"/>
          <w:szCs w:val="32"/>
          <w:highlight w:val="none"/>
          <w:lang w:val="en-US" w:eastAsia="zh-CN" w:bidi="ar"/>
        </w:rPr>
        <w:t>医疗救助对象负担</w:t>
      </w:r>
      <w:r>
        <w:rPr>
          <w:rFonts w:hint="default" w:ascii="Times New Roman" w:hAnsi="Times New Roman" w:eastAsia="仿宋_GB2312" w:cs="Times New Roman"/>
          <w:b w:val="0"/>
          <w:bCs w:val="0"/>
          <w:color w:val="auto"/>
          <w:kern w:val="2"/>
          <w:sz w:val="32"/>
          <w:szCs w:val="32"/>
          <w:highlight w:val="none"/>
          <w:lang w:val="en-US" w:eastAsia="zh-CN" w:bidi="ar"/>
        </w:rPr>
        <w:t>的医疗费用，由</w:t>
      </w:r>
      <w:r>
        <w:rPr>
          <w:rFonts w:hint="eastAsia" w:ascii="Times New Roman" w:hAnsi="Times New Roman" w:eastAsia="仿宋_GB2312" w:cs="Times New Roman"/>
          <w:b w:val="0"/>
          <w:bCs w:val="0"/>
          <w:color w:val="auto"/>
          <w:kern w:val="2"/>
          <w:sz w:val="32"/>
          <w:szCs w:val="32"/>
          <w:highlight w:val="none"/>
          <w:lang w:val="en-US" w:eastAsia="zh-CN" w:bidi="ar"/>
        </w:rPr>
        <w:t>医疗救助对象支付给定点医药机构。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6"/>
        <w:jc w:val="both"/>
        <w:textAlignment w:val="auto"/>
        <w:rPr>
          <w:rFonts w:hint="eastAsia" w:ascii="Times New Roman" w:hAnsi="Times New Roman" w:eastAsia="仿宋_GB2312" w:cs="Times New Roman"/>
          <w:b w:val="0"/>
          <w:bCs w:val="0"/>
          <w:color w:val="auto"/>
          <w:kern w:val="2"/>
          <w:sz w:val="32"/>
          <w:szCs w:val="32"/>
          <w:highlight w:val="none"/>
          <w:lang w:val="en-US" w:eastAsia="zh-CN" w:bidi="ar"/>
        </w:rPr>
      </w:pPr>
      <w:r>
        <w:rPr>
          <w:rFonts w:hint="eastAsia" w:ascii="楷体" w:hAnsi="楷体" w:eastAsia="楷体" w:cs="楷体"/>
          <w:b w:val="0"/>
          <w:bCs w:val="0"/>
          <w:color w:val="auto"/>
          <w:kern w:val="2"/>
          <w:sz w:val="32"/>
          <w:szCs w:val="32"/>
          <w:highlight w:val="none"/>
          <w:lang w:val="en-US" w:eastAsia="zh-CN" w:bidi="ar"/>
        </w:rPr>
        <w:t>（二）异地联网定</w:t>
      </w:r>
      <w:r>
        <w:rPr>
          <w:rFonts w:hint="eastAsia" w:ascii="楷体" w:hAnsi="楷体" w:eastAsia="楷体" w:cs="楷体"/>
          <w:b w:val="0"/>
          <w:bCs w:val="0"/>
          <w:color w:val="auto"/>
          <w:spacing w:val="0"/>
          <w:kern w:val="2"/>
          <w:sz w:val="32"/>
          <w:szCs w:val="32"/>
        </w:rPr>
        <w:t>点医疗机构直接结算。</w:t>
      </w:r>
      <w:r>
        <w:rPr>
          <w:rFonts w:hint="default" w:ascii="Times New Roman" w:hAnsi="Times New Roman" w:eastAsia="仿宋_GB2312" w:cs="Times New Roman"/>
          <w:b w:val="0"/>
          <w:bCs w:val="0"/>
          <w:color w:val="auto"/>
          <w:kern w:val="2"/>
          <w:sz w:val="32"/>
          <w:szCs w:val="32"/>
          <w:highlight w:val="none"/>
          <w:lang w:val="en-US" w:eastAsia="zh-CN" w:bidi="ar"/>
        </w:rPr>
        <w:t>医疗救助对象</w:t>
      </w:r>
      <w:r>
        <w:rPr>
          <w:rFonts w:hint="eastAsia" w:ascii="Times New Roman" w:hAnsi="Times New Roman" w:eastAsia="仿宋_GB2312" w:cs="Times New Roman"/>
          <w:b w:val="0"/>
          <w:bCs w:val="0"/>
          <w:color w:val="auto"/>
          <w:kern w:val="2"/>
          <w:sz w:val="32"/>
          <w:szCs w:val="32"/>
          <w:highlight w:val="none"/>
          <w:lang w:val="en-US" w:eastAsia="zh-CN" w:bidi="ar"/>
        </w:rPr>
        <w:t xml:space="preserve">在异地联网结算的定点医疗机构就医发生的医疗费用，符合医疗救助基金支付范围的费用，可实行直接结算。医疗救助对象已办理异地长期居住等备案手续的，在省域内就医发生的符合倾斜救助支付范围的费用，可在省域内异地联网定点医疗机构实现直接结算。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6"/>
        <w:jc w:val="both"/>
        <w:textAlignment w:val="auto"/>
        <w:rPr>
          <w:rFonts w:hint="default" w:ascii="Times New Roman" w:hAnsi="Times New Roman" w:eastAsia="仿宋_GB2312" w:cs="Times New Roman"/>
          <w:b w:val="0"/>
          <w:bCs w:val="0"/>
          <w:color w:val="auto"/>
          <w:kern w:val="2"/>
          <w:sz w:val="32"/>
          <w:szCs w:val="32"/>
          <w:highlight w:val="none"/>
          <w:lang w:val="en-US" w:eastAsia="zh-CN" w:bidi="ar"/>
        </w:rPr>
      </w:pPr>
      <w:r>
        <w:rPr>
          <w:rFonts w:hint="eastAsia" w:ascii="Times New Roman" w:hAnsi="Times New Roman" w:eastAsia="仿宋_GB2312" w:cs="Times New Roman"/>
          <w:b w:val="0"/>
          <w:bCs w:val="0"/>
          <w:color w:val="auto"/>
          <w:kern w:val="2"/>
          <w:sz w:val="32"/>
          <w:szCs w:val="32"/>
          <w:highlight w:val="none"/>
          <w:lang w:val="en-US" w:eastAsia="zh-CN" w:bidi="ar"/>
        </w:rPr>
        <w:t>医疗费用中</w:t>
      </w:r>
      <w:r>
        <w:rPr>
          <w:rFonts w:hint="default" w:ascii="Times New Roman" w:hAnsi="Times New Roman" w:eastAsia="仿宋_GB2312" w:cs="Times New Roman"/>
          <w:b w:val="0"/>
          <w:bCs w:val="0"/>
          <w:color w:val="auto"/>
          <w:kern w:val="2"/>
          <w:sz w:val="32"/>
          <w:szCs w:val="32"/>
          <w:highlight w:val="none"/>
          <w:lang w:val="en-US" w:eastAsia="zh-CN" w:bidi="ar"/>
        </w:rPr>
        <w:t>应当由</w:t>
      </w:r>
      <w:r>
        <w:rPr>
          <w:rFonts w:hint="eastAsia" w:ascii="Times New Roman" w:hAnsi="Times New Roman" w:eastAsia="仿宋_GB2312" w:cs="Times New Roman"/>
          <w:b w:val="0"/>
          <w:bCs w:val="0"/>
          <w:color w:val="auto"/>
          <w:kern w:val="2"/>
          <w:sz w:val="32"/>
          <w:szCs w:val="32"/>
          <w:highlight w:val="none"/>
          <w:lang w:val="en-US" w:eastAsia="zh-CN" w:bidi="ar"/>
        </w:rPr>
        <w:t>医疗救助基金</w:t>
      </w:r>
      <w:r>
        <w:rPr>
          <w:rFonts w:hint="default" w:ascii="Times New Roman" w:hAnsi="Times New Roman" w:eastAsia="仿宋_GB2312" w:cs="Times New Roman"/>
          <w:b w:val="0"/>
          <w:bCs w:val="0"/>
          <w:color w:val="auto"/>
          <w:kern w:val="2"/>
          <w:sz w:val="32"/>
          <w:szCs w:val="32"/>
          <w:highlight w:val="none"/>
          <w:lang w:val="en-US" w:eastAsia="zh-CN" w:bidi="ar"/>
        </w:rPr>
        <w:t>支付的部分，</w:t>
      </w:r>
      <w:r>
        <w:rPr>
          <w:rFonts w:hint="eastAsia" w:ascii="Times New Roman" w:hAnsi="Times New Roman" w:eastAsia="仿宋_GB2312" w:cs="Times New Roman"/>
          <w:b w:val="0"/>
          <w:bCs w:val="0"/>
          <w:color w:val="auto"/>
          <w:kern w:val="2"/>
          <w:sz w:val="32"/>
          <w:szCs w:val="32"/>
          <w:highlight w:val="none"/>
          <w:lang w:val="en-US" w:eastAsia="zh-CN" w:bidi="ar"/>
        </w:rPr>
        <w:t>由市医保中心按月向承办商业保险机构提供定点医药机构上传的“一站式”结算数据，由承办商业保险机构核对无误后，在规定的时限内将“一站式”结算费用拨付至市医保中心，市医保中心再支付至广东省医疗保障局异地就医结算账户。</w:t>
      </w:r>
      <w:r>
        <w:rPr>
          <w:rFonts w:hint="default" w:ascii="Times New Roman" w:hAnsi="Times New Roman" w:eastAsia="仿宋_GB2312" w:cs="Times New Roman"/>
          <w:b w:val="0"/>
          <w:bCs w:val="0"/>
          <w:color w:val="auto"/>
          <w:kern w:val="2"/>
          <w:sz w:val="32"/>
          <w:szCs w:val="32"/>
          <w:highlight w:val="none"/>
          <w:lang w:val="en-US" w:eastAsia="zh-CN" w:bidi="ar"/>
        </w:rPr>
        <w:t>应当由</w:t>
      </w:r>
      <w:r>
        <w:rPr>
          <w:rFonts w:hint="eastAsia" w:ascii="Times New Roman" w:hAnsi="Times New Roman" w:eastAsia="仿宋_GB2312" w:cs="Times New Roman"/>
          <w:b w:val="0"/>
          <w:bCs w:val="0"/>
          <w:color w:val="auto"/>
          <w:kern w:val="2"/>
          <w:sz w:val="32"/>
          <w:szCs w:val="32"/>
          <w:highlight w:val="none"/>
          <w:lang w:val="en-US" w:eastAsia="zh-CN" w:bidi="ar"/>
        </w:rPr>
        <w:t>医疗救助对象</w:t>
      </w:r>
      <w:r>
        <w:rPr>
          <w:rFonts w:hint="default" w:ascii="Times New Roman" w:hAnsi="Times New Roman" w:eastAsia="仿宋_GB2312" w:cs="Times New Roman"/>
          <w:b w:val="0"/>
          <w:bCs w:val="0"/>
          <w:color w:val="auto"/>
          <w:kern w:val="2"/>
          <w:sz w:val="32"/>
          <w:szCs w:val="32"/>
          <w:highlight w:val="none"/>
          <w:lang w:val="en-US" w:eastAsia="zh-CN" w:bidi="ar"/>
        </w:rPr>
        <w:t>负担的医疗费用，由</w:t>
      </w:r>
      <w:r>
        <w:rPr>
          <w:rFonts w:hint="eastAsia" w:ascii="Times New Roman" w:hAnsi="Times New Roman" w:eastAsia="仿宋_GB2312" w:cs="Times New Roman"/>
          <w:b w:val="0"/>
          <w:bCs w:val="0"/>
          <w:color w:val="auto"/>
          <w:kern w:val="2"/>
          <w:sz w:val="32"/>
          <w:szCs w:val="32"/>
          <w:highlight w:val="none"/>
          <w:lang w:val="en-US" w:eastAsia="zh-CN" w:bidi="ar"/>
        </w:rPr>
        <w:t>医疗救助对象支付给定点医药机构。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Times New Roman" w:hAnsi="Times New Roman" w:eastAsia="仿宋_GB2312" w:cs="Times New Roman"/>
          <w:color w:val="auto"/>
          <w:kern w:val="2"/>
          <w:sz w:val="32"/>
          <w:szCs w:val="32"/>
          <w:highlight w:val="none"/>
          <w:lang w:val="en-US" w:eastAsia="zh-CN" w:bidi="ar"/>
        </w:rPr>
      </w:pPr>
      <w:r>
        <w:rPr>
          <w:rFonts w:hint="eastAsia" w:ascii="楷体" w:hAnsi="楷体" w:eastAsia="楷体" w:cs="楷体"/>
          <w:b w:val="0"/>
          <w:bCs w:val="0"/>
          <w:color w:val="auto"/>
          <w:kern w:val="2"/>
          <w:sz w:val="32"/>
          <w:szCs w:val="32"/>
          <w:highlight w:val="none"/>
          <w:lang w:val="en-US" w:eastAsia="zh-CN" w:bidi="ar"/>
        </w:rPr>
        <w:t>（三）手工（零星）报销。</w:t>
      </w:r>
      <w:r>
        <w:rPr>
          <w:rFonts w:hint="eastAsia" w:ascii="Times New Roman" w:hAnsi="Times New Roman" w:eastAsia="仿宋_GB2312" w:cs="Times New Roman"/>
          <w:color w:val="auto"/>
          <w:kern w:val="2"/>
          <w:sz w:val="32"/>
          <w:szCs w:val="32"/>
          <w:highlight w:val="none"/>
          <w:lang w:val="en-US" w:eastAsia="zh-CN" w:bidi="ar"/>
        </w:rPr>
        <w:t>医疗救助对象未实行“一站式”即时结算的，可向参保地县级医保部门或镇政府（街道办）申请办理医疗救助手工报销手续。</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仿宋_GB2312" w:hAnsi="仿宋_GB2312" w:eastAsia="仿宋_GB2312" w:cs="仿宋_GB2312"/>
          <w:b w:val="0"/>
          <w:bCs w:val="0"/>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各县（市、区）医保中心应当按</w:t>
      </w:r>
      <w:r>
        <w:rPr>
          <w:rFonts w:hint="eastAsia" w:ascii="仿宋_GB2312" w:hAnsi="仿宋_GB2312" w:eastAsia="仿宋_GB2312" w:cs="仿宋_GB2312"/>
          <w:b w:val="0"/>
          <w:bCs w:val="0"/>
          <w:color w:val="auto"/>
          <w:kern w:val="2"/>
          <w:sz w:val="32"/>
          <w:szCs w:val="32"/>
          <w:highlight w:val="none"/>
          <w:lang w:val="en-US" w:eastAsia="zh-CN" w:bidi="ar"/>
        </w:rPr>
        <w:t>照《全省医疗保障经办政务服务事项清单》要求收取办理材料，并在规定时效内通过周转金先行支付给医疗救助对象，再将相关支付凭证递交承办商业保险机构。承办商业保险机构核对无误后在规定的时限内将手工报销医疗救助资金支付至市医保中心。再由市医保中心拨付给各县（市、区）医保中心。</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仿宋_GB2312" w:hAnsi="仿宋_GB2312" w:eastAsia="仿宋_GB2312" w:cs="仿宋_GB2312"/>
          <w:b w:val="0"/>
          <w:bCs w:val="0"/>
          <w:color w:val="auto"/>
          <w:kern w:val="2"/>
          <w:sz w:val="32"/>
          <w:szCs w:val="32"/>
          <w:highlight w:val="none"/>
          <w:lang w:val="en-US" w:eastAsia="zh-CN" w:bidi="ar"/>
        </w:rPr>
      </w:pPr>
      <w:r>
        <w:rPr>
          <w:rFonts w:hint="eastAsia" w:ascii="仿宋_GB2312" w:hAnsi="仿宋_GB2312" w:eastAsia="仿宋_GB2312" w:cs="仿宋_GB2312"/>
          <w:b w:val="0"/>
          <w:bCs w:val="0"/>
          <w:color w:val="auto"/>
          <w:kern w:val="2"/>
          <w:sz w:val="32"/>
          <w:szCs w:val="32"/>
          <w:highlight w:val="none"/>
          <w:lang w:val="en-US" w:eastAsia="zh-CN" w:bidi="ar"/>
        </w:rPr>
        <w:t>支出型医疗救助对象的医疗救助符合追溯认定资格前12个月费用的，按照以下规定进行核算：</w:t>
      </w:r>
    </w:p>
    <w:p>
      <w:pPr>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1.支出型医疗救助对象未参保的，需核减应由居民医保基金支付的基本医疗保险、大病保险费用，剩余部分按规定纳入医疗救助支付范围。</w:t>
      </w:r>
    </w:p>
    <w:p>
      <w:pPr>
        <w:keepNext w:val="0"/>
        <w:keepLines w:val="0"/>
        <w:pageBreakBefore w:val="0"/>
        <w:kinsoku/>
        <w:wordWrap/>
        <w:overflowPunct/>
        <w:topLinePunct w:val="0"/>
        <w:autoSpaceDE/>
        <w:autoSpaceDN/>
        <w:bidi w:val="0"/>
        <w:adjustRightInd/>
        <w:snapToGrid/>
        <w:spacing w:afterAutospacing="0" w:line="560" w:lineRule="exact"/>
        <w:ind w:firstLine="640" w:firstLineChars="200"/>
        <w:jc w:val="both"/>
        <w:textAlignment w:val="auto"/>
        <w:rPr>
          <w:rFonts w:hint="eastAsia" w:ascii="仿宋_GB2312" w:hAnsi="仿宋_GB2312" w:eastAsia="仿宋_GB2312" w:cs="仿宋_GB2312"/>
          <w:color w:val="auto"/>
          <w:kern w:val="2"/>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
        </w:rPr>
        <w:t>2.追溯费用涉及跨年度（两个年度均有医疗费用），追溯期间的医疗费用应合并设置一个起付金、最高支付限额，待遇标准按照出院的医保年度待遇执行。</w:t>
      </w:r>
    </w:p>
    <w:p>
      <w:pPr>
        <w:keepNext w:val="0"/>
        <w:keepLines w:val="0"/>
        <w:pageBreakBefore w:val="0"/>
        <w:kinsoku/>
        <w:wordWrap/>
        <w:overflowPunct/>
        <w:topLinePunct w:val="0"/>
        <w:autoSpaceDE/>
        <w:autoSpaceDN/>
        <w:bidi w:val="0"/>
        <w:adjustRightInd/>
        <w:snapToGrid/>
        <w:spacing w:afterAutospacing="0"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
        </w:rPr>
      </w:pPr>
      <w:r>
        <w:rPr>
          <w:rFonts w:hint="eastAsia" w:ascii="Times New Roman" w:hAnsi="Times New Roman" w:eastAsia="仿宋_GB2312" w:cs="Times New Roman"/>
          <w:color w:val="auto"/>
          <w:kern w:val="2"/>
          <w:sz w:val="32"/>
          <w:szCs w:val="32"/>
          <w:highlight w:val="none"/>
          <w:lang w:val="en-US" w:eastAsia="zh-CN" w:bidi="ar"/>
        </w:rPr>
        <w:t>3.追溯费用不涉及跨年度（仅追溯认定当年费用），支出型困难家庭资格认定之日前12个月的费用和身份存续期当年度的费用合并设置一个起付金和最高支付限额。</w:t>
      </w:r>
    </w:p>
    <w:p>
      <w:pPr>
        <w:pageBreakBefore w:val="0"/>
        <w:kinsoku/>
        <w:wordWrap/>
        <w:overflowPunct/>
        <w:topLinePunct w:val="0"/>
        <w:bidi w:val="0"/>
        <w:spacing w:line="560" w:lineRule="exact"/>
        <w:ind w:firstLine="640" w:firstLineChars="200"/>
        <w:jc w:val="both"/>
        <w:textAlignment w:val="auto"/>
        <w:rPr>
          <w:rFonts w:hint="eastAsia" w:ascii="Times New Roman" w:hAnsi="Times New Roman" w:eastAsia="仿宋_GB2312" w:cs="Times New Roman"/>
          <w:color w:val="auto"/>
          <w:kern w:val="2"/>
          <w:sz w:val="32"/>
          <w:szCs w:val="32"/>
          <w:highlight w:val="none"/>
          <w:u w:val="none"/>
          <w:lang w:val="en-US" w:eastAsia="zh-CN" w:bidi="ar"/>
        </w:rPr>
      </w:pPr>
      <w:r>
        <w:rPr>
          <w:rFonts w:hint="eastAsia" w:ascii="楷体" w:hAnsi="楷体" w:eastAsia="楷体" w:cs="楷体"/>
          <w:b w:val="0"/>
          <w:bCs w:val="0"/>
          <w:color w:val="auto"/>
          <w:kern w:val="2"/>
          <w:sz w:val="32"/>
          <w:szCs w:val="32"/>
          <w:highlight w:val="none"/>
          <w:lang w:val="en-US" w:eastAsia="zh-CN" w:bidi="ar"/>
        </w:rPr>
        <w:t>（四）“两病”儿童救助结算。</w:t>
      </w:r>
      <w:r>
        <w:rPr>
          <w:rFonts w:hint="eastAsia" w:ascii="楷体" w:hAnsi="楷体" w:eastAsia="楷体" w:cs="楷体"/>
          <w:b w:val="0"/>
          <w:bCs w:val="0"/>
          <w:color w:val="auto"/>
          <w:kern w:val="2"/>
          <w:sz w:val="32"/>
          <w:szCs w:val="32"/>
          <w:highlight w:val="none"/>
          <w:u w:val="none"/>
          <w:lang w:val="en-US" w:eastAsia="zh-CN" w:bidi="ar"/>
        </w:rPr>
        <w:t xml:space="preserve"> </w:t>
      </w:r>
      <w:r>
        <w:rPr>
          <w:rFonts w:hint="eastAsia" w:ascii="Times New Roman" w:hAnsi="Times New Roman" w:eastAsia="仿宋_GB2312" w:cs="Times New Roman"/>
          <w:color w:val="auto"/>
          <w:kern w:val="2"/>
          <w:sz w:val="32"/>
          <w:szCs w:val="32"/>
          <w:highlight w:val="none"/>
          <w:u w:val="none"/>
          <w:lang w:val="en-US" w:eastAsia="zh-CN" w:bidi="ar"/>
        </w:rPr>
        <w:t>0至14周岁（含14周岁）患白血病、先天性心脏病的参保儿童，在市内定点医疗机构住院发生的治疗白血病、先天性心脏病对应病种的医疗费用，实行基本医疗保险、大病保险、医疗救助（含倾斜救助）“一站式”结算。</w:t>
      </w:r>
    </w:p>
    <w:p>
      <w:pPr>
        <w:pageBreakBefore w:val="0"/>
        <w:kinsoku/>
        <w:wordWrap/>
        <w:overflowPunct/>
        <w:topLinePunct w:val="0"/>
        <w:bidi w:val="0"/>
        <w:spacing w:line="560" w:lineRule="exact"/>
        <w:ind w:firstLine="640" w:firstLineChars="200"/>
        <w:jc w:val="both"/>
        <w:textAlignment w:val="auto"/>
        <w:rPr>
          <w:rFonts w:hint="eastAsia" w:ascii="Times New Roman" w:hAnsi="Times New Roman" w:eastAsia="仿宋_GB2312" w:cs="Times New Roman"/>
          <w:color w:val="auto"/>
          <w:kern w:val="2"/>
          <w:sz w:val="32"/>
          <w:szCs w:val="32"/>
          <w:highlight w:val="none"/>
          <w:lang w:val="en-US" w:eastAsia="zh-CN" w:bidi="ar"/>
        </w:rPr>
      </w:pPr>
      <w:r>
        <w:rPr>
          <w:rFonts w:hint="eastAsia" w:ascii="Times New Roman" w:hAnsi="Times New Roman" w:eastAsia="黑体" w:cs="仿宋_GB2312"/>
          <w:bCs/>
          <w:color w:val="auto"/>
          <w:kern w:val="21"/>
          <w:sz w:val="32"/>
          <w:szCs w:val="32"/>
          <w:highlight w:val="none"/>
          <w:lang w:val="en-US" w:eastAsia="zh-CN"/>
        </w:rPr>
        <w:t>第十三条【协议管理】</w:t>
      </w:r>
      <w:r>
        <w:rPr>
          <w:rFonts w:hint="eastAsia" w:ascii="Times New Roman" w:hAnsi="Times New Roman" w:eastAsia="仿宋_GB2312" w:cs="Times New Roman"/>
          <w:color w:val="auto"/>
          <w:kern w:val="2"/>
          <w:sz w:val="32"/>
          <w:szCs w:val="32"/>
          <w:highlight w:val="none"/>
          <w:lang w:val="en-US" w:eastAsia="zh-CN" w:bidi="ar"/>
        </w:rPr>
        <w:t>医保中心应当加强定点医疗机构协议管理，完善协议文本，明确要求定点医疗机构落实“先诊疗后付费”，强化其费用管控主体责任。</w:t>
      </w:r>
    </w:p>
    <w:p>
      <w:pPr>
        <w:pageBreakBefore w:val="0"/>
        <w:kinsoku/>
        <w:wordWrap/>
        <w:overflowPunct/>
        <w:topLinePunct w:val="0"/>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
        </w:rPr>
      </w:pPr>
    </w:p>
    <w:p>
      <w:pPr>
        <w:pageBreakBefore w:val="0"/>
        <w:numPr>
          <w:ilvl w:val="0"/>
          <w:numId w:val="0"/>
        </w:numPr>
        <w:kinsoku/>
        <w:wordWrap/>
        <w:overflowPunct/>
        <w:topLinePunct w:val="0"/>
        <w:bidi w:val="0"/>
        <w:spacing w:line="560" w:lineRule="exact"/>
        <w:ind w:leftChars="0"/>
        <w:jc w:val="center"/>
        <w:textAlignment w:val="auto"/>
        <w:rPr>
          <w:rFonts w:hint="eastAsia" w:ascii="Times New Roman" w:hAnsi="Times New Roman" w:eastAsia="黑体" w:cs="黑体"/>
          <w:b w:val="0"/>
          <w:bCs w:val="0"/>
          <w:color w:val="auto"/>
          <w:kern w:val="44"/>
          <w:sz w:val="32"/>
          <w:szCs w:val="32"/>
          <w:highlight w:val="none"/>
          <w:lang w:val="en-US" w:eastAsia="zh-CN" w:bidi="ar-SA"/>
        </w:rPr>
      </w:pPr>
      <w:r>
        <w:rPr>
          <w:rFonts w:hint="eastAsia" w:ascii="Times New Roman" w:hAnsi="Times New Roman" w:eastAsia="黑体" w:cs="黑体"/>
          <w:b w:val="0"/>
          <w:bCs w:val="0"/>
          <w:color w:val="auto"/>
          <w:kern w:val="44"/>
          <w:sz w:val="32"/>
          <w:szCs w:val="32"/>
          <w:highlight w:val="none"/>
          <w:lang w:val="en-US" w:eastAsia="zh-CN" w:bidi="ar-SA"/>
        </w:rPr>
        <w:t>第四章 基金财务管理</w:t>
      </w:r>
    </w:p>
    <w:p>
      <w:pPr>
        <w:pageBreakBefore w:val="0"/>
        <w:kinsoku/>
        <w:wordWrap/>
        <w:overflowPunct/>
        <w:topLinePunct w:val="0"/>
        <w:bidi w:val="0"/>
        <w:spacing w:line="560" w:lineRule="exact"/>
        <w:ind w:firstLine="640" w:firstLineChars="200"/>
        <w:jc w:val="both"/>
        <w:textAlignment w:val="auto"/>
        <w:rPr>
          <w:rFonts w:hint="eastAsia" w:ascii="Times New Roman" w:hAnsi="Times New Roman" w:eastAsia="仿宋_GB2312" w:cs="Times New Roman"/>
          <w:color w:val="auto"/>
          <w:kern w:val="2"/>
          <w:sz w:val="32"/>
          <w:szCs w:val="32"/>
          <w:highlight w:val="none"/>
          <w:lang w:val="en-US" w:eastAsia="zh-CN" w:bidi="ar"/>
        </w:rPr>
      </w:pPr>
      <w:r>
        <w:rPr>
          <w:rFonts w:hint="eastAsia" w:ascii="Times New Roman" w:hAnsi="Times New Roman" w:eastAsia="黑体" w:cs="仿宋_GB2312"/>
          <w:bCs/>
          <w:color w:val="auto"/>
          <w:kern w:val="21"/>
          <w:sz w:val="32"/>
          <w:szCs w:val="32"/>
          <w:highlight w:val="none"/>
        </w:rPr>
        <w:t>第</w:t>
      </w:r>
      <w:r>
        <w:rPr>
          <w:rFonts w:hint="eastAsia" w:ascii="Times New Roman" w:hAnsi="Times New Roman" w:eastAsia="黑体" w:cs="仿宋_GB2312"/>
          <w:bCs/>
          <w:color w:val="auto"/>
          <w:kern w:val="21"/>
          <w:sz w:val="32"/>
          <w:szCs w:val="32"/>
          <w:highlight w:val="none"/>
          <w:lang w:val="en-US" w:eastAsia="zh-CN"/>
        </w:rPr>
        <w:t>十四</w:t>
      </w:r>
      <w:r>
        <w:rPr>
          <w:rFonts w:hint="eastAsia" w:ascii="Times New Roman" w:hAnsi="Times New Roman" w:eastAsia="黑体" w:cs="仿宋_GB2312"/>
          <w:bCs/>
          <w:color w:val="auto"/>
          <w:kern w:val="21"/>
          <w:sz w:val="32"/>
          <w:szCs w:val="32"/>
          <w:highlight w:val="none"/>
        </w:rPr>
        <w:t>条</w:t>
      </w:r>
      <w:r>
        <w:rPr>
          <w:rFonts w:hint="eastAsia" w:ascii="Times New Roman" w:hAnsi="Times New Roman" w:eastAsia="黑体" w:cs="黑体"/>
          <w:b w:val="0"/>
          <w:bCs/>
          <w:color w:val="auto"/>
          <w:sz w:val="32"/>
          <w:szCs w:val="32"/>
          <w:highlight w:val="none"/>
        </w:rPr>
        <w:t>【</w:t>
      </w:r>
      <w:r>
        <w:rPr>
          <w:rFonts w:hint="eastAsia" w:ascii="Times New Roman" w:hAnsi="Times New Roman" w:eastAsia="黑体" w:cs="黑体"/>
          <w:b w:val="0"/>
          <w:bCs/>
          <w:color w:val="auto"/>
          <w:sz w:val="32"/>
          <w:szCs w:val="32"/>
          <w:highlight w:val="none"/>
          <w:lang w:val="en-US" w:eastAsia="zh-CN"/>
        </w:rPr>
        <w:t>建账管理</w:t>
      </w:r>
      <w:r>
        <w:rPr>
          <w:rFonts w:hint="eastAsia" w:ascii="Times New Roman" w:hAnsi="Times New Roman" w:eastAsia="黑体" w:cs="黑体"/>
          <w:b w:val="0"/>
          <w:bCs/>
          <w:color w:val="auto"/>
          <w:sz w:val="32"/>
          <w:szCs w:val="32"/>
          <w:highlight w:val="none"/>
          <w:lang w:eastAsia="zh-CN"/>
        </w:rPr>
        <w:t>】</w:t>
      </w:r>
      <w:r>
        <w:rPr>
          <w:rFonts w:hint="eastAsia" w:ascii="Times New Roman" w:hAnsi="Times New Roman" w:eastAsia="仿宋_GB2312" w:cs="Times New Roman"/>
          <w:color w:val="auto"/>
          <w:kern w:val="2"/>
          <w:sz w:val="32"/>
          <w:szCs w:val="32"/>
          <w:highlight w:val="none"/>
          <w:lang w:val="en-US" w:eastAsia="zh-CN" w:bidi="ar"/>
        </w:rPr>
        <w:t>医疗救助基金纳入市级社会保障基金财政专户（以下简称“财政专户”）管理，各级经办机构单独设立医疗救助基金支出户，实行专账核算、专项管理、专款专用、统收统支。各级经办机构应做好医疗救助基金建账和记账工作。</w:t>
      </w:r>
    </w:p>
    <w:p>
      <w:pPr>
        <w:pStyle w:val="10"/>
        <w:pageBreakBefore w:val="0"/>
        <w:kinsoku/>
        <w:wordWrap/>
        <w:overflowPunct/>
        <w:topLinePunct w:val="0"/>
        <w:bidi w:val="0"/>
        <w:spacing w:line="560" w:lineRule="exact"/>
        <w:ind w:firstLine="640" w:firstLineChars="200"/>
        <w:jc w:val="both"/>
        <w:textAlignment w:val="auto"/>
        <w:rPr>
          <w:rFonts w:hint="eastAsia" w:ascii="Times New Roman" w:hAnsi="Times New Roman" w:eastAsia="仿宋_GB2312" w:cs="Times New Roman"/>
          <w:color w:val="auto"/>
          <w:kern w:val="2"/>
          <w:sz w:val="32"/>
          <w:szCs w:val="32"/>
          <w:highlight w:val="none"/>
          <w:lang w:val="en-US" w:eastAsia="zh-CN" w:bidi="ar"/>
        </w:rPr>
      </w:pPr>
      <w:r>
        <w:rPr>
          <w:rFonts w:hint="eastAsia" w:ascii="Times New Roman" w:hAnsi="Times New Roman" w:eastAsia="黑体" w:cs="黑体"/>
          <w:b w:val="0"/>
          <w:bCs/>
          <w:color w:val="auto"/>
          <w:kern w:val="2"/>
          <w:sz w:val="32"/>
          <w:szCs w:val="32"/>
          <w:highlight w:val="none"/>
          <w:lang w:val="en-US" w:eastAsia="zh-CN" w:bidi="ar-SA"/>
        </w:rPr>
        <w:t>第十五条【核算基础】</w:t>
      </w:r>
      <w:r>
        <w:rPr>
          <w:rFonts w:hint="eastAsia" w:ascii="Times New Roman" w:hAnsi="Times New Roman" w:eastAsia="仿宋_GB2312" w:cs="Times New Roman"/>
          <w:color w:val="auto"/>
          <w:kern w:val="2"/>
          <w:sz w:val="32"/>
          <w:szCs w:val="32"/>
          <w:highlight w:val="none"/>
          <w:lang w:val="en-US" w:eastAsia="zh-CN" w:bidi="ar"/>
        </w:rPr>
        <w:t>医疗救助基金会计核算采用收付实现制，会计记账采用借贷记账法，会计期间采用公历制起讫日期。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黑体" w:cs="黑体"/>
          <w:b w:val="0"/>
          <w:bCs/>
          <w:color w:val="auto"/>
          <w:sz w:val="32"/>
          <w:szCs w:val="32"/>
          <w:highlight w:val="none"/>
          <w:lang w:eastAsia="zh-CN"/>
        </w:rPr>
      </w:pPr>
      <w:r>
        <w:rPr>
          <w:rFonts w:hint="eastAsia" w:ascii="Times New Roman" w:hAnsi="Times New Roman" w:eastAsia="黑体" w:cs="黑体"/>
          <w:b w:val="0"/>
          <w:bCs/>
          <w:color w:val="auto"/>
          <w:sz w:val="32"/>
          <w:szCs w:val="32"/>
          <w:highlight w:val="none"/>
          <w:lang w:val="en-US" w:eastAsia="zh-CN"/>
        </w:rPr>
        <w:t>第十六条</w:t>
      </w:r>
      <w:r>
        <w:rPr>
          <w:rFonts w:hint="eastAsia" w:ascii="Times New Roman" w:hAnsi="Times New Roman" w:eastAsia="黑体" w:cs="黑体"/>
          <w:b w:val="0"/>
          <w:bCs/>
          <w:color w:val="auto"/>
          <w:sz w:val="32"/>
          <w:szCs w:val="32"/>
          <w:highlight w:val="none"/>
        </w:rPr>
        <w:t>【</w:t>
      </w:r>
      <w:r>
        <w:rPr>
          <w:rFonts w:hint="eastAsia" w:ascii="Times New Roman" w:hAnsi="Times New Roman" w:eastAsia="黑体" w:cs="黑体"/>
          <w:b w:val="0"/>
          <w:bCs/>
          <w:color w:val="auto"/>
          <w:sz w:val="32"/>
          <w:szCs w:val="32"/>
          <w:highlight w:val="none"/>
          <w:lang w:val="en-US" w:eastAsia="zh-CN"/>
        </w:rPr>
        <w:t>资助参保资金请款及拨付</w:t>
      </w:r>
      <w:r>
        <w:rPr>
          <w:rFonts w:hint="eastAsia" w:ascii="Times New Roman" w:hAnsi="Times New Roman" w:eastAsia="黑体" w:cs="黑体"/>
          <w:b w:val="0"/>
          <w:bCs/>
          <w:color w:val="auto"/>
          <w:sz w:val="32"/>
          <w:szCs w:val="32"/>
          <w:highlight w:val="none"/>
          <w:lang w:eastAsia="zh-CN"/>
        </w:rPr>
        <w:t>】</w:t>
      </w:r>
    </w:p>
    <w:p>
      <w:pPr>
        <w:pageBreakBefore w:val="0"/>
        <w:kinsoku/>
        <w:wordWrap/>
        <w:overflowPunct/>
        <w:topLinePunct w:val="0"/>
        <w:bidi w:val="0"/>
        <w:spacing w:line="560" w:lineRule="exact"/>
        <w:ind w:firstLine="640" w:firstLineChars="200"/>
        <w:jc w:val="both"/>
        <w:textAlignment w:val="auto"/>
        <w:rPr>
          <w:rFonts w:hint="eastAsia" w:ascii="Times New Roman" w:hAnsi="Times New Roman" w:eastAsia="仿宋_GB2312" w:cs="Times New Roman"/>
          <w:color w:val="auto"/>
          <w:kern w:val="2"/>
          <w:sz w:val="32"/>
          <w:szCs w:val="32"/>
          <w:highlight w:val="none"/>
          <w:lang w:val="en" w:eastAsia="zh-CN" w:bidi="ar"/>
        </w:rPr>
      </w:pPr>
      <w:r>
        <w:rPr>
          <w:rFonts w:hint="eastAsia" w:ascii="Times New Roman" w:hAnsi="Times New Roman" w:eastAsia="仿宋_GB2312" w:cs="Times New Roman"/>
          <w:color w:val="auto"/>
          <w:kern w:val="2"/>
          <w:sz w:val="32"/>
          <w:szCs w:val="32"/>
          <w:highlight w:val="none"/>
          <w:lang w:val="en-US" w:eastAsia="zh-CN" w:bidi="ar"/>
        </w:rPr>
        <w:t>（一）居民医保集中缴费期资助参保。市医保中心于每年9月份，收集汇总各县（市、区）医保中心核准的医疗救助资助参保资金总额，并按资助参保资金总额的90%向市财政部门请拨资助参保资金，资金到账后5个工作日内划拨至承办商业保险机构指定账户。承办商业保险机构应于缴费期结束前将资助参保资金足额划拨至</w:t>
      </w:r>
      <w:r>
        <w:rPr>
          <w:rFonts w:hint="eastAsia" w:ascii="Times New Roman" w:hAnsi="Times New Roman" w:eastAsia="仿宋_GB2312" w:cs="Times New Roman"/>
          <w:color w:val="auto"/>
          <w:kern w:val="2"/>
          <w:sz w:val="32"/>
          <w:szCs w:val="32"/>
          <w:highlight w:val="none"/>
          <w:lang w:val="en" w:eastAsia="zh-CN" w:bidi="ar"/>
        </w:rPr>
        <w:t>市级城乡居民基本医疗保险基金</w:t>
      </w:r>
      <w:r>
        <w:rPr>
          <w:rFonts w:hint="eastAsia" w:ascii="Times New Roman" w:hAnsi="Times New Roman" w:eastAsia="仿宋_GB2312" w:cs="Times New Roman"/>
          <w:color w:val="auto"/>
          <w:kern w:val="2"/>
          <w:sz w:val="32"/>
          <w:szCs w:val="32"/>
          <w:highlight w:val="none"/>
          <w:lang w:val="en-US" w:eastAsia="zh-CN" w:bidi="ar"/>
        </w:rPr>
        <w:t>财政</w:t>
      </w:r>
      <w:r>
        <w:rPr>
          <w:rFonts w:hint="eastAsia" w:ascii="Times New Roman" w:hAnsi="Times New Roman" w:eastAsia="仿宋_GB2312" w:cs="Times New Roman"/>
          <w:color w:val="auto"/>
          <w:kern w:val="2"/>
          <w:sz w:val="32"/>
          <w:szCs w:val="32"/>
          <w:highlight w:val="none"/>
          <w:lang w:val="en" w:eastAsia="zh-CN" w:bidi="ar"/>
        </w:rPr>
        <w:t>专户。</w:t>
      </w:r>
    </w:p>
    <w:p>
      <w:pPr>
        <w:pageBreakBefore w:val="0"/>
        <w:kinsoku/>
        <w:wordWrap/>
        <w:overflowPunct/>
        <w:topLinePunct w:val="0"/>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
        </w:rPr>
      </w:pPr>
      <w:r>
        <w:rPr>
          <w:rFonts w:hint="eastAsia" w:ascii="Times New Roman" w:hAnsi="Times New Roman" w:eastAsia="仿宋_GB2312" w:cs="Times New Roman"/>
          <w:color w:val="auto"/>
          <w:kern w:val="2"/>
          <w:sz w:val="32"/>
          <w:szCs w:val="32"/>
          <w:highlight w:val="none"/>
          <w:lang w:val="en-US" w:eastAsia="zh-CN" w:bidi="ar"/>
        </w:rPr>
        <w:t>（二）中途新增资助参保。对居民医保集中缴费期外中途新增的资助参保对象，承办商业保险机构应在收到名单的10个工作日内将</w:t>
      </w:r>
      <w:r>
        <w:rPr>
          <w:rFonts w:hint="default" w:ascii="Times New Roman" w:hAnsi="Times New Roman" w:eastAsia="仿宋_GB2312" w:cs="Times New Roman"/>
          <w:color w:val="auto"/>
          <w:kern w:val="2"/>
          <w:sz w:val="32"/>
          <w:szCs w:val="32"/>
          <w:highlight w:val="none"/>
          <w:lang w:val="en-US" w:eastAsia="zh-CN" w:bidi="ar"/>
        </w:rPr>
        <w:t>资助参保资金划拨至市级城乡居民基本医疗保险基金财政专户，并配合做好资金到账确认工作。</w:t>
      </w:r>
    </w:p>
    <w:p>
      <w:pPr>
        <w:pageBreakBefore w:val="0"/>
        <w:kinsoku/>
        <w:wordWrap/>
        <w:overflowPunct/>
        <w:topLinePunct w:val="0"/>
        <w:bidi w:val="0"/>
        <w:spacing w:line="560" w:lineRule="exact"/>
        <w:ind w:firstLine="640" w:firstLineChars="200"/>
        <w:jc w:val="both"/>
        <w:textAlignment w:val="auto"/>
        <w:rPr>
          <w:rFonts w:hint="eastAsia" w:ascii="Times New Roman" w:hAnsi="Times New Roman" w:eastAsia="仿宋_GB2312" w:cs="Times New Roman"/>
          <w:color w:val="auto"/>
          <w:kern w:val="2"/>
          <w:sz w:val="32"/>
          <w:szCs w:val="32"/>
          <w:highlight w:val="none"/>
          <w:lang w:val="en-US" w:eastAsia="zh-CN" w:bidi="ar"/>
        </w:rPr>
      </w:pPr>
      <w:r>
        <w:rPr>
          <w:rFonts w:hint="eastAsia" w:ascii="Times New Roman" w:hAnsi="Times New Roman" w:eastAsia="黑体" w:cs="黑体"/>
          <w:b w:val="0"/>
          <w:bCs/>
          <w:color w:val="auto"/>
          <w:sz w:val="32"/>
          <w:szCs w:val="32"/>
          <w:highlight w:val="none"/>
          <w:lang w:val="en-US" w:eastAsia="zh-CN"/>
        </w:rPr>
        <w:t>第十七条【资助参保资金划拨清算】</w:t>
      </w:r>
      <w:r>
        <w:rPr>
          <w:rFonts w:hint="eastAsia" w:ascii="Times New Roman" w:hAnsi="Times New Roman" w:eastAsia="仿宋_GB2312" w:cs="Times New Roman"/>
          <w:color w:val="auto"/>
          <w:kern w:val="2"/>
          <w:sz w:val="32"/>
          <w:szCs w:val="32"/>
          <w:highlight w:val="none"/>
          <w:lang w:val="en-US" w:eastAsia="zh-CN" w:bidi="ar"/>
        </w:rPr>
        <w:t>市医保中心于每年8月底前完成上一年度资助参保资金的清算工作，清算时按实际支出结算。清算后，如预拨资金小于清算资金的，应于清算后1个月内完成差额资金的划拨工作；如预拨资金大于清算资金的，超出部分用于抵减下一年度的预拨保费。</w:t>
      </w:r>
    </w:p>
    <w:p>
      <w:pPr>
        <w:pageBreakBefore w:val="0"/>
        <w:kinsoku/>
        <w:wordWrap/>
        <w:overflowPunct/>
        <w:topLinePunct w:val="0"/>
        <w:bidi w:val="0"/>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
        </w:rPr>
      </w:pPr>
      <w:r>
        <w:rPr>
          <w:rFonts w:hint="eastAsia" w:ascii="Times New Roman" w:hAnsi="Times New Roman" w:eastAsia="黑体" w:cs="黑体"/>
          <w:b w:val="0"/>
          <w:bCs/>
          <w:color w:val="auto"/>
          <w:sz w:val="32"/>
          <w:szCs w:val="32"/>
          <w:highlight w:val="none"/>
          <w:lang w:val="en-US" w:eastAsia="zh-CN"/>
        </w:rPr>
        <w:t>第十八条【费用救助保费划拨清算】</w:t>
      </w:r>
      <w:r>
        <w:rPr>
          <w:rFonts w:hint="eastAsia" w:ascii="Times New Roman" w:hAnsi="Times New Roman" w:eastAsia="仿宋_GB2312" w:cs="Times New Roman"/>
          <w:color w:val="auto"/>
          <w:kern w:val="2"/>
          <w:sz w:val="32"/>
          <w:szCs w:val="32"/>
          <w:highlight w:val="none"/>
          <w:lang w:val="en-US" w:eastAsia="zh-CN" w:bidi="ar"/>
        </w:rPr>
        <w:t>市医保中心按照上年度医疗救助实际报销总额确定医疗费用救助保费预算总额，并按照预算总额的一定比例划拨保费。于每年4月划拨50%、7月划拨40%，次年6月底前进行保费清算，清算时按实结算，确保收支平衡，清算完毕后1个月完成剩余保费的划拨。</w:t>
      </w:r>
    </w:p>
    <w:p>
      <w:pPr>
        <w:pageBreakBefore w:val="0"/>
        <w:kinsoku/>
        <w:wordWrap/>
        <w:overflowPunct/>
        <w:topLinePunct w:val="0"/>
        <w:bidi w:val="0"/>
        <w:spacing w:line="560" w:lineRule="exact"/>
        <w:ind w:firstLine="640" w:firstLineChars="200"/>
        <w:textAlignment w:val="auto"/>
        <w:rPr>
          <w:rFonts w:hint="eastAsia" w:ascii="Times New Roman" w:hAnsi="Times New Roman" w:eastAsia="仿宋_GB2312" w:cs="Times New Roman"/>
          <w:color w:val="auto"/>
          <w:kern w:val="2"/>
          <w:sz w:val="32"/>
          <w:szCs w:val="32"/>
          <w:highlight w:val="none"/>
          <w:lang w:val="en-US" w:eastAsia="zh-CN" w:bidi="ar"/>
        </w:rPr>
      </w:pPr>
      <w:r>
        <w:rPr>
          <w:rFonts w:hint="eastAsia" w:ascii="Times New Roman" w:hAnsi="Times New Roman" w:eastAsia="黑体" w:cs="仿宋_GB2312"/>
          <w:bCs/>
          <w:color w:val="auto"/>
          <w:kern w:val="21"/>
          <w:sz w:val="32"/>
          <w:szCs w:val="32"/>
          <w:highlight w:val="none"/>
        </w:rPr>
        <w:t>第</w:t>
      </w:r>
      <w:r>
        <w:rPr>
          <w:rFonts w:hint="eastAsia" w:ascii="Times New Roman" w:hAnsi="Times New Roman" w:eastAsia="黑体" w:cs="仿宋_GB2312"/>
          <w:bCs/>
          <w:color w:val="auto"/>
          <w:kern w:val="21"/>
          <w:sz w:val="32"/>
          <w:szCs w:val="32"/>
          <w:highlight w:val="none"/>
          <w:lang w:val="en-US" w:eastAsia="zh-CN"/>
        </w:rPr>
        <w:t>十九</w:t>
      </w:r>
      <w:r>
        <w:rPr>
          <w:rFonts w:hint="eastAsia" w:ascii="Times New Roman" w:hAnsi="Times New Roman" w:eastAsia="黑体" w:cs="仿宋_GB2312"/>
          <w:bCs/>
          <w:color w:val="auto"/>
          <w:kern w:val="21"/>
          <w:sz w:val="32"/>
          <w:szCs w:val="32"/>
          <w:highlight w:val="none"/>
        </w:rPr>
        <w:t>条</w:t>
      </w:r>
      <w:r>
        <w:rPr>
          <w:rFonts w:hint="eastAsia" w:ascii="Times New Roman" w:hAnsi="Times New Roman" w:eastAsia="黑体" w:cs="黑体"/>
          <w:b w:val="0"/>
          <w:bCs/>
          <w:color w:val="auto"/>
          <w:sz w:val="32"/>
          <w:szCs w:val="32"/>
          <w:highlight w:val="none"/>
        </w:rPr>
        <w:t>【</w:t>
      </w:r>
      <w:r>
        <w:rPr>
          <w:rFonts w:hint="eastAsia" w:ascii="Times New Roman" w:hAnsi="Times New Roman" w:eastAsia="黑体" w:cs="黑体"/>
          <w:b w:val="0"/>
          <w:bCs/>
          <w:color w:val="auto"/>
          <w:sz w:val="32"/>
          <w:szCs w:val="32"/>
          <w:highlight w:val="none"/>
          <w:lang w:val="en-US" w:eastAsia="zh-CN"/>
        </w:rPr>
        <w:t>周转金管理</w:t>
      </w:r>
      <w:r>
        <w:rPr>
          <w:rFonts w:hint="eastAsia" w:ascii="Times New Roman" w:hAnsi="Times New Roman" w:eastAsia="黑体" w:cs="黑体"/>
          <w:b w:val="0"/>
          <w:bCs/>
          <w:color w:val="auto"/>
          <w:sz w:val="32"/>
          <w:szCs w:val="32"/>
          <w:highlight w:val="none"/>
          <w:lang w:eastAsia="zh-CN"/>
        </w:rPr>
        <w:t>】</w:t>
      </w:r>
      <w:r>
        <w:rPr>
          <w:rFonts w:hint="eastAsia" w:ascii="Times New Roman" w:hAnsi="Times New Roman" w:eastAsia="仿宋_GB2312" w:cs="Times New Roman"/>
          <w:color w:val="auto"/>
          <w:kern w:val="2"/>
          <w:sz w:val="32"/>
          <w:szCs w:val="32"/>
          <w:highlight w:val="none"/>
          <w:lang w:val="en-US" w:eastAsia="zh-CN" w:bidi="ar"/>
        </w:rPr>
        <w:t>建立医疗救助周转金制度。承保商业保险机构应按规定拨付异地就医联网结算和手工报销周转金至市医保中心。市医保中心按规定将手工报销周转金拨付至各县（市、区）医保中心，将异地就医联网结算周转金拨付至广东省医疗保障局异地就医结算账户。</w:t>
      </w:r>
    </w:p>
    <w:p>
      <w:pPr>
        <w:pageBreakBefore w:val="0"/>
        <w:kinsoku/>
        <w:wordWrap/>
        <w:overflowPunct/>
        <w:topLinePunct w:val="0"/>
        <w:bidi w:val="0"/>
        <w:spacing w:line="560" w:lineRule="exact"/>
        <w:ind w:firstLine="640" w:firstLineChars="200"/>
        <w:textAlignment w:val="auto"/>
        <w:rPr>
          <w:rFonts w:hint="eastAsia" w:ascii="Times New Roman" w:hAnsi="Times New Roman" w:eastAsia="仿宋_GB2312" w:cs="Times New Roman"/>
          <w:color w:val="auto"/>
          <w:kern w:val="2"/>
          <w:sz w:val="32"/>
          <w:szCs w:val="32"/>
          <w:highlight w:val="none"/>
          <w:lang w:val="en-US" w:eastAsia="zh-CN" w:bidi="ar"/>
        </w:rPr>
      </w:pPr>
    </w:p>
    <w:p>
      <w:pPr>
        <w:pageBreakBefore w:val="0"/>
        <w:numPr>
          <w:ilvl w:val="0"/>
          <w:numId w:val="0"/>
        </w:numPr>
        <w:kinsoku/>
        <w:wordWrap/>
        <w:overflowPunct/>
        <w:topLinePunct w:val="0"/>
        <w:bidi w:val="0"/>
        <w:spacing w:line="560" w:lineRule="exact"/>
        <w:ind w:leftChars="0"/>
        <w:jc w:val="center"/>
        <w:textAlignment w:val="auto"/>
        <w:rPr>
          <w:rFonts w:hint="eastAsia" w:ascii="Times New Roman" w:hAnsi="Times New Roman" w:eastAsia="黑体" w:cs="黑体"/>
          <w:b w:val="0"/>
          <w:bCs w:val="0"/>
          <w:color w:val="auto"/>
          <w:kern w:val="44"/>
          <w:sz w:val="32"/>
          <w:szCs w:val="32"/>
          <w:highlight w:val="none"/>
          <w:lang w:val="en-US" w:eastAsia="zh-CN" w:bidi="ar-SA"/>
        </w:rPr>
      </w:pPr>
      <w:r>
        <w:rPr>
          <w:rFonts w:hint="eastAsia" w:ascii="Times New Roman" w:hAnsi="Times New Roman" w:eastAsia="黑体" w:cs="黑体"/>
          <w:b w:val="0"/>
          <w:bCs w:val="0"/>
          <w:color w:val="auto"/>
          <w:kern w:val="44"/>
          <w:sz w:val="32"/>
          <w:szCs w:val="32"/>
          <w:highlight w:val="none"/>
          <w:lang w:val="en-US" w:eastAsia="zh-CN" w:bidi="ar-SA"/>
        </w:rPr>
        <w:t>第五章  核查管理</w:t>
      </w:r>
    </w:p>
    <w:p>
      <w:pPr>
        <w:pageBreakBefore w:val="0"/>
        <w:kinsoku/>
        <w:wordWrap/>
        <w:overflowPunct/>
        <w:topLinePunct w:val="0"/>
        <w:bidi w:val="0"/>
        <w:spacing w:beforeLines="0" w:afterLines="0" w:afterAutospacing="0" w:line="560" w:lineRule="exact"/>
        <w:ind w:firstLine="640" w:firstLineChars="200"/>
        <w:jc w:val="both"/>
        <w:textAlignment w:val="auto"/>
        <w:rPr>
          <w:rFonts w:hint="eastAsia" w:ascii="Times New Roman" w:hAnsi="Times New Roman" w:eastAsia="仿宋_GB2312" w:cs="Times New Roman"/>
          <w:b w:val="0"/>
          <w:bCs w:val="0"/>
          <w:i w:val="0"/>
          <w:iCs w:val="0"/>
          <w:color w:val="auto"/>
          <w:kern w:val="2"/>
          <w:sz w:val="32"/>
          <w:szCs w:val="32"/>
          <w:highlight w:val="none"/>
          <w:u w:val="none"/>
          <w:lang w:val="en-US" w:eastAsia="zh-CN" w:bidi="ar"/>
        </w:rPr>
      </w:pPr>
      <w:bookmarkStart w:id="1" w:name="_Toc18181_WPSOffice_Level2"/>
      <w:r>
        <w:rPr>
          <w:rFonts w:hint="eastAsia" w:ascii="Times New Roman" w:hAnsi="Times New Roman" w:eastAsia="黑体" w:cs="仿宋_GB2312"/>
          <w:bCs/>
          <w:i w:val="0"/>
          <w:iCs w:val="0"/>
          <w:color w:val="auto"/>
          <w:kern w:val="21"/>
          <w:sz w:val="32"/>
          <w:szCs w:val="32"/>
          <w:highlight w:val="none"/>
          <w:u w:val="none"/>
        </w:rPr>
        <w:t>第</w:t>
      </w:r>
      <w:r>
        <w:rPr>
          <w:rFonts w:hint="eastAsia" w:ascii="Times New Roman" w:hAnsi="Times New Roman" w:eastAsia="黑体" w:cs="仿宋_GB2312"/>
          <w:bCs/>
          <w:i w:val="0"/>
          <w:iCs w:val="0"/>
          <w:color w:val="auto"/>
          <w:kern w:val="21"/>
          <w:sz w:val="32"/>
          <w:szCs w:val="32"/>
          <w:highlight w:val="none"/>
          <w:u w:val="none"/>
          <w:lang w:val="en-US" w:eastAsia="zh-CN"/>
        </w:rPr>
        <w:t>二十</w:t>
      </w:r>
      <w:r>
        <w:rPr>
          <w:rFonts w:hint="eastAsia" w:ascii="Times New Roman" w:hAnsi="Times New Roman" w:eastAsia="黑体" w:cs="仿宋_GB2312"/>
          <w:bCs/>
          <w:i w:val="0"/>
          <w:iCs w:val="0"/>
          <w:color w:val="auto"/>
          <w:kern w:val="21"/>
          <w:sz w:val="32"/>
          <w:szCs w:val="32"/>
          <w:highlight w:val="none"/>
          <w:u w:val="none"/>
        </w:rPr>
        <w:t>条</w:t>
      </w:r>
      <w:r>
        <w:rPr>
          <w:rFonts w:hint="eastAsia" w:ascii="Times New Roman" w:hAnsi="Times New Roman" w:eastAsia="黑体" w:cs="黑体"/>
          <w:b w:val="0"/>
          <w:bCs w:val="0"/>
          <w:color w:val="auto"/>
          <w:kern w:val="21"/>
          <w:sz w:val="32"/>
          <w:szCs w:val="32"/>
          <w:highlight w:val="none"/>
          <w:lang w:eastAsia="zh-CN"/>
        </w:rPr>
        <w:t>【参保核查】</w:t>
      </w:r>
      <w:r>
        <w:rPr>
          <w:rFonts w:hint="eastAsia" w:ascii="Times New Roman" w:hAnsi="Times New Roman" w:eastAsia="仿宋_GB2312" w:cs="仿宋_GB2312"/>
          <w:b w:val="0"/>
          <w:bCs w:val="0"/>
          <w:color w:val="auto"/>
          <w:kern w:val="21"/>
          <w:sz w:val="32"/>
          <w:szCs w:val="32"/>
          <w:highlight w:val="none"/>
          <w:lang w:val="en-US" w:eastAsia="zh-CN"/>
        </w:rPr>
        <w:t>各县（市、区）医保中心</w:t>
      </w:r>
      <w:r>
        <w:rPr>
          <w:rFonts w:hint="eastAsia" w:ascii="Times New Roman" w:hAnsi="Times New Roman" w:eastAsia="仿宋_GB2312" w:cs="仿宋_GB2312"/>
          <w:b w:val="0"/>
          <w:bCs w:val="0"/>
          <w:color w:val="auto"/>
          <w:kern w:val="21"/>
          <w:sz w:val="32"/>
          <w:szCs w:val="32"/>
          <w:highlight w:val="none"/>
          <w:lang w:eastAsia="zh-CN"/>
        </w:rPr>
        <w:t>应当</w:t>
      </w:r>
      <w:r>
        <w:rPr>
          <w:rFonts w:hint="eastAsia" w:ascii="Times New Roman" w:hAnsi="Times New Roman" w:eastAsia="仿宋_GB2312" w:cs="仿宋_GB2312"/>
          <w:b w:val="0"/>
          <w:bCs w:val="0"/>
          <w:color w:val="auto"/>
          <w:kern w:val="21"/>
          <w:sz w:val="32"/>
          <w:szCs w:val="32"/>
          <w:highlight w:val="none"/>
          <w:lang w:val="en-US" w:eastAsia="zh-CN"/>
        </w:rPr>
        <w:t>定期核查医疗救助对象资助参保情况，发现以下情形之一的，应当及时改正，并按规定做好参保工作</w:t>
      </w:r>
      <w:r>
        <w:rPr>
          <w:rFonts w:hint="eastAsia" w:ascii="Times New Roman" w:hAnsi="Times New Roman" w:eastAsia="仿宋_GB2312" w:cs="仿宋_GB2312"/>
          <w:b w:val="0"/>
          <w:bCs w:val="0"/>
          <w:color w:val="auto"/>
          <w:kern w:val="21"/>
          <w:sz w:val="32"/>
          <w:szCs w:val="32"/>
          <w:highlight w:val="none"/>
          <w:lang w:eastAsia="zh-CN"/>
        </w:rPr>
        <w:t>。</w:t>
      </w:r>
    </w:p>
    <w:p>
      <w:pPr>
        <w:pageBreakBefore w:val="0"/>
        <w:kinsoku/>
        <w:wordWrap/>
        <w:overflowPunct/>
        <w:topLinePunct w:val="0"/>
        <w:bidi w:val="0"/>
        <w:spacing w:beforeLines="0" w:afterLines="0" w:afterAutospacing="0" w:line="560" w:lineRule="exact"/>
        <w:ind w:firstLine="640" w:firstLineChars="200"/>
        <w:jc w:val="both"/>
        <w:textAlignment w:val="auto"/>
        <w:rPr>
          <w:rFonts w:hint="eastAsia" w:ascii="Times New Roman" w:hAnsi="Times New Roman" w:eastAsia="仿宋_GB2312" w:cs="仿宋_GB2312"/>
          <w:b w:val="0"/>
          <w:bCs w:val="0"/>
          <w:color w:val="auto"/>
          <w:kern w:val="21"/>
          <w:sz w:val="32"/>
          <w:szCs w:val="32"/>
          <w:highlight w:val="none"/>
          <w:lang w:val="en-US" w:eastAsia="zh-CN"/>
        </w:rPr>
      </w:pPr>
      <w:r>
        <w:rPr>
          <w:rFonts w:hint="eastAsia" w:ascii="Times New Roman" w:hAnsi="Times New Roman" w:eastAsia="仿宋_GB2312" w:cs="仿宋_GB2312"/>
          <w:b w:val="0"/>
          <w:bCs w:val="0"/>
          <w:color w:val="auto"/>
          <w:kern w:val="21"/>
          <w:sz w:val="32"/>
          <w:szCs w:val="32"/>
          <w:highlight w:val="none"/>
          <w:lang w:eastAsia="zh-CN"/>
        </w:rPr>
        <w:t>（</w:t>
      </w:r>
      <w:r>
        <w:rPr>
          <w:rFonts w:hint="eastAsia" w:ascii="Times New Roman" w:hAnsi="Times New Roman" w:eastAsia="仿宋_GB2312" w:cs="仿宋_GB2312"/>
          <w:b w:val="0"/>
          <w:bCs w:val="0"/>
          <w:color w:val="auto"/>
          <w:kern w:val="21"/>
          <w:sz w:val="32"/>
          <w:szCs w:val="32"/>
          <w:highlight w:val="none"/>
          <w:lang w:val="en-US" w:eastAsia="zh-CN"/>
        </w:rPr>
        <w:t>一）身份信息、生存状态错误的；</w:t>
      </w:r>
    </w:p>
    <w:p>
      <w:pPr>
        <w:pageBreakBefore w:val="0"/>
        <w:kinsoku/>
        <w:wordWrap/>
        <w:overflowPunct/>
        <w:topLinePunct w:val="0"/>
        <w:bidi w:val="0"/>
        <w:spacing w:beforeLines="0" w:afterLines="0" w:afterAutospacing="0" w:line="560" w:lineRule="exact"/>
        <w:ind w:firstLine="640" w:firstLineChars="200"/>
        <w:jc w:val="both"/>
        <w:textAlignment w:val="auto"/>
        <w:rPr>
          <w:rFonts w:hint="default" w:ascii="Times New Roman" w:hAnsi="Times New Roman" w:eastAsia="仿宋_GB2312" w:cs="仿宋_GB2312"/>
          <w:b w:val="0"/>
          <w:bCs w:val="0"/>
          <w:color w:val="auto"/>
          <w:kern w:val="21"/>
          <w:sz w:val="32"/>
          <w:szCs w:val="32"/>
          <w:highlight w:val="none"/>
          <w:lang w:val="en-US" w:eastAsia="zh-CN"/>
        </w:rPr>
      </w:pPr>
      <w:r>
        <w:rPr>
          <w:rFonts w:hint="eastAsia" w:ascii="Times New Roman" w:hAnsi="Times New Roman" w:eastAsia="仿宋_GB2312" w:cs="仿宋_GB2312"/>
          <w:b w:val="0"/>
          <w:bCs w:val="0"/>
          <w:color w:val="auto"/>
          <w:kern w:val="21"/>
          <w:sz w:val="32"/>
          <w:szCs w:val="32"/>
          <w:highlight w:val="none"/>
          <w:lang w:eastAsia="zh-CN"/>
        </w:rPr>
        <w:t>（</w:t>
      </w:r>
      <w:r>
        <w:rPr>
          <w:rFonts w:hint="eastAsia" w:ascii="Times New Roman" w:hAnsi="Times New Roman" w:eastAsia="仿宋_GB2312" w:cs="仿宋_GB2312"/>
          <w:b w:val="0"/>
          <w:bCs w:val="0"/>
          <w:color w:val="auto"/>
          <w:kern w:val="21"/>
          <w:sz w:val="32"/>
          <w:szCs w:val="32"/>
          <w:highlight w:val="none"/>
          <w:lang w:val="en-US" w:eastAsia="zh-CN"/>
        </w:rPr>
        <w:t>二）重复参保的；</w:t>
      </w:r>
    </w:p>
    <w:p>
      <w:pPr>
        <w:pageBreakBefore w:val="0"/>
        <w:kinsoku/>
        <w:wordWrap/>
        <w:overflowPunct/>
        <w:topLinePunct w:val="0"/>
        <w:bidi w:val="0"/>
        <w:spacing w:beforeLines="0" w:afterLines="0" w:afterAutospacing="0" w:line="560" w:lineRule="exact"/>
        <w:ind w:firstLine="640" w:firstLineChars="200"/>
        <w:jc w:val="both"/>
        <w:textAlignment w:val="auto"/>
        <w:rPr>
          <w:rFonts w:hint="default" w:ascii="Times New Roman" w:hAnsi="Times New Roman" w:eastAsia="仿宋_GB2312" w:cs="仿宋_GB2312"/>
          <w:b w:val="0"/>
          <w:bCs w:val="0"/>
          <w:color w:val="auto"/>
          <w:kern w:val="21"/>
          <w:sz w:val="32"/>
          <w:szCs w:val="32"/>
          <w:highlight w:val="none"/>
          <w:lang w:val="en-US" w:eastAsia="zh-CN"/>
        </w:rPr>
      </w:pPr>
      <w:r>
        <w:rPr>
          <w:rFonts w:hint="eastAsia" w:ascii="Times New Roman" w:hAnsi="Times New Roman" w:eastAsia="仿宋_GB2312" w:cs="仿宋_GB2312"/>
          <w:b w:val="0"/>
          <w:bCs w:val="0"/>
          <w:color w:val="auto"/>
          <w:kern w:val="21"/>
          <w:sz w:val="32"/>
          <w:szCs w:val="32"/>
          <w:highlight w:val="none"/>
          <w:lang w:eastAsia="zh-CN"/>
        </w:rPr>
        <w:t>（</w:t>
      </w:r>
      <w:r>
        <w:rPr>
          <w:rFonts w:hint="eastAsia" w:ascii="Times New Roman" w:hAnsi="Times New Roman" w:eastAsia="仿宋_GB2312" w:cs="仿宋_GB2312"/>
          <w:b w:val="0"/>
          <w:bCs w:val="0"/>
          <w:color w:val="auto"/>
          <w:kern w:val="21"/>
          <w:sz w:val="32"/>
          <w:szCs w:val="32"/>
          <w:highlight w:val="none"/>
          <w:lang w:val="en-US" w:eastAsia="zh-CN"/>
        </w:rPr>
        <w:t>三）未按规定享受医疗救助资助参保待遇的；</w:t>
      </w:r>
    </w:p>
    <w:p>
      <w:pPr>
        <w:pageBreakBefore w:val="0"/>
        <w:kinsoku/>
        <w:wordWrap/>
        <w:overflowPunct/>
        <w:topLinePunct w:val="0"/>
        <w:bidi w:val="0"/>
        <w:spacing w:beforeLines="0" w:afterLines="0" w:afterAutospacing="0" w:line="560" w:lineRule="exact"/>
        <w:ind w:firstLine="640" w:firstLineChars="200"/>
        <w:jc w:val="both"/>
        <w:textAlignment w:val="auto"/>
        <w:rPr>
          <w:rFonts w:hint="eastAsia" w:ascii="Times New Roman" w:hAnsi="Times New Roman" w:eastAsia="黑体" w:cs="黑体"/>
          <w:b w:val="0"/>
          <w:bCs w:val="0"/>
          <w:color w:val="auto"/>
          <w:kern w:val="21"/>
          <w:sz w:val="32"/>
          <w:szCs w:val="32"/>
          <w:highlight w:val="none"/>
          <w:lang w:eastAsia="zh-CN"/>
        </w:rPr>
      </w:pPr>
      <w:r>
        <w:rPr>
          <w:rFonts w:hint="eastAsia" w:ascii="Times New Roman" w:hAnsi="Times New Roman" w:eastAsia="仿宋_GB2312" w:cs="仿宋_GB2312"/>
          <w:b w:val="0"/>
          <w:bCs w:val="0"/>
          <w:color w:val="auto"/>
          <w:kern w:val="21"/>
          <w:sz w:val="32"/>
          <w:szCs w:val="32"/>
          <w:highlight w:val="none"/>
          <w:lang w:eastAsia="zh-CN"/>
        </w:rPr>
        <w:t>（</w:t>
      </w:r>
      <w:r>
        <w:rPr>
          <w:rFonts w:hint="eastAsia" w:ascii="Times New Roman" w:hAnsi="Times New Roman" w:eastAsia="仿宋_GB2312" w:cs="仿宋_GB2312"/>
          <w:b w:val="0"/>
          <w:bCs w:val="0"/>
          <w:color w:val="auto"/>
          <w:kern w:val="21"/>
          <w:sz w:val="32"/>
          <w:szCs w:val="32"/>
          <w:highlight w:val="none"/>
          <w:lang w:val="en-US" w:eastAsia="zh-CN"/>
        </w:rPr>
        <w:t>四）违反统筹区参保规定的其他情形。</w:t>
      </w:r>
    </w:p>
    <w:p>
      <w:pPr>
        <w:pStyle w:val="10"/>
        <w:pageBreakBefore w:val="0"/>
        <w:kinsoku/>
        <w:wordWrap/>
        <w:overflowPunct/>
        <w:topLinePunct w:val="0"/>
        <w:bidi w:val="0"/>
        <w:spacing w:beforeLines="0" w:afterLines="0" w:line="560" w:lineRule="exact"/>
        <w:ind w:firstLine="640" w:firstLineChars="200"/>
        <w:jc w:val="both"/>
        <w:textAlignment w:val="auto"/>
        <w:rPr>
          <w:rFonts w:hint="eastAsia" w:ascii="Times New Roman" w:hAnsi="Times New Roman" w:eastAsia="仿宋_GB2312" w:cs="仿宋_GB2312"/>
          <w:bCs w:val="0"/>
          <w:i w:val="0"/>
          <w:iCs w:val="0"/>
          <w:color w:val="auto"/>
          <w:kern w:val="0"/>
          <w:sz w:val="32"/>
          <w:szCs w:val="32"/>
          <w:highlight w:val="none"/>
          <w:u w:val="none"/>
          <w:shd w:val="clear" w:color="auto" w:fill="FFFFFF"/>
          <w:lang w:eastAsia="zh-CN" w:bidi="ar"/>
        </w:rPr>
      </w:pPr>
      <w:r>
        <w:rPr>
          <w:rFonts w:hint="eastAsia" w:ascii="Times New Roman" w:hAnsi="Times New Roman" w:eastAsia="黑体" w:cs="黑体"/>
          <w:b w:val="0"/>
          <w:bCs w:val="0"/>
          <w:color w:val="auto"/>
          <w:kern w:val="21"/>
          <w:sz w:val="32"/>
          <w:szCs w:val="32"/>
          <w:highlight w:val="none"/>
          <w:lang w:eastAsia="zh-CN"/>
        </w:rPr>
        <w:t>第二十</w:t>
      </w:r>
      <w:r>
        <w:rPr>
          <w:rFonts w:hint="eastAsia" w:ascii="Times New Roman" w:hAnsi="Times New Roman" w:eastAsia="黑体" w:cs="黑体"/>
          <w:b w:val="0"/>
          <w:bCs w:val="0"/>
          <w:color w:val="auto"/>
          <w:kern w:val="21"/>
          <w:sz w:val="32"/>
          <w:szCs w:val="32"/>
          <w:highlight w:val="none"/>
          <w:lang w:val="en-US" w:eastAsia="zh-CN"/>
        </w:rPr>
        <w:t>一</w:t>
      </w:r>
      <w:r>
        <w:rPr>
          <w:rFonts w:hint="eastAsia" w:ascii="Times New Roman" w:hAnsi="Times New Roman" w:eastAsia="黑体" w:cs="黑体"/>
          <w:b w:val="0"/>
          <w:bCs w:val="0"/>
          <w:i w:val="0"/>
          <w:iCs w:val="0"/>
          <w:color w:val="auto"/>
          <w:kern w:val="21"/>
          <w:sz w:val="32"/>
          <w:szCs w:val="32"/>
          <w:highlight w:val="none"/>
          <w:lang w:eastAsia="zh-CN"/>
        </w:rPr>
        <w:t>条</w:t>
      </w:r>
      <w:r>
        <w:rPr>
          <w:rFonts w:hint="eastAsia" w:ascii="Times New Roman" w:hAnsi="Times New Roman" w:eastAsia="黑体" w:cs="仿宋_GB2312"/>
          <w:bCs/>
          <w:i w:val="0"/>
          <w:iCs w:val="0"/>
          <w:color w:val="auto"/>
          <w:kern w:val="21"/>
          <w:sz w:val="32"/>
          <w:szCs w:val="32"/>
          <w:highlight w:val="none"/>
          <w:u w:val="none"/>
        </w:rPr>
        <w:t>【待遇</w:t>
      </w:r>
      <w:r>
        <w:rPr>
          <w:rFonts w:hint="eastAsia" w:ascii="Times New Roman" w:hAnsi="Times New Roman" w:eastAsia="黑体" w:cs="仿宋_GB2312"/>
          <w:bCs/>
          <w:i w:val="0"/>
          <w:iCs w:val="0"/>
          <w:color w:val="auto"/>
          <w:kern w:val="21"/>
          <w:sz w:val="32"/>
          <w:szCs w:val="32"/>
          <w:highlight w:val="none"/>
          <w:u w:val="none"/>
          <w:lang w:eastAsia="zh-CN"/>
        </w:rPr>
        <w:t>核查】</w:t>
      </w:r>
      <w:r>
        <w:rPr>
          <w:rFonts w:hint="eastAsia" w:ascii="Times New Roman" w:hAnsi="Times New Roman" w:eastAsia="仿宋_GB2312" w:cs="仿宋_GB2312"/>
          <w:color w:val="auto"/>
          <w:sz w:val="32"/>
          <w:szCs w:val="32"/>
          <w:highlight w:val="none"/>
          <w:shd w:val="clear" w:color="auto" w:fill="FFFFFF"/>
          <w:lang w:val="en-US" w:eastAsia="zh-CN" w:bidi="ar"/>
        </w:rPr>
        <w:t>各级医保中心</w:t>
      </w:r>
      <w:r>
        <w:rPr>
          <w:rFonts w:hint="eastAsia" w:ascii="Times New Roman" w:hAnsi="Times New Roman" w:eastAsia="仿宋_GB2312" w:cs="仿宋_GB2312"/>
          <w:color w:val="auto"/>
          <w:sz w:val="32"/>
          <w:szCs w:val="32"/>
          <w:highlight w:val="none"/>
          <w:shd w:val="clear" w:color="auto" w:fill="FFFFFF"/>
          <w:lang w:eastAsia="zh-CN" w:bidi="ar"/>
        </w:rPr>
        <w:t>应当定期</w:t>
      </w:r>
      <w:r>
        <w:rPr>
          <w:rFonts w:hint="eastAsia" w:ascii="Times New Roman" w:hAnsi="Times New Roman" w:eastAsia="仿宋_GB2312" w:cs="仿宋_GB2312"/>
          <w:bCs w:val="0"/>
          <w:i w:val="0"/>
          <w:iCs w:val="0"/>
          <w:color w:val="auto"/>
          <w:kern w:val="0"/>
          <w:sz w:val="32"/>
          <w:szCs w:val="32"/>
          <w:highlight w:val="none"/>
          <w:u w:val="none"/>
          <w:shd w:val="clear" w:color="auto" w:fill="FFFFFF"/>
          <w:lang w:eastAsia="zh-CN" w:bidi="ar"/>
        </w:rPr>
        <w:t>核查医疗救助对象的待遇享受情况，发现有下列情形之一的，应当及时改正</w:t>
      </w:r>
      <w:r>
        <w:rPr>
          <w:rFonts w:hint="eastAsia" w:ascii="Times New Roman" w:hAnsi="Times New Roman" w:eastAsia="仿宋_GB2312" w:cs="仿宋_GB2312"/>
          <w:color w:val="auto"/>
          <w:sz w:val="32"/>
          <w:szCs w:val="32"/>
          <w:highlight w:val="none"/>
          <w:u w:val="none"/>
          <w:shd w:val="clear" w:color="auto" w:fill="FFFFFF"/>
          <w:lang w:val="en" w:bidi="ar"/>
        </w:rPr>
        <w:t>；对涉嫌违法违规</w:t>
      </w:r>
      <w:r>
        <w:rPr>
          <w:rFonts w:hint="eastAsia" w:ascii="Times New Roman" w:hAnsi="Times New Roman" w:eastAsia="仿宋_GB2312" w:cs="仿宋_GB2312"/>
          <w:color w:val="auto"/>
          <w:sz w:val="32"/>
          <w:szCs w:val="32"/>
          <w:highlight w:val="none"/>
          <w:u w:val="none"/>
          <w:shd w:val="clear" w:color="auto" w:fill="FFFFFF"/>
          <w:lang w:val="en" w:eastAsia="zh-CN" w:bidi="ar"/>
        </w:rPr>
        <w:t>、拒不改正或</w:t>
      </w:r>
      <w:r>
        <w:rPr>
          <w:rFonts w:hint="eastAsia" w:ascii="Times New Roman" w:hAnsi="Times New Roman" w:eastAsia="仿宋_GB2312" w:cs="仿宋_GB2312"/>
          <w:color w:val="auto"/>
          <w:sz w:val="32"/>
          <w:szCs w:val="32"/>
          <w:highlight w:val="none"/>
          <w:u w:val="none"/>
          <w:shd w:val="clear" w:color="auto" w:fill="FFFFFF"/>
          <w:lang w:val="en" w:bidi="ar"/>
        </w:rPr>
        <w:t>需要给予行政处罚的，移交医疗保障行政部门处理</w:t>
      </w:r>
      <w:r>
        <w:rPr>
          <w:rFonts w:hint="eastAsia" w:ascii="Times New Roman" w:hAnsi="Times New Roman" w:eastAsia="仿宋_GB2312" w:cs="仿宋_GB2312"/>
          <w:bCs w:val="0"/>
          <w:i w:val="0"/>
          <w:iCs w:val="0"/>
          <w:color w:val="auto"/>
          <w:kern w:val="0"/>
          <w:sz w:val="32"/>
          <w:szCs w:val="32"/>
          <w:highlight w:val="none"/>
          <w:u w:val="none"/>
          <w:shd w:val="clear" w:color="auto" w:fill="FFFFFF"/>
          <w:lang w:eastAsia="zh-CN" w:bidi="ar"/>
        </w:rPr>
        <w:t>：</w:t>
      </w:r>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beforeLines="0" w:afterLines="0" w:line="560" w:lineRule="exact"/>
        <w:ind w:firstLine="640" w:firstLineChars="200"/>
        <w:jc w:val="both"/>
        <w:textAlignment w:val="auto"/>
        <w:rPr>
          <w:rFonts w:hint="eastAsia" w:ascii="Times New Roman" w:hAnsi="Times New Roman" w:eastAsia="仿宋_GB2312" w:cs="仿宋_GB2312"/>
          <w:bCs w:val="0"/>
          <w:i w:val="0"/>
          <w:iCs w:val="0"/>
          <w:color w:val="auto"/>
          <w:kern w:val="0"/>
          <w:sz w:val="32"/>
          <w:szCs w:val="32"/>
          <w:highlight w:val="none"/>
          <w:u w:val="none"/>
          <w:shd w:val="clear" w:color="auto" w:fill="FFFFFF"/>
          <w:lang w:eastAsia="zh-CN" w:bidi="ar"/>
        </w:rPr>
      </w:pPr>
      <w:r>
        <w:rPr>
          <w:rFonts w:hint="eastAsia" w:ascii="Times New Roman" w:hAnsi="Times New Roman" w:eastAsia="仿宋_GB2312" w:cs="仿宋_GB2312"/>
          <w:bCs w:val="0"/>
          <w:i w:val="0"/>
          <w:iCs w:val="0"/>
          <w:color w:val="auto"/>
          <w:kern w:val="0"/>
          <w:sz w:val="32"/>
          <w:szCs w:val="32"/>
          <w:highlight w:val="none"/>
          <w:u w:val="none"/>
          <w:shd w:val="clear" w:color="auto" w:fill="FFFFFF"/>
          <w:lang w:eastAsia="zh-CN" w:bidi="ar"/>
        </w:rPr>
        <w:t>（</w:t>
      </w:r>
      <w:r>
        <w:rPr>
          <w:rFonts w:hint="eastAsia" w:ascii="Times New Roman" w:hAnsi="Times New Roman" w:eastAsia="仿宋_GB2312" w:cs="仿宋_GB2312"/>
          <w:bCs w:val="0"/>
          <w:i w:val="0"/>
          <w:iCs w:val="0"/>
          <w:color w:val="auto"/>
          <w:kern w:val="0"/>
          <w:sz w:val="32"/>
          <w:szCs w:val="32"/>
          <w:highlight w:val="none"/>
          <w:u w:val="none"/>
          <w:shd w:val="clear" w:color="auto" w:fill="FFFFFF"/>
          <w:lang w:val="en-US" w:eastAsia="zh-CN" w:bidi="ar"/>
        </w:rPr>
        <w:t>一</w:t>
      </w:r>
      <w:r>
        <w:rPr>
          <w:rFonts w:hint="eastAsia" w:ascii="Times New Roman" w:hAnsi="Times New Roman" w:eastAsia="仿宋_GB2312" w:cs="仿宋_GB2312"/>
          <w:bCs w:val="0"/>
          <w:i w:val="0"/>
          <w:iCs w:val="0"/>
          <w:color w:val="auto"/>
          <w:kern w:val="0"/>
          <w:sz w:val="32"/>
          <w:szCs w:val="32"/>
          <w:highlight w:val="none"/>
          <w:u w:val="none"/>
          <w:shd w:val="clear" w:color="auto" w:fill="FFFFFF"/>
          <w:lang w:eastAsia="zh-CN" w:bidi="ar"/>
        </w:rPr>
        <w:t>）未及时足额支付医疗救助待遇的；</w:t>
      </w:r>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beforeLines="0" w:afterLines="0" w:line="560" w:lineRule="exact"/>
        <w:ind w:left="1598" w:leftChars="304" w:hanging="960" w:hangingChars="300"/>
        <w:jc w:val="both"/>
        <w:textAlignment w:val="auto"/>
        <w:rPr>
          <w:rFonts w:hint="eastAsia" w:ascii="Times New Roman" w:hAnsi="Times New Roman" w:eastAsia="仿宋_GB2312" w:cs="仿宋_GB2312"/>
          <w:color w:val="auto"/>
          <w:sz w:val="32"/>
          <w:szCs w:val="32"/>
          <w:highlight w:val="none"/>
          <w:shd w:val="clear" w:color="auto" w:fill="FFFFFF"/>
          <w:lang w:eastAsia="zh-CN" w:bidi="ar"/>
        </w:rPr>
      </w:pPr>
      <w:r>
        <w:rPr>
          <w:rFonts w:hint="eastAsia" w:ascii="Times New Roman" w:hAnsi="Times New Roman" w:eastAsia="仿宋_GB2312" w:cs="仿宋_GB2312"/>
          <w:color w:val="auto"/>
          <w:sz w:val="32"/>
          <w:szCs w:val="32"/>
          <w:highlight w:val="none"/>
          <w:shd w:val="clear" w:color="auto" w:fill="FFFFFF"/>
          <w:lang w:eastAsia="zh-CN" w:bidi="ar"/>
        </w:rPr>
        <w:t>（</w:t>
      </w:r>
      <w:r>
        <w:rPr>
          <w:rFonts w:hint="eastAsia" w:ascii="Times New Roman" w:hAnsi="Times New Roman" w:eastAsia="仿宋_GB2312" w:cs="仿宋_GB2312"/>
          <w:color w:val="auto"/>
          <w:sz w:val="32"/>
          <w:szCs w:val="32"/>
          <w:highlight w:val="none"/>
          <w:shd w:val="clear" w:color="auto" w:fill="FFFFFF"/>
          <w:lang w:val="en-US" w:eastAsia="zh-CN" w:bidi="ar"/>
        </w:rPr>
        <w:t>二</w:t>
      </w:r>
      <w:r>
        <w:rPr>
          <w:rFonts w:hint="eastAsia" w:ascii="Times New Roman" w:hAnsi="Times New Roman" w:eastAsia="仿宋_GB2312" w:cs="仿宋_GB2312"/>
          <w:color w:val="auto"/>
          <w:sz w:val="32"/>
          <w:szCs w:val="32"/>
          <w:highlight w:val="none"/>
          <w:shd w:val="clear" w:color="auto" w:fill="FFFFFF"/>
          <w:lang w:eastAsia="zh-CN" w:bidi="ar"/>
        </w:rPr>
        <w:t>）违规向已退出、死亡的医疗救助对象支付</w:t>
      </w:r>
      <w:r>
        <w:rPr>
          <w:rFonts w:hint="eastAsia" w:ascii="Times New Roman" w:hAnsi="Times New Roman" w:eastAsia="仿宋_GB2312" w:cs="仿宋_GB2312"/>
          <w:color w:val="auto"/>
          <w:sz w:val="32"/>
          <w:szCs w:val="32"/>
          <w:highlight w:val="none"/>
          <w:shd w:val="clear" w:color="auto" w:fill="FFFFFF"/>
          <w:lang w:bidi="ar"/>
        </w:rPr>
        <w:t>医疗救助</w:t>
      </w:r>
      <w:r>
        <w:rPr>
          <w:rFonts w:hint="eastAsia" w:ascii="Times New Roman" w:hAnsi="Times New Roman" w:eastAsia="仿宋_GB2312" w:cs="仿宋_GB2312"/>
          <w:color w:val="auto"/>
          <w:sz w:val="32"/>
          <w:szCs w:val="32"/>
          <w:highlight w:val="none"/>
          <w:shd w:val="clear" w:color="auto" w:fill="FFFFFF"/>
          <w:lang w:eastAsia="zh-CN" w:bidi="ar"/>
        </w:rPr>
        <w:t>待</w:t>
      </w:r>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beforeLines="0" w:afterLines="0" w:line="560" w:lineRule="exact"/>
        <w:jc w:val="both"/>
        <w:textAlignment w:val="auto"/>
        <w:rPr>
          <w:rFonts w:hint="eastAsia" w:ascii="Times New Roman" w:hAnsi="Times New Roman" w:eastAsia="仿宋_GB2312" w:cs="仿宋_GB2312"/>
          <w:b w:val="0"/>
          <w:bCs w:val="0"/>
          <w:color w:val="auto"/>
          <w:kern w:val="0"/>
          <w:sz w:val="32"/>
          <w:szCs w:val="32"/>
          <w:highlight w:val="none"/>
          <w:u w:val="none"/>
          <w:shd w:val="clear" w:color="auto" w:fill="FFFFFF"/>
          <w:lang w:val="en-US" w:eastAsia="zh-CN" w:bidi="ar"/>
        </w:rPr>
      </w:pPr>
      <w:r>
        <w:rPr>
          <w:rFonts w:hint="eastAsia" w:ascii="Times New Roman" w:hAnsi="Times New Roman" w:eastAsia="仿宋_GB2312" w:cs="仿宋_GB2312"/>
          <w:color w:val="auto"/>
          <w:sz w:val="32"/>
          <w:szCs w:val="32"/>
          <w:highlight w:val="none"/>
          <w:shd w:val="clear" w:color="auto" w:fill="FFFFFF"/>
          <w:lang w:eastAsia="zh-CN" w:bidi="ar"/>
        </w:rPr>
        <w:t>遇的</w:t>
      </w:r>
      <w:r>
        <w:rPr>
          <w:rFonts w:hint="eastAsia" w:ascii="Times New Roman" w:hAnsi="Times New Roman" w:eastAsia="仿宋_GB2312" w:cs="仿宋_GB2312"/>
          <w:bCs w:val="0"/>
          <w:i w:val="0"/>
          <w:iCs w:val="0"/>
          <w:color w:val="auto"/>
          <w:kern w:val="0"/>
          <w:sz w:val="32"/>
          <w:szCs w:val="32"/>
          <w:highlight w:val="none"/>
          <w:u w:val="none"/>
          <w:shd w:val="clear" w:color="auto" w:fill="FFFFFF"/>
          <w:lang w:eastAsia="zh-CN" w:bidi="ar"/>
        </w:rPr>
        <w:t>；</w:t>
      </w:r>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beforeLines="0" w:afterLines="0" w:line="560" w:lineRule="exact"/>
        <w:ind w:firstLine="640" w:firstLineChars="200"/>
        <w:jc w:val="both"/>
        <w:textAlignment w:val="auto"/>
        <w:rPr>
          <w:rFonts w:hint="eastAsia" w:ascii="Times New Roman" w:hAnsi="Times New Roman" w:eastAsia="仿宋_GB2312" w:cs="仿宋_GB2312"/>
          <w:b w:val="0"/>
          <w:bCs w:val="0"/>
          <w:color w:val="auto"/>
          <w:kern w:val="0"/>
          <w:sz w:val="32"/>
          <w:szCs w:val="32"/>
          <w:highlight w:val="none"/>
          <w:u w:val="none"/>
          <w:shd w:val="clear" w:color="auto" w:fill="FFFFFF"/>
          <w:lang w:val="en-US" w:eastAsia="zh-CN" w:bidi="ar"/>
        </w:rPr>
      </w:pPr>
      <w:r>
        <w:rPr>
          <w:rFonts w:hint="eastAsia" w:ascii="Times New Roman" w:hAnsi="Times New Roman" w:eastAsia="仿宋_GB2312" w:cs="仿宋_GB2312"/>
          <w:b w:val="0"/>
          <w:bCs w:val="0"/>
          <w:color w:val="auto"/>
          <w:kern w:val="0"/>
          <w:sz w:val="32"/>
          <w:szCs w:val="32"/>
          <w:highlight w:val="none"/>
          <w:u w:val="none"/>
          <w:shd w:val="clear" w:color="auto" w:fill="FFFFFF"/>
          <w:lang w:val="en-US" w:eastAsia="zh-CN" w:bidi="ar"/>
        </w:rPr>
        <w:t>（三）以欺诈、伪造证明材料等手段骗取医疗救助金的；</w:t>
      </w:r>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beforeLines="0" w:afterLines="0" w:line="560" w:lineRule="exact"/>
        <w:ind w:firstLine="640" w:firstLineChars="200"/>
        <w:jc w:val="both"/>
        <w:textAlignment w:val="auto"/>
        <w:rPr>
          <w:rFonts w:hint="eastAsia" w:ascii="Times New Roman" w:hAnsi="Times New Roman" w:eastAsia="黑体" w:cs="仿宋_GB2312"/>
          <w:bCs/>
          <w:i w:val="0"/>
          <w:iCs w:val="0"/>
          <w:color w:val="auto"/>
          <w:kern w:val="21"/>
          <w:sz w:val="32"/>
          <w:szCs w:val="32"/>
          <w:highlight w:val="none"/>
          <w:u w:val="none"/>
        </w:rPr>
      </w:pPr>
      <w:r>
        <w:rPr>
          <w:rFonts w:hint="eastAsia" w:ascii="Times New Roman" w:hAnsi="Times New Roman" w:eastAsia="仿宋_GB2312" w:cs="仿宋_GB2312"/>
          <w:color w:val="auto"/>
          <w:sz w:val="32"/>
          <w:szCs w:val="32"/>
          <w:highlight w:val="none"/>
          <w:lang w:val="en" w:eastAsia="zh-CN" w:bidi="zh-TW"/>
        </w:rPr>
        <w:t>（</w:t>
      </w:r>
      <w:r>
        <w:rPr>
          <w:rFonts w:hint="eastAsia" w:ascii="Times New Roman" w:hAnsi="Times New Roman" w:eastAsia="仿宋_GB2312" w:cs="仿宋_GB2312"/>
          <w:color w:val="auto"/>
          <w:sz w:val="32"/>
          <w:szCs w:val="32"/>
          <w:highlight w:val="none"/>
          <w:lang w:val="en-US" w:eastAsia="zh-CN" w:bidi="zh-TW"/>
        </w:rPr>
        <w:t>四</w:t>
      </w:r>
      <w:r>
        <w:rPr>
          <w:rFonts w:hint="eastAsia" w:ascii="Times New Roman" w:hAnsi="Times New Roman" w:eastAsia="仿宋_GB2312" w:cs="仿宋_GB2312"/>
          <w:color w:val="auto"/>
          <w:sz w:val="32"/>
          <w:szCs w:val="32"/>
          <w:highlight w:val="none"/>
          <w:lang w:val="en" w:eastAsia="zh-CN" w:bidi="zh-TW"/>
        </w:rPr>
        <w:t>）其他</w:t>
      </w:r>
      <w:r>
        <w:rPr>
          <w:rFonts w:hint="eastAsia" w:ascii="Times New Roman" w:hAnsi="Times New Roman" w:eastAsia="仿宋_GB2312" w:cs="仿宋_GB2312"/>
          <w:b w:val="0"/>
          <w:bCs w:val="0"/>
          <w:color w:val="auto"/>
          <w:kern w:val="0"/>
          <w:sz w:val="32"/>
          <w:szCs w:val="32"/>
          <w:highlight w:val="none"/>
          <w:u w:val="none"/>
          <w:shd w:val="clear" w:color="auto" w:fill="FFFFFF"/>
          <w:lang w:val="en-US" w:eastAsia="zh-CN" w:bidi="ar"/>
        </w:rPr>
        <w:t>造成医疗救助基金损失的</w:t>
      </w:r>
      <w:r>
        <w:rPr>
          <w:rFonts w:hint="eastAsia" w:ascii="Times New Roman" w:hAnsi="Times New Roman" w:eastAsia="仿宋_GB2312" w:cs="仿宋_GB2312"/>
          <w:color w:val="auto"/>
          <w:sz w:val="32"/>
          <w:szCs w:val="32"/>
          <w:highlight w:val="none"/>
          <w:lang w:val="en" w:eastAsia="zh-CN" w:bidi="zh-TW"/>
        </w:rPr>
        <w:t>违规行为。</w:t>
      </w:r>
    </w:p>
    <w:p>
      <w:pPr>
        <w:pStyle w:val="10"/>
        <w:pageBreakBefore w:val="0"/>
        <w:kinsoku/>
        <w:wordWrap/>
        <w:overflowPunct/>
        <w:topLinePunct w:val="0"/>
        <w:bidi w:val="0"/>
        <w:spacing w:beforeLines="0" w:afterLines="0" w:line="560" w:lineRule="exact"/>
        <w:ind w:firstLine="640" w:firstLineChars="200"/>
        <w:jc w:val="both"/>
        <w:textAlignment w:val="auto"/>
        <w:rPr>
          <w:rFonts w:hint="eastAsia" w:ascii="Times New Roman" w:hAnsi="Times New Roman" w:eastAsia="仿宋_GB2312" w:cs="仿宋_GB2312"/>
          <w:bCs w:val="0"/>
          <w:i w:val="0"/>
          <w:iCs w:val="0"/>
          <w:color w:val="auto"/>
          <w:kern w:val="0"/>
          <w:sz w:val="32"/>
          <w:szCs w:val="32"/>
          <w:highlight w:val="none"/>
          <w:u w:val="none"/>
          <w:shd w:val="clear" w:color="auto" w:fill="FFFFFF"/>
          <w:lang w:eastAsia="zh-CN" w:bidi="ar"/>
        </w:rPr>
      </w:pPr>
      <w:r>
        <w:rPr>
          <w:rFonts w:hint="eastAsia" w:ascii="Times New Roman" w:hAnsi="Times New Roman" w:eastAsia="黑体" w:cs="仿宋_GB2312"/>
          <w:bCs/>
          <w:i w:val="0"/>
          <w:iCs w:val="0"/>
          <w:color w:val="auto"/>
          <w:kern w:val="21"/>
          <w:sz w:val="32"/>
          <w:szCs w:val="32"/>
          <w:highlight w:val="none"/>
          <w:u w:val="none"/>
        </w:rPr>
        <w:t>第</w:t>
      </w:r>
      <w:r>
        <w:rPr>
          <w:rFonts w:hint="eastAsia" w:ascii="Times New Roman" w:hAnsi="Times New Roman" w:eastAsia="黑体" w:cs="仿宋_GB2312"/>
          <w:bCs/>
          <w:i w:val="0"/>
          <w:iCs w:val="0"/>
          <w:color w:val="auto"/>
          <w:kern w:val="21"/>
          <w:sz w:val="32"/>
          <w:szCs w:val="32"/>
          <w:highlight w:val="none"/>
          <w:u w:val="none"/>
          <w:lang w:val="en-US" w:eastAsia="zh-CN"/>
        </w:rPr>
        <w:t>二十二</w:t>
      </w:r>
      <w:r>
        <w:rPr>
          <w:rFonts w:hint="eastAsia" w:ascii="Times New Roman" w:hAnsi="Times New Roman" w:eastAsia="黑体" w:cs="仿宋_GB2312"/>
          <w:bCs/>
          <w:i w:val="0"/>
          <w:iCs w:val="0"/>
          <w:color w:val="auto"/>
          <w:kern w:val="21"/>
          <w:sz w:val="32"/>
          <w:szCs w:val="32"/>
          <w:highlight w:val="none"/>
          <w:u w:val="none"/>
        </w:rPr>
        <w:t>条</w:t>
      </w:r>
      <w:r>
        <w:rPr>
          <w:rFonts w:hint="eastAsia" w:ascii="Times New Roman" w:hAnsi="Times New Roman" w:eastAsia="黑体" w:cs="黑体"/>
          <w:i w:val="0"/>
          <w:iCs w:val="0"/>
          <w:color w:val="auto"/>
          <w:kern w:val="21"/>
          <w:sz w:val="32"/>
          <w:szCs w:val="32"/>
          <w:highlight w:val="none"/>
          <w:u w:val="none"/>
          <w:lang w:val="en-US" w:eastAsia="zh-CN" w:bidi="ar-SA"/>
        </w:rPr>
        <w:t>【协议核查】</w:t>
      </w:r>
      <w:r>
        <w:rPr>
          <w:rFonts w:hint="eastAsia" w:ascii="Times New Roman" w:hAnsi="Times New Roman" w:eastAsia="仿宋_GB2312" w:cs="仿宋_GB2312"/>
          <w:color w:val="auto"/>
          <w:sz w:val="32"/>
          <w:szCs w:val="32"/>
          <w:highlight w:val="none"/>
          <w:u w:val="none"/>
          <w:shd w:val="clear" w:color="auto" w:fill="FFFFFF"/>
          <w:lang w:val="en-US" w:eastAsia="zh-CN" w:bidi="ar"/>
        </w:rPr>
        <w:t>各级医保中心</w:t>
      </w:r>
      <w:r>
        <w:rPr>
          <w:rFonts w:hint="eastAsia" w:ascii="Times New Roman" w:hAnsi="Times New Roman" w:eastAsia="仿宋_GB2312" w:cs="仿宋_GB2312"/>
          <w:color w:val="auto"/>
          <w:sz w:val="32"/>
          <w:szCs w:val="32"/>
          <w:highlight w:val="none"/>
          <w:u w:val="none"/>
          <w:shd w:val="clear" w:color="auto" w:fill="FFFFFF"/>
          <w:lang w:val="en" w:bidi="ar"/>
        </w:rPr>
        <w:t>应</w:t>
      </w:r>
      <w:r>
        <w:rPr>
          <w:rFonts w:hint="eastAsia" w:ascii="Times New Roman" w:hAnsi="Times New Roman" w:eastAsia="仿宋_GB2312" w:cs="仿宋_GB2312"/>
          <w:color w:val="auto"/>
          <w:sz w:val="32"/>
          <w:szCs w:val="32"/>
          <w:highlight w:val="none"/>
          <w:u w:val="none"/>
          <w:shd w:val="clear" w:color="auto" w:fill="FFFFFF"/>
          <w:lang w:val="en" w:eastAsia="zh-CN" w:bidi="ar"/>
        </w:rPr>
        <w:t>当定期对定点医</w:t>
      </w:r>
      <w:r>
        <w:rPr>
          <w:rFonts w:hint="eastAsia" w:ascii="Times New Roman" w:hAnsi="Times New Roman" w:eastAsia="仿宋_GB2312" w:cs="仿宋_GB2312"/>
          <w:bCs w:val="0"/>
          <w:i w:val="0"/>
          <w:iCs w:val="0"/>
          <w:color w:val="auto"/>
          <w:kern w:val="0"/>
          <w:sz w:val="32"/>
          <w:szCs w:val="32"/>
          <w:highlight w:val="none"/>
          <w:u w:val="none"/>
          <w:shd w:val="clear" w:color="auto" w:fill="FFFFFF"/>
          <w:lang w:eastAsia="zh-CN" w:bidi="ar"/>
        </w:rPr>
        <w:t>疗机构开展核查，发现有下列情形之一的，应当</w:t>
      </w:r>
      <w:r>
        <w:rPr>
          <w:rFonts w:hint="eastAsia" w:ascii="Times New Roman" w:hAnsi="Times New Roman" w:eastAsia="仿宋_GB2312" w:cs="仿宋_GB2312"/>
          <w:color w:val="auto"/>
          <w:sz w:val="32"/>
          <w:szCs w:val="32"/>
          <w:highlight w:val="none"/>
          <w:u w:val="none"/>
          <w:shd w:val="clear" w:color="auto" w:fill="FFFFFF"/>
          <w:lang w:val="en" w:bidi="ar"/>
        </w:rPr>
        <w:t>及时责令改正，并按照协议约定处理；对涉嫌违法违规并需要给予行政处罚的，移交医疗保障行政部门处理</w:t>
      </w:r>
      <w:r>
        <w:rPr>
          <w:rFonts w:hint="eastAsia" w:ascii="Times New Roman" w:hAnsi="Times New Roman" w:eastAsia="仿宋_GB2312" w:cs="仿宋_GB2312"/>
          <w:bCs w:val="0"/>
          <w:i w:val="0"/>
          <w:iCs w:val="0"/>
          <w:color w:val="auto"/>
          <w:kern w:val="0"/>
          <w:sz w:val="32"/>
          <w:szCs w:val="32"/>
          <w:highlight w:val="none"/>
          <w:u w:val="none"/>
          <w:shd w:val="clear" w:color="auto" w:fill="FFFFFF"/>
          <w:lang w:eastAsia="zh-CN" w:bidi="ar"/>
        </w:rPr>
        <w:t>：</w:t>
      </w:r>
    </w:p>
    <w:p>
      <w:pPr>
        <w:pStyle w:val="10"/>
        <w:pageBreakBefore w:val="0"/>
        <w:numPr>
          <w:ilvl w:val="0"/>
          <w:numId w:val="1"/>
        </w:numPr>
        <w:kinsoku/>
        <w:wordWrap/>
        <w:overflowPunct/>
        <w:topLinePunct w:val="0"/>
        <w:bidi w:val="0"/>
        <w:spacing w:beforeLines="0" w:afterLines="0" w:line="560" w:lineRule="exact"/>
        <w:ind w:firstLine="640" w:firstLineChars="200"/>
        <w:jc w:val="both"/>
        <w:textAlignment w:val="auto"/>
        <w:rPr>
          <w:rFonts w:hint="default" w:ascii="Times New Roman" w:hAnsi="Times New Roman" w:eastAsia="仿宋_GB2312" w:cs="仿宋_GB2312"/>
          <w:bCs w:val="0"/>
          <w:i w:val="0"/>
          <w:iCs w:val="0"/>
          <w:color w:val="auto"/>
          <w:kern w:val="0"/>
          <w:sz w:val="32"/>
          <w:szCs w:val="32"/>
          <w:highlight w:val="none"/>
          <w:u w:val="none"/>
          <w:shd w:val="clear" w:color="auto" w:fill="FFFFFF"/>
          <w:lang w:val="en-US" w:eastAsia="zh-CN" w:bidi="ar"/>
        </w:rPr>
      </w:pPr>
      <w:r>
        <w:rPr>
          <w:rFonts w:hint="eastAsia" w:ascii="Times New Roman" w:hAnsi="Times New Roman" w:eastAsia="仿宋_GB2312" w:cs="仿宋_GB2312"/>
          <w:color w:val="auto"/>
          <w:sz w:val="32"/>
          <w:szCs w:val="32"/>
          <w:highlight w:val="none"/>
          <w:u w:val="none"/>
          <w:shd w:val="clear" w:color="auto" w:fill="FFFFFF"/>
          <w:lang w:eastAsia="zh-CN" w:bidi="ar"/>
        </w:rPr>
        <w:t>未</w:t>
      </w:r>
      <w:r>
        <w:rPr>
          <w:rFonts w:hint="eastAsia" w:ascii="Times New Roman" w:hAnsi="Times New Roman" w:eastAsia="仿宋_GB2312" w:cs="仿宋_GB2312"/>
          <w:color w:val="auto"/>
          <w:sz w:val="32"/>
          <w:szCs w:val="32"/>
          <w:highlight w:val="none"/>
          <w:shd w:val="clear" w:color="auto" w:fill="FFFFFF"/>
          <w:lang w:bidi="ar"/>
        </w:rPr>
        <w:t>核验</w:t>
      </w:r>
      <w:r>
        <w:rPr>
          <w:rFonts w:hint="eastAsia" w:ascii="Times New Roman" w:hAnsi="Times New Roman" w:eastAsia="仿宋_GB2312" w:cs="仿宋_GB2312"/>
          <w:color w:val="auto"/>
          <w:sz w:val="32"/>
          <w:szCs w:val="32"/>
          <w:highlight w:val="none"/>
          <w:shd w:val="clear" w:color="auto" w:fill="FFFFFF"/>
          <w:lang w:eastAsia="zh-CN" w:bidi="ar"/>
        </w:rPr>
        <w:t>医疗救助对象医疗保障</w:t>
      </w:r>
      <w:r>
        <w:rPr>
          <w:rFonts w:hint="eastAsia" w:ascii="Times New Roman" w:hAnsi="Times New Roman" w:eastAsia="仿宋_GB2312" w:cs="仿宋_GB2312"/>
          <w:color w:val="auto"/>
          <w:sz w:val="32"/>
          <w:szCs w:val="32"/>
          <w:highlight w:val="none"/>
          <w:shd w:val="clear" w:color="auto" w:fill="FFFFFF"/>
          <w:lang w:bidi="ar"/>
        </w:rPr>
        <w:t>凭证</w:t>
      </w:r>
      <w:r>
        <w:rPr>
          <w:rFonts w:hint="eastAsia" w:ascii="Times New Roman" w:hAnsi="Times New Roman" w:eastAsia="仿宋_GB2312" w:cs="仿宋_GB2312"/>
          <w:color w:val="auto"/>
          <w:sz w:val="32"/>
          <w:szCs w:val="32"/>
          <w:highlight w:val="none"/>
          <w:shd w:val="clear" w:color="auto" w:fill="FFFFFF"/>
          <w:lang w:eastAsia="zh-CN" w:bidi="ar"/>
        </w:rPr>
        <w:t>；</w:t>
      </w:r>
    </w:p>
    <w:p>
      <w:pPr>
        <w:pStyle w:val="10"/>
        <w:pageBreakBefore w:val="0"/>
        <w:numPr>
          <w:ilvl w:val="0"/>
          <w:numId w:val="1"/>
        </w:numPr>
        <w:kinsoku/>
        <w:wordWrap/>
        <w:overflowPunct/>
        <w:topLinePunct w:val="0"/>
        <w:bidi w:val="0"/>
        <w:spacing w:beforeLines="0" w:afterLines="0" w:line="560" w:lineRule="exact"/>
        <w:ind w:firstLine="640" w:firstLineChars="200"/>
        <w:jc w:val="both"/>
        <w:textAlignment w:val="auto"/>
        <w:rPr>
          <w:rFonts w:hint="default" w:ascii="Times New Roman" w:hAnsi="Times New Roman" w:eastAsia="仿宋_GB2312" w:cs="仿宋_GB2312"/>
          <w:bCs w:val="0"/>
          <w:i w:val="0"/>
          <w:iCs w:val="0"/>
          <w:color w:val="auto"/>
          <w:kern w:val="0"/>
          <w:sz w:val="32"/>
          <w:szCs w:val="32"/>
          <w:highlight w:val="none"/>
          <w:u w:val="none"/>
          <w:shd w:val="clear" w:color="auto" w:fill="FFFFFF"/>
          <w:lang w:val="en-US" w:eastAsia="zh-CN" w:bidi="ar"/>
        </w:rPr>
      </w:pPr>
      <w:r>
        <w:rPr>
          <w:rFonts w:hint="eastAsia" w:ascii="Times New Roman" w:hAnsi="Times New Roman" w:eastAsia="仿宋_GB2312" w:cs="仿宋_GB2312"/>
          <w:color w:val="auto"/>
          <w:sz w:val="32"/>
          <w:szCs w:val="32"/>
          <w:highlight w:val="none"/>
          <w:u w:val="none"/>
          <w:shd w:val="clear" w:color="auto" w:fill="FFFFFF"/>
          <w:lang w:eastAsia="zh-CN" w:bidi="ar"/>
        </w:rPr>
        <w:t>未</w:t>
      </w:r>
      <w:r>
        <w:rPr>
          <w:rFonts w:hint="eastAsia" w:ascii="Times New Roman" w:hAnsi="Times New Roman" w:eastAsia="仿宋_GB2312" w:cs="仿宋_GB2312"/>
          <w:color w:val="auto"/>
          <w:sz w:val="32"/>
          <w:szCs w:val="32"/>
          <w:highlight w:val="none"/>
          <w:u w:val="none"/>
          <w:shd w:val="clear" w:color="auto" w:fill="FFFFFF"/>
          <w:lang w:bidi="ar"/>
        </w:rPr>
        <w:t>按照诊疗规范提供合理、必要的</w:t>
      </w:r>
      <w:r>
        <w:rPr>
          <w:rFonts w:hint="eastAsia" w:ascii="Times New Roman" w:hAnsi="Times New Roman" w:eastAsia="仿宋_GB2312" w:cs="仿宋_GB2312"/>
          <w:color w:val="auto"/>
          <w:sz w:val="32"/>
          <w:szCs w:val="32"/>
          <w:highlight w:val="none"/>
          <w:u w:val="none"/>
          <w:shd w:val="clear" w:color="auto" w:fill="FFFFFF"/>
          <w:lang w:eastAsia="zh-CN" w:bidi="ar"/>
        </w:rPr>
        <w:t>医药</w:t>
      </w:r>
      <w:r>
        <w:rPr>
          <w:rFonts w:hint="eastAsia" w:ascii="Times New Roman" w:hAnsi="Times New Roman" w:eastAsia="仿宋_GB2312" w:cs="仿宋_GB2312"/>
          <w:color w:val="auto"/>
          <w:sz w:val="32"/>
          <w:szCs w:val="32"/>
          <w:highlight w:val="none"/>
          <w:u w:val="none"/>
          <w:shd w:val="clear" w:color="auto" w:fill="FFFFFF"/>
          <w:lang w:bidi="ar"/>
        </w:rPr>
        <w:t>服务</w:t>
      </w:r>
      <w:r>
        <w:rPr>
          <w:rFonts w:hint="eastAsia" w:ascii="Times New Roman" w:hAnsi="Times New Roman" w:eastAsia="仿宋_GB2312" w:cs="仿宋_GB2312"/>
          <w:color w:val="auto"/>
          <w:sz w:val="32"/>
          <w:szCs w:val="32"/>
          <w:highlight w:val="none"/>
          <w:u w:val="none"/>
          <w:shd w:val="clear" w:color="auto" w:fill="FFFFFF"/>
          <w:lang w:eastAsia="zh-CN" w:bidi="ar"/>
        </w:rPr>
        <w:t>的；</w:t>
      </w:r>
    </w:p>
    <w:p>
      <w:pPr>
        <w:pStyle w:val="10"/>
        <w:pageBreakBefore w:val="0"/>
        <w:numPr>
          <w:ilvl w:val="0"/>
          <w:numId w:val="1"/>
        </w:numPr>
        <w:kinsoku/>
        <w:wordWrap/>
        <w:overflowPunct/>
        <w:topLinePunct w:val="0"/>
        <w:bidi w:val="0"/>
        <w:spacing w:beforeLines="0" w:afterLines="0" w:line="560" w:lineRule="exact"/>
        <w:ind w:firstLine="640" w:firstLineChars="200"/>
        <w:jc w:val="both"/>
        <w:textAlignment w:val="auto"/>
        <w:rPr>
          <w:rFonts w:hint="default" w:ascii="Times New Roman" w:hAnsi="Times New Roman" w:eastAsia="仿宋_GB2312" w:cs="仿宋_GB2312"/>
          <w:bCs w:val="0"/>
          <w:i w:val="0"/>
          <w:iCs w:val="0"/>
          <w:color w:val="auto"/>
          <w:kern w:val="0"/>
          <w:sz w:val="32"/>
          <w:szCs w:val="32"/>
          <w:highlight w:val="none"/>
          <w:u w:val="none"/>
          <w:shd w:val="clear" w:color="auto" w:fill="FFFFFF"/>
          <w:lang w:val="en-US" w:eastAsia="zh-CN" w:bidi="ar"/>
        </w:rPr>
      </w:pPr>
      <w:r>
        <w:rPr>
          <w:rFonts w:hint="eastAsia" w:ascii="Times New Roman" w:hAnsi="Times New Roman" w:eastAsia="仿宋_GB2312" w:cs="Times New Roman"/>
          <w:color w:val="auto"/>
          <w:kern w:val="2"/>
          <w:sz w:val="32"/>
          <w:szCs w:val="32"/>
          <w:highlight w:val="none"/>
          <w:lang w:eastAsia="zh-CN" w:bidi="ar"/>
        </w:rPr>
        <w:t>未严格落实“先诊疗后付费”的；</w:t>
      </w:r>
    </w:p>
    <w:p>
      <w:pPr>
        <w:pStyle w:val="10"/>
        <w:pageBreakBefore w:val="0"/>
        <w:numPr>
          <w:ilvl w:val="0"/>
          <w:numId w:val="1"/>
        </w:numPr>
        <w:kinsoku/>
        <w:wordWrap/>
        <w:overflowPunct/>
        <w:topLinePunct w:val="0"/>
        <w:bidi w:val="0"/>
        <w:spacing w:beforeLines="0" w:afterLines="0" w:line="560" w:lineRule="exact"/>
        <w:ind w:firstLine="640" w:firstLineChars="200"/>
        <w:jc w:val="both"/>
        <w:textAlignment w:val="auto"/>
        <w:rPr>
          <w:rFonts w:hint="default" w:ascii="Times New Roman" w:hAnsi="Times New Roman" w:eastAsia="仿宋_GB2312" w:cs="仿宋_GB2312"/>
          <w:bCs w:val="0"/>
          <w:i w:val="0"/>
          <w:iCs w:val="0"/>
          <w:color w:val="auto"/>
          <w:kern w:val="0"/>
          <w:sz w:val="32"/>
          <w:szCs w:val="32"/>
          <w:highlight w:val="none"/>
          <w:u w:val="none"/>
          <w:shd w:val="clear" w:color="auto" w:fill="FFFFFF"/>
          <w:lang w:val="en-US" w:eastAsia="zh-CN" w:bidi="ar"/>
        </w:rPr>
      </w:pPr>
      <w:r>
        <w:rPr>
          <w:rFonts w:hint="default" w:ascii="Times New Roman" w:hAnsi="Times New Roman" w:eastAsia="仿宋_GB2312" w:cs="仿宋_GB2312"/>
          <w:bCs w:val="0"/>
          <w:i w:val="0"/>
          <w:iCs w:val="0"/>
          <w:color w:val="auto"/>
          <w:kern w:val="0"/>
          <w:sz w:val="32"/>
          <w:szCs w:val="32"/>
          <w:highlight w:val="none"/>
          <w:u w:val="none"/>
          <w:shd w:val="clear" w:color="auto" w:fill="FFFFFF"/>
          <w:lang w:val="en-US" w:eastAsia="zh-CN" w:bidi="ar"/>
        </w:rPr>
        <w:t>伪造、变造、隐匿、涂改、销毁医学文书、医学证明、会计凭证、电子信息等有关资料，或者虚构医药服务项目等方式，骗取</w:t>
      </w:r>
      <w:r>
        <w:rPr>
          <w:rFonts w:hint="eastAsia" w:ascii="Times New Roman" w:hAnsi="Times New Roman" w:eastAsia="仿宋_GB2312" w:cs="仿宋_GB2312"/>
          <w:bCs w:val="0"/>
          <w:i w:val="0"/>
          <w:iCs w:val="0"/>
          <w:color w:val="auto"/>
          <w:kern w:val="0"/>
          <w:sz w:val="32"/>
          <w:szCs w:val="32"/>
          <w:highlight w:val="none"/>
          <w:u w:val="none"/>
          <w:shd w:val="clear" w:color="auto" w:fill="FFFFFF"/>
          <w:lang w:val="en-US" w:eastAsia="zh-CN" w:bidi="ar"/>
        </w:rPr>
        <w:t>医疗救助</w:t>
      </w:r>
      <w:r>
        <w:rPr>
          <w:rFonts w:hint="default" w:ascii="Times New Roman" w:hAnsi="Times New Roman" w:eastAsia="仿宋_GB2312" w:cs="仿宋_GB2312"/>
          <w:bCs w:val="0"/>
          <w:i w:val="0"/>
          <w:iCs w:val="0"/>
          <w:color w:val="auto"/>
          <w:kern w:val="0"/>
          <w:sz w:val="32"/>
          <w:szCs w:val="32"/>
          <w:highlight w:val="none"/>
          <w:u w:val="none"/>
          <w:shd w:val="clear" w:color="auto" w:fill="FFFFFF"/>
          <w:lang w:val="en-US" w:eastAsia="zh-CN" w:bidi="ar"/>
        </w:rPr>
        <w:t>基金</w:t>
      </w:r>
      <w:r>
        <w:rPr>
          <w:rFonts w:hint="eastAsia" w:ascii="Times New Roman" w:hAnsi="Times New Roman" w:eastAsia="仿宋_GB2312" w:cs="仿宋_GB2312"/>
          <w:bCs w:val="0"/>
          <w:i w:val="0"/>
          <w:iCs w:val="0"/>
          <w:color w:val="auto"/>
          <w:kern w:val="0"/>
          <w:sz w:val="32"/>
          <w:szCs w:val="32"/>
          <w:highlight w:val="none"/>
          <w:u w:val="none"/>
          <w:shd w:val="clear" w:color="auto" w:fill="FFFFFF"/>
          <w:lang w:val="en-US" w:eastAsia="zh-CN" w:bidi="ar"/>
        </w:rPr>
        <w:t>的；</w:t>
      </w:r>
    </w:p>
    <w:p>
      <w:pPr>
        <w:pStyle w:val="10"/>
        <w:pageBreakBefore w:val="0"/>
        <w:numPr>
          <w:ilvl w:val="0"/>
          <w:numId w:val="1"/>
        </w:numPr>
        <w:kinsoku/>
        <w:wordWrap/>
        <w:overflowPunct/>
        <w:topLinePunct w:val="0"/>
        <w:bidi w:val="0"/>
        <w:spacing w:beforeLines="0" w:afterLines="0" w:line="560" w:lineRule="exact"/>
        <w:ind w:firstLine="640" w:firstLineChars="200"/>
        <w:jc w:val="both"/>
        <w:textAlignment w:val="auto"/>
        <w:rPr>
          <w:rFonts w:hint="default" w:ascii="Times New Roman" w:hAnsi="Times New Roman" w:eastAsia="仿宋_GB2312" w:cs="仿宋_GB2312"/>
          <w:bCs w:val="0"/>
          <w:i w:val="0"/>
          <w:iCs w:val="0"/>
          <w:color w:val="auto"/>
          <w:kern w:val="0"/>
          <w:sz w:val="32"/>
          <w:szCs w:val="32"/>
          <w:highlight w:val="none"/>
          <w:u w:val="none"/>
          <w:shd w:val="clear" w:color="auto" w:fill="FFFFFF"/>
          <w:lang w:val="en-US" w:eastAsia="zh-CN" w:bidi="ar"/>
        </w:rPr>
      </w:pPr>
      <w:r>
        <w:rPr>
          <w:rFonts w:hint="default" w:ascii="Times New Roman" w:hAnsi="Times New Roman" w:eastAsia="仿宋_GB2312" w:cs="仿宋_GB2312"/>
          <w:bCs w:val="0"/>
          <w:i w:val="0"/>
          <w:iCs w:val="0"/>
          <w:color w:val="auto"/>
          <w:kern w:val="0"/>
          <w:sz w:val="32"/>
          <w:szCs w:val="32"/>
          <w:highlight w:val="none"/>
          <w:u w:val="none"/>
          <w:shd w:val="clear" w:color="auto" w:fill="FFFFFF"/>
          <w:lang w:val="en-US" w:eastAsia="zh-CN" w:bidi="ar"/>
        </w:rPr>
        <w:t>侵占或者挪用</w:t>
      </w:r>
      <w:r>
        <w:rPr>
          <w:rFonts w:hint="eastAsia" w:ascii="Times New Roman" w:hAnsi="Times New Roman" w:eastAsia="仿宋_GB2312" w:cs="仿宋_GB2312"/>
          <w:bCs w:val="0"/>
          <w:i w:val="0"/>
          <w:iCs w:val="0"/>
          <w:color w:val="auto"/>
          <w:kern w:val="0"/>
          <w:sz w:val="32"/>
          <w:szCs w:val="32"/>
          <w:highlight w:val="none"/>
          <w:u w:val="none"/>
          <w:shd w:val="clear" w:color="auto" w:fill="FFFFFF"/>
          <w:lang w:val="en-US" w:eastAsia="zh-CN" w:bidi="ar"/>
        </w:rPr>
        <w:t>医疗救助基金的；</w:t>
      </w:r>
    </w:p>
    <w:p>
      <w:pPr>
        <w:pStyle w:val="10"/>
        <w:pageBreakBefore w:val="0"/>
        <w:numPr>
          <w:ilvl w:val="0"/>
          <w:numId w:val="1"/>
        </w:numPr>
        <w:kinsoku/>
        <w:wordWrap/>
        <w:overflowPunct/>
        <w:topLinePunct w:val="0"/>
        <w:bidi w:val="0"/>
        <w:spacing w:beforeLines="0" w:afterLines="0" w:line="560" w:lineRule="exact"/>
        <w:ind w:firstLine="640" w:firstLineChars="200"/>
        <w:jc w:val="both"/>
        <w:textAlignment w:val="auto"/>
        <w:rPr>
          <w:rFonts w:hint="eastAsia" w:ascii="Times New Roman" w:hAnsi="Times New Roman" w:eastAsia="仿宋_GB2312" w:cs="仿宋_GB2312"/>
          <w:i w:val="0"/>
          <w:iCs w:val="0"/>
          <w:color w:val="auto"/>
          <w:sz w:val="32"/>
          <w:szCs w:val="32"/>
          <w:highlight w:val="none"/>
          <w:u w:val="none"/>
        </w:rPr>
      </w:pPr>
      <w:r>
        <w:rPr>
          <w:rFonts w:hint="eastAsia" w:ascii="Times New Roman" w:hAnsi="Times New Roman" w:eastAsia="仿宋_GB2312" w:cs="仿宋_GB2312"/>
          <w:bCs w:val="0"/>
          <w:i w:val="0"/>
          <w:iCs w:val="0"/>
          <w:color w:val="auto"/>
          <w:kern w:val="0"/>
          <w:sz w:val="32"/>
          <w:szCs w:val="32"/>
          <w:highlight w:val="none"/>
          <w:u w:val="none"/>
          <w:shd w:val="clear" w:color="auto" w:fill="FFFFFF"/>
          <w:lang w:val="en-US" w:eastAsia="zh-CN" w:bidi="ar"/>
        </w:rPr>
        <w:t>其他违反协议的行为。</w:t>
      </w:r>
    </w:p>
    <w:p>
      <w:pPr>
        <w:pageBreakBefore w:val="0"/>
        <w:kinsoku/>
        <w:wordWrap/>
        <w:overflowPunct/>
        <w:topLinePunct w:val="0"/>
        <w:bidi w:val="0"/>
        <w:spacing w:beforeLines="0" w:afterLines="0" w:line="560" w:lineRule="exact"/>
        <w:ind w:firstLine="640" w:firstLineChars="200"/>
        <w:textAlignment w:val="auto"/>
        <w:rPr>
          <w:rFonts w:hint="eastAsia" w:ascii="Times New Roman" w:hAnsi="Times New Roman" w:eastAsia="仿宋_GB2312" w:cs="仿宋_GB2312"/>
          <w:b w:val="0"/>
          <w:bCs w:val="0"/>
          <w:color w:val="auto"/>
          <w:kern w:val="21"/>
          <w:sz w:val="32"/>
          <w:szCs w:val="32"/>
          <w:highlight w:val="none"/>
          <w:lang w:eastAsia="zh-CN"/>
        </w:rPr>
      </w:pPr>
      <w:r>
        <w:rPr>
          <w:rFonts w:hint="eastAsia" w:ascii="Times New Roman" w:hAnsi="Times New Roman" w:eastAsia="黑体" w:cs="仿宋_GB2312"/>
          <w:bCs/>
          <w:i w:val="0"/>
          <w:iCs w:val="0"/>
          <w:color w:val="auto"/>
          <w:kern w:val="21"/>
          <w:sz w:val="32"/>
          <w:szCs w:val="32"/>
          <w:highlight w:val="none"/>
          <w:u w:val="none"/>
        </w:rPr>
        <w:t>第</w:t>
      </w:r>
      <w:r>
        <w:rPr>
          <w:rFonts w:hint="eastAsia" w:ascii="Times New Roman" w:hAnsi="Times New Roman" w:eastAsia="黑体" w:cs="仿宋_GB2312"/>
          <w:bCs/>
          <w:i w:val="0"/>
          <w:iCs w:val="0"/>
          <w:color w:val="auto"/>
          <w:kern w:val="21"/>
          <w:sz w:val="32"/>
          <w:szCs w:val="32"/>
          <w:highlight w:val="none"/>
          <w:u w:val="none"/>
          <w:lang w:val="en-US" w:eastAsia="zh-CN"/>
        </w:rPr>
        <w:t>二十三</w:t>
      </w:r>
      <w:r>
        <w:rPr>
          <w:rFonts w:hint="eastAsia" w:ascii="Times New Roman" w:hAnsi="Times New Roman" w:eastAsia="黑体" w:cs="仿宋_GB2312"/>
          <w:bCs/>
          <w:i w:val="0"/>
          <w:iCs w:val="0"/>
          <w:color w:val="auto"/>
          <w:kern w:val="21"/>
          <w:sz w:val="32"/>
          <w:szCs w:val="32"/>
          <w:highlight w:val="none"/>
          <w:u w:val="none"/>
        </w:rPr>
        <w:t>条</w:t>
      </w:r>
      <w:r>
        <w:rPr>
          <w:rFonts w:hint="eastAsia" w:ascii="Times New Roman" w:hAnsi="Times New Roman" w:eastAsia="黑体" w:cs="黑体"/>
          <w:b w:val="0"/>
          <w:bCs w:val="0"/>
          <w:color w:val="auto"/>
          <w:kern w:val="21"/>
          <w:sz w:val="32"/>
          <w:szCs w:val="32"/>
          <w:highlight w:val="none"/>
          <w:lang w:eastAsia="zh-CN"/>
        </w:rPr>
        <w:t>【基金核查】</w:t>
      </w:r>
      <w:r>
        <w:rPr>
          <w:rFonts w:hint="eastAsia" w:ascii="Times New Roman" w:hAnsi="Times New Roman" w:eastAsia="仿宋_GB2312" w:cs="仿宋_GB2312"/>
          <w:b w:val="0"/>
          <w:bCs w:val="0"/>
          <w:color w:val="auto"/>
          <w:kern w:val="21"/>
          <w:sz w:val="32"/>
          <w:szCs w:val="32"/>
          <w:highlight w:val="none"/>
          <w:lang w:val="en-US" w:eastAsia="zh-CN"/>
        </w:rPr>
        <w:t>医保中心</w:t>
      </w:r>
      <w:r>
        <w:rPr>
          <w:rFonts w:hint="eastAsia" w:ascii="Times New Roman" w:hAnsi="Times New Roman" w:eastAsia="仿宋_GB2312" w:cs="仿宋_GB2312"/>
          <w:b w:val="0"/>
          <w:bCs w:val="0"/>
          <w:color w:val="auto"/>
          <w:kern w:val="21"/>
          <w:sz w:val="32"/>
          <w:szCs w:val="32"/>
          <w:highlight w:val="none"/>
          <w:lang w:eastAsia="zh-CN"/>
        </w:rPr>
        <w:t>应当定期开展</w:t>
      </w:r>
      <w:r>
        <w:rPr>
          <w:rFonts w:hint="eastAsia" w:ascii="Times New Roman" w:hAnsi="Times New Roman" w:eastAsia="仿宋_GB2312" w:cs="仿宋_GB2312"/>
          <w:b w:val="0"/>
          <w:bCs w:val="0"/>
          <w:color w:val="auto"/>
          <w:kern w:val="21"/>
          <w:sz w:val="32"/>
          <w:szCs w:val="32"/>
          <w:highlight w:val="none"/>
          <w:lang w:val="en-US" w:eastAsia="zh-CN"/>
        </w:rPr>
        <w:t>内控风险评估和监督检查工作，</w:t>
      </w:r>
      <w:r>
        <w:rPr>
          <w:rFonts w:hint="eastAsia" w:ascii="Times New Roman" w:hAnsi="Times New Roman" w:eastAsia="仿宋_GB2312" w:cs="仿宋_GB2312"/>
          <w:b w:val="0"/>
          <w:bCs w:val="0"/>
          <w:color w:val="auto"/>
          <w:kern w:val="21"/>
          <w:sz w:val="32"/>
          <w:szCs w:val="32"/>
          <w:highlight w:val="none"/>
          <w:lang w:eastAsia="zh-CN"/>
        </w:rPr>
        <w:t>发现有下列情形之一的，应当查明情况并及时改正；对涉嫌违法违规的，依法移交有关行政部门处理：</w:t>
      </w:r>
    </w:p>
    <w:p>
      <w:pPr>
        <w:pageBreakBefore w:val="0"/>
        <w:kinsoku/>
        <w:wordWrap/>
        <w:overflowPunct/>
        <w:topLinePunct w:val="0"/>
        <w:bidi w:val="0"/>
        <w:spacing w:beforeLines="0" w:afterLines="0" w:line="560" w:lineRule="exact"/>
        <w:ind w:left="638" w:leftChars="304" w:firstLine="0" w:firstLineChars="0"/>
        <w:textAlignment w:val="auto"/>
        <w:rPr>
          <w:rFonts w:hint="eastAsia" w:ascii="Times New Roman" w:hAnsi="Times New Roman" w:eastAsia="仿宋_GB2312" w:cs="仿宋_GB2312"/>
          <w:b w:val="0"/>
          <w:bCs w:val="0"/>
          <w:color w:val="auto"/>
          <w:kern w:val="21"/>
          <w:sz w:val="32"/>
          <w:szCs w:val="32"/>
          <w:highlight w:val="none"/>
          <w:lang w:eastAsia="zh-CN"/>
        </w:rPr>
      </w:pPr>
      <w:r>
        <w:rPr>
          <w:rFonts w:hint="eastAsia" w:ascii="Times New Roman" w:hAnsi="Times New Roman" w:eastAsia="仿宋_GB2312" w:cs="仿宋_GB2312"/>
          <w:b w:val="0"/>
          <w:bCs w:val="0"/>
          <w:color w:val="auto"/>
          <w:kern w:val="21"/>
          <w:sz w:val="32"/>
          <w:szCs w:val="32"/>
          <w:highlight w:val="none"/>
          <w:lang w:eastAsia="zh-CN"/>
        </w:rPr>
        <w:t>（一）</w:t>
      </w:r>
      <w:r>
        <w:rPr>
          <w:rFonts w:hint="eastAsia" w:ascii="Times New Roman" w:hAnsi="Times New Roman" w:eastAsia="仿宋_GB2312" w:cs="仿宋_GB2312"/>
          <w:b w:val="0"/>
          <w:bCs w:val="0"/>
          <w:color w:val="auto"/>
          <w:kern w:val="21"/>
          <w:sz w:val="32"/>
          <w:szCs w:val="32"/>
          <w:highlight w:val="none"/>
          <w:lang w:val="en-US" w:eastAsia="zh-CN"/>
        </w:rPr>
        <w:t>未建立健全和落实业务、财务、安全和风险管理制度；</w:t>
      </w:r>
      <w:r>
        <w:rPr>
          <w:rFonts w:hint="eastAsia" w:ascii="Times New Roman" w:hAnsi="Times New Roman" w:eastAsia="仿宋_GB2312" w:cs="仿宋_GB2312"/>
          <w:b w:val="0"/>
          <w:bCs w:val="0"/>
          <w:color w:val="auto"/>
          <w:kern w:val="21"/>
          <w:sz w:val="32"/>
          <w:szCs w:val="32"/>
          <w:highlight w:val="none"/>
          <w:lang w:eastAsia="zh-CN"/>
        </w:rPr>
        <w:t>（二）未</w:t>
      </w:r>
      <w:r>
        <w:rPr>
          <w:rFonts w:hint="eastAsia" w:ascii="Times New Roman" w:hAnsi="Times New Roman" w:eastAsia="仿宋_GB2312" w:cs="仿宋_GB2312"/>
          <w:b w:val="0"/>
          <w:bCs w:val="0"/>
          <w:color w:val="auto"/>
          <w:kern w:val="21"/>
          <w:sz w:val="32"/>
          <w:szCs w:val="32"/>
          <w:highlight w:val="none"/>
          <w:lang w:val="en-US" w:eastAsia="zh-CN"/>
        </w:rPr>
        <w:t>履行服务协议管理、费用监控、基金拨付、待遇审核及支付等职责</w:t>
      </w:r>
      <w:r>
        <w:rPr>
          <w:rFonts w:hint="eastAsia" w:ascii="Times New Roman" w:hAnsi="Times New Roman" w:eastAsia="仿宋_GB2312" w:cs="仿宋_GB2312"/>
          <w:b w:val="0"/>
          <w:bCs w:val="0"/>
          <w:color w:val="auto"/>
          <w:kern w:val="21"/>
          <w:sz w:val="32"/>
          <w:szCs w:val="32"/>
          <w:highlight w:val="none"/>
          <w:lang w:eastAsia="zh-CN"/>
        </w:rPr>
        <w:t>；</w:t>
      </w:r>
    </w:p>
    <w:p>
      <w:pPr>
        <w:pageBreakBefore w:val="0"/>
        <w:kinsoku/>
        <w:wordWrap/>
        <w:overflowPunct/>
        <w:topLinePunct w:val="0"/>
        <w:bidi w:val="0"/>
        <w:spacing w:beforeLines="0" w:afterLines="0" w:line="560" w:lineRule="exact"/>
        <w:ind w:firstLine="640" w:firstLineChars="200"/>
        <w:textAlignment w:val="auto"/>
        <w:rPr>
          <w:rFonts w:hint="eastAsia" w:ascii="Times New Roman" w:hAnsi="Times New Roman" w:eastAsia="仿宋_GB2312" w:cs="仿宋_GB2312"/>
          <w:b w:val="0"/>
          <w:bCs w:val="0"/>
          <w:color w:val="auto"/>
          <w:kern w:val="21"/>
          <w:sz w:val="32"/>
          <w:szCs w:val="32"/>
          <w:highlight w:val="none"/>
          <w:lang w:eastAsia="zh-CN"/>
        </w:rPr>
      </w:pPr>
      <w:r>
        <w:rPr>
          <w:rFonts w:hint="eastAsia" w:ascii="Times New Roman" w:hAnsi="Times New Roman" w:eastAsia="仿宋_GB2312" w:cs="仿宋_GB2312"/>
          <w:b w:val="0"/>
          <w:bCs w:val="0"/>
          <w:color w:val="auto"/>
          <w:kern w:val="21"/>
          <w:sz w:val="32"/>
          <w:szCs w:val="32"/>
          <w:highlight w:val="none"/>
          <w:lang w:eastAsia="zh-CN"/>
        </w:rPr>
        <w:t>（三）未按</w:t>
      </w:r>
      <w:r>
        <w:rPr>
          <w:rFonts w:hint="eastAsia" w:ascii="Times New Roman" w:hAnsi="Times New Roman" w:eastAsia="仿宋_GB2312" w:cs="仿宋_GB2312"/>
          <w:b w:val="0"/>
          <w:bCs w:val="0"/>
          <w:color w:val="auto"/>
          <w:kern w:val="21"/>
          <w:sz w:val="32"/>
          <w:szCs w:val="32"/>
          <w:highlight w:val="none"/>
          <w:lang w:val="en-US" w:eastAsia="zh-CN"/>
        </w:rPr>
        <w:t>向社会公开医疗保障基金的收入、支出、结余等情况；</w:t>
      </w:r>
    </w:p>
    <w:p>
      <w:pPr>
        <w:pageBreakBefore w:val="0"/>
        <w:numPr>
          <w:ilvl w:val="0"/>
          <w:numId w:val="0"/>
        </w:numPr>
        <w:kinsoku/>
        <w:wordWrap/>
        <w:overflowPunct/>
        <w:topLinePunct w:val="0"/>
        <w:bidi w:val="0"/>
        <w:spacing w:beforeLines="0" w:afterLines="0" w:line="560" w:lineRule="exact"/>
        <w:ind w:firstLine="640" w:firstLineChars="200"/>
        <w:textAlignment w:val="auto"/>
        <w:rPr>
          <w:rFonts w:hint="default" w:ascii="Times New Roman" w:hAnsi="Times New Roman" w:eastAsia="仿宋_GB2312" w:cs="仿宋_GB2312"/>
          <w:b w:val="0"/>
          <w:bCs w:val="0"/>
          <w:color w:val="auto"/>
          <w:kern w:val="21"/>
          <w:sz w:val="32"/>
          <w:szCs w:val="32"/>
          <w:highlight w:val="none"/>
          <w:lang w:val="en-US" w:eastAsia="zh-CN"/>
        </w:rPr>
      </w:pPr>
      <w:r>
        <w:rPr>
          <w:rFonts w:hint="eastAsia" w:ascii="Times New Roman" w:hAnsi="Times New Roman" w:eastAsia="仿宋_GB2312" w:cs="仿宋_GB2312"/>
          <w:b w:val="0"/>
          <w:bCs w:val="0"/>
          <w:color w:val="auto"/>
          <w:kern w:val="21"/>
          <w:sz w:val="32"/>
          <w:szCs w:val="32"/>
          <w:highlight w:val="none"/>
          <w:lang w:eastAsia="zh-CN"/>
        </w:rPr>
        <w:t>（四）其他不符合规定的情形。</w:t>
      </w:r>
    </w:p>
    <w:bookmarkEnd w:id="1"/>
    <w:p>
      <w:pPr>
        <w:pStyle w:val="2"/>
        <w:pageBreakBefore w:val="0"/>
        <w:kinsoku/>
        <w:wordWrap/>
        <w:overflowPunct/>
        <w:topLinePunct w:val="0"/>
        <w:bidi w:val="0"/>
        <w:spacing w:before="0" w:beforeLines="0" w:after="0" w:afterLines="0" w:afterAutospacing="0" w:line="560" w:lineRule="exact"/>
        <w:jc w:val="center"/>
        <w:textAlignment w:val="auto"/>
        <w:rPr>
          <w:rFonts w:hint="eastAsia" w:ascii="Times New Roman" w:hAnsi="Times New Roman" w:eastAsia="黑体" w:cs="黑体"/>
          <w:b w:val="0"/>
          <w:bCs w:val="0"/>
          <w:color w:val="auto"/>
          <w:sz w:val="32"/>
          <w:szCs w:val="32"/>
          <w:highlight w:val="none"/>
        </w:rPr>
      </w:pPr>
    </w:p>
    <w:p>
      <w:pPr>
        <w:pStyle w:val="2"/>
        <w:pageBreakBefore w:val="0"/>
        <w:kinsoku/>
        <w:wordWrap/>
        <w:overflowPunct/>
        <w:topLinePunct w:val="0"/>
        <w:bidi w:val="0"/>
        <w:spacing w:before="0" w:beforeLines="0" w:after="0" w:afterLines="0" w:afterAutospacing="0" w:line="560" w:lineRule="exact"/>
        <w:jc w:val="center"/>
        <w:textAlignment w:val="auto"/>
        <w:rPr>
          <w:rFonts w:hint="eastAsia" w:ascii="Times New Roman" w:hAnsi="Times New Roman" w:eastAsia="黑体" w:cs="黑体"/>
          <w:b w:val="0"/>
          <w:bCs w:val="0"/>
          <w:color w:val="auto"/>
          <w:sz w:val="32"/>
          <w:szCs w:val="32"/>
          <w:highlight w:val="none"/>
        </w:rPr>
      </w:pPr>
      <w:r>
        <w:rPr>
          <w:rFonts w:hint="eastAsia" w:ascii="Times New Roman" w:hAnsi="Times New Roman" w:eastAsia="黑体" w:cs="黑体"/>
          <w:b w:val="0"/>
          <w:bCs w:val="0"/>
          <w:color w:val="auto"/>
          <w:sz w:val="32"/>
          <w:szCs w:val="32"/>
          <w:highlight w:val="none"/>
        </w:rPr>
        <w:t>第</w:t>
      </w:r>
      <w:r>
        <w:rPr>
          <w:rFonts w:hint="eastAsia" w:ascii="Times New Roman" w:hAnsi="Times New Roman" w:eastAsia="黑体" w:cs="黑体"/>
          <w:b w:val="0"/>
          <w:bCs w:val="0"/>
          <w:color w:val="auto"/>
          <w:sz w:val="32"/>
          <w:szCs w:val="32"/>
          <w:highlight w:val="none"/>
          <w:lang w:val="en-US" w:eastAsia="zh-CN"/>
        </w:rPr>
        <w:t>六</w:t>
      </w:r>
      <w:r>
        <w:rPr>
          <w:rFonts w:hint="eastAsia" w:ascii="Times New Roman" w:hAnsi="Times New Roman" w:eastAsia="黑体" w:cs="黑体"/>
          <w:b w:val="0"/>
          <w:bCs w:val="0"/>
          <w:color w:val="auto"/>
          <w:sz w:val="32"/>
          <w:szCs w:val="32"/>
          <w:highlight w:val="none"/>
        </w:rPr>
        <w:t>章  附</w:t>
      </w:r>
      <w:r>
        <w:rPr>
          <w:rFonts w:hint="eastAsia" w:ascii="Times New Roman" w:hAnsi="Times New Roman" w:eastAsia="黑体" w:cs="黑体"/>
          <w:b w:val="0"/>
          <w:bCs w:val="0"/>
          <w:color w:val="auto"/>
          <w:sz w:val="32"/>
          <w:szCs w:val="32"/>
          <w:highlight w:val="none"/>
          <w:lang w:val="en-US" w:eastAsia="zh-CN"/>
        </w:rPr>
        <w:t xml:space="preserve">  </w:t>
      </w:r>
      <w:r>
        <w:rPr>
          <w:rFonts w:hint="eastAsia" w:ascii="Times New Roman" w:hAnsi="Times New Roman" w:eastAsia="黑体" w:cs="黑体"/>
          <w:b w:val="0"/>
          <w:bCs w:val="0"/>
          <w:color w:val="auto"/>
          <w:sz w:val="32"/>
          <w:szCs w:val="32"/>
          <w:highlight w:val="none"/>
        </w:rPr>
        <w:t>则</w:t>
      </w:r>
    </w:p>
    <w:p>
      <w:pPr>
        <w:pageBreakBefore w:val="0"/>
        <w:kinsoku/>
        <w:wordWrap/>
        <w:overflowPunct/>
        <w:topLinePunct w:val="0"/>
        <w:bidi w:val="0"/>
        <w:spacing w:beforeLines="0" w:afterLines="0" w:afterAutospacing="0" w:line="560" w:lineRule="exact"/>
        <w:ind w:firstLine="640" w:firstLineChars="200"/>
        <w:jc w:val="both"/>
        <w:textAlignment w:val="auto"/>
        <w:rPr>
          <w:rFonts w:hint="eastAsia" w:ascii="Times New Roman" w:hAnsi="Times New Roman" w:eastAsia="黑体" w:cs="仿宋_GB2312"/>
          <w:b w:val="0"/>
          <w:bCs w:val="0"/>
          <w:color w:val="auto"/>
          <w:kern w:val="21"/>
          <w:sz w:val="32"/>
          <w:szCs w:val="32"/>
          <w:highlight w:val="none"/>
        </w:rPr>
      </w:pPr>
      <w:bookmarkStart w:id="2" w:name="_Toc9506_WPSOffice_Level2"/>
      <w:bookmarkStart w:id="3" w:name="_Toc23094_WPSOffice_Level2"/>
      <w:r>
        <w:rPr>
          <w:rFonts w:hint="eastAsia" w:ascii="Times New Roman" w:hAnsi="Times New Roman" w:eastAsia="黑体" w:cs="仿宋_GB2312"/>
          <w:b w:val="0"/>
          <w:bCs w:val="0"/>
          <w:color w:val="auto"/>
          <w:kern w:val="21"/>
          <w:sz w:val="32"/>
          <w:szCs w:val="32"/>
          <w:highlight w:val="none"/>
        </w:rPr>
        <w:t>第</w:t>
      </w:r>
      <w:r>
        <w:rPr>
          <w:rFonts w:hint="eastAsia" w:ascii="Times New Roman" w:hAnsi="Times New Roman" w:eastAsia="黑体" w:cs="仿宋_GB2312"/>
          <w:b w:val="0"/>
          <w:bCs w:val="0"/>
          <w:color w:val="auto"/>
          <w:kern w:val="21"/>
          <w:sz w:val="32"/>
          <w:szCs w:val="32"/>
          <w:highlight w:val="none"/>
          <w:lang w:eastAsia="zh-CN"/>
        </w:rPr>
        <w:t>二十</w:t>
      </w:r>
      <w:r>
        <w:rPr>
          <w:rFonts w:hint="eastAsia" w:ascii="Times New Roman" w:hAnsi="Times New Roman" w:eastAsia="黑体" w:cs="仿宋_GB2312"/>
          <w:b w:val="0"/>
          <w:bCs w:val="0"/>
          <w:color w:val="auto"/>
          <w:kern w:val="21"/>
          <w:sz w:val="32"/>
          <w:szCs w:val="32"/>
          <w:highlight w:val="none"/>
          <w:lang w:val="en-US" w:eastAsia="zh-CN"/>
        </w:rPr>
        <w:t>四</w:t>
      </w:r>
      <w:r>
        <w:rPr>
          <w:rFonts w:hint="eastAsia" w:ascii="Times New Roman" w:hAnsi="Times New Roman" w:eastAsia="黑体" w:cs="仿宋_GB2312"/>
          <w:b w:val="0"/>
          <w:bCs w:val="0"/>
          <w:color w:val="auto"/>
          <w:kern w:val="21"/>
          <w:sz w:val="32"/>
          <w:szCs w:val="32"/>
          <w:highlight w:val="none"/>
        </w:rPr>
        <w:t>条</w:t>
      </w:r>
      <w:r>
        <w:rPr>
          <w:rFonts w:hint="eastAsia" w:ascii="Times New Roman" w:hAnsi="Times New Roman" w:eastAsia="黑体" w:cs="黑体"/>
          <w:b w:val="0"/>
          <w:bCs w:val="0"/>
          <w:color w:val="auto"/>
          <w:sz w:val="32"/>
          <w:szCs w:val="32"/>
          <w:highlight w:val="none"/>
        </w:rPr>
        <w:t>【</w:t>
      </w:r>
      <w:r>
        <w:rPr>
          <w:rFonts w:hint="eastAsia" w:ascii="Times New Roman" w:hAnsi="Times New Roman" w:eastAsia="黑体" w:cs="黑体"/>
          <w:b w:val="0"/>
          <w:bCs w:val="0"/>
          <w:color w:val="auto"/>
          <w:sz w:val="32"/>
          <w:szCs w:val="32"/>
          <w:highlight w:val="none"/>
          <w:lang w:val="en-US" w:eastAsia="zh-CN"/>
        </w:rPr>
        <w:t>实施时间</w:t>
      </w:r>
      <w:r>
        <w:rPr>
          <w:rFonts w:hint="eastAsia" w:ascii="Times New Roman" w:hAnsi="Times New Roman" w:eastAsia="黑体" w:cs="黑体"/>
          <w:b w:val="0"/>
          <w:bCs w:val="0"/>
          <w:color w:val="auto"/>
          <w:sz w:val="32"/>
          <w:szCs w:val="32"/>
          <w:highlight w:val="none"/>
          <w:lang w:eastAsia="zh-CN"/>
        </w:rPr>
        <w:t>】</w:t>
      </w:r>
      <w:r>
        <w:rPr>
          <w:rFonts w:hint="eastAsia" w:ascii="Times New Roman" w:hAnsi="Times New Roman" w:eastAsia="仿宋_GB2312" w:cs="仿宋_GB2312"/>
          <w:b w:val="0"/>
          <w:bCs w:val="0"/>
          <w:color w:val="auto"/>
          <w:kern w:val="21"/>
          <w:sz w:val="32"/>
          <w:szCs w:val="32"/>
          <w:highlight w:val="none"/>
        </w:rPr>
        <w:t>本规程自202</w:t>
      </w:r>
      <w:r>
        <w:rPr>
          <w:rFonts w:hint="eastAsia" w:ascii="Times New Roman" w:hAnsi="Times New Roman" w:eastAsia="仿宋_GB2312" w:cs="仿宋_GB2312"/>
          <w:b w:val="0"/>
          <w:bCs w:val="0"/>
          <w:color w:val="auto"/>
          <w:kern w:val="21"/>
          <w:sz w:val="32"/>
          <w:szCs w:val="32"/>
          <w:highlight w:val="none"/>
          <w:lang w:val="en-US" w:eastAsia="zh-CN"/>
        </w:rPr>
        <w:t>5</w:t>
      </w:r>
      <w:r>
        <w:rPr>
          <w:rFonts w:hint="eastAsia" w:ascii="Times New Roman" w:hAnsi="Times New Roman" w:eastAsia="仿宋_GB2312" w:cs="仿宋_GB2312"/>
          <w:b w:val="0"/>
          <w:bCs w:val="0"/>
          <w:color w:val="auto"/>
          <w:kern w:val="21"/>
          <w:sz w:val="32"/>
          <w:szCs w:val="32"/>
          <w:highlight w:val="none"/>
        </w:rPr>
        <w:t>年</w:t>
      </w:r>
      <w:r>
        <w:rPr>
          <w:rFonts w:hint="eastAsia" w:ascii="Times New Roman" w:hAnsi="Times New Roman" w:eastAsia="仿宋_GB2312" w:cs="仿宋_GB2312"/>
          <w:b w:val="0"/>
          <w:bCs w:val="0"/>
          <w:color w:val="auto"/>
          <w:kern w:val="21"/>
          <w:sz w:val="32"/>
          <w:szCs w:val="32"/>
          <w:highlight w:val="none"/>
          <w:lang w:val="en-US" w:eastAsia="zh-CN"/>
        </w:rPr>
        <w:t>1</w:t>
      </w:r>
      <w:r>
        <w:rPr>
          <w:rFonts w:hint="eastAsia" w:ascii="Times New Roman" w:hAnsi="Times New Roman" w:eastAsia="仿宋_GB2312" w:cs="仿宋_GB2312"/>
          <w:b w:val="0"/>
          <w:bCs w:val="0"/>
          <w:color w:val="auto"/>
          <w:kern w:val="21"/>
          <w:sz w:val="32"/>
          <w:szCs w:val="32"/>
          <w:highlight w:val="none"/>
        </w:rPr>
        <w:t>月</w:t>
      </w:r>
      <w:r>
        <w:rPr>
          <w:rFonts w:hint="eastAsia" w:ascii="Times New Roman" w:hAnsi="Times New Roman" w:eastAsia="仿宋_GB2312" w:cs="仿宋_GB2312"/>
          <w:b w:val="0"/>
          <w:bCs w:val="0"/>
          <w:color w:val="auto"/>
          <w:kern w:val="21"/>
          <w:sz w:val="32"/>
          <w:szCs w:val="32"/>
          <w:highlight w:val="none"/>
          <w:lang w:val="en-US" w:eastAsia="zh-CN"/>
        </w:rPr>
        <w:t>1</w:t>
      </w:r>
      <w:r>
        <w:rPr>
          <w:rFonts w:hint="eastAsia" w:ascii="Times New Roman" w:hAnsi="Times New Roman" w:eastAsia="仿宋_GB2312" w:cs="仿宋_GB2312"/>
          <w:b w:val="0"/>
          <w:bCs w:val="0"/>
          <w:color w:val="auto"/>
          <w:kern w:val="21"/>
          <w:sz w:val="32"/>
          <w:szCs w:val="32"/>
          <w:highlight w:val="none"/>
        </w:rPr>
        <w:t>日起施行，有效期</w:t>
      </w:r>
      <w:r>
        <w:rPr>
          <w:rFonts w:hint="eastAsia" w:ascii="Times New Roman" w:hAnsi="Times New Roman" w:eastAsia="仿宋_GB2312" w:cs="仿宋_GB2312"/>
          <w:b w:val="0"/>
          <w:bCs w:val="0"/>
          <w:color w:val="auto"/>
          <w:kern w:val="21"/>
          <w:sz w:val="32"/>
          <w:szCs w:val="32"/>
          <w:highlight w:val="none"/>
          <w:lang w:val="en-US" w:eastAsia="zh-CN"/>
        </w:rPr>
        <w:t>3</w:t>
      </w:r>
      <w:r>
        <w:rPr>
          <w:rFonts w:hint="eastAsia" w:ascii="Times New Roman" w:hAnsi="Times New Roman" w:eastAsia="仿宋_GB2312" w:cs="仿宋_GB2312"/>
          <w:b w:val="0"/>
          <w:bCs w:val="0"/>
          <w:color w:val="auto"/>
          <w:kern w:val="21"/>
          <w:sz w:val="32"/>
          <w:szCs w:val="32"/>
          <w:highlight w:val="none"/>
        </w:rPr>
        <w:t>年。</w:t>
      </w:r>
      <w:bookmarkEnd w:id="2"/>
      <w:bookmarkEnd w:id="3"/>
    </w:p>
    <w:p>
      <w:pPr>
        <w:pageBreakBefore w:val="0"/>
        <w:kinsoku/>
        <w:wordWrap/>
        <w:overflowPunct/>
        <w:topLinePunct w:val="0"/>
        <w:bidi w:val="0"/>
        <w:spacing w:beforeLines="0" w:afterLines="0" w:afterAutospacing="0" w:line="560" w:lineRule="exact"/>
        <w:ind w:firstLine="640" w:firstLineChars="200"/>
        <w:jc w:val="both"/>
        <w:textAlignment w:val="auto"/>
        <w:rPr>
          <w:rFonts w:ascii="Times New Roman" w:hAnsi="Times New Roman"/>
          <w:b w:val="0"/>
          <w:bCs w:val="0"/>
          <w:color w:val="auto"/>
          <w:sz w:val="32"/>
          <w:szCs w:val="32"/>
          <w:highlight w:val="none"/>
        </w:rPr>
      </w:pPr>
      <w:r>
        <w:rPr>
          <w:rFonts w:hint="eastAsia" w:ascii="Times New Roman" w:hAnsi="Times New Roman" w:eastAsia="黑体" w:cs="仿宋_GB2312"/>
          <w:b w:val="0"/>
          <w:bCs w:val="0"/>
          <w:color w:val="auto"/>
          <w:kern w:val="21"/>
          <w:sz w:val="32"/>
          <w:szCs w:val="32"/>
          <w:highlight w:val="none"/>
        </w:rPr>
        <w:t>第</w:t>
      </w:r>
      <w:r>
        <w:rPr>
          <w:rFonts w:hint="eastAsia" w:ascii="Times New Roman" w:hAnsi="Times New Roman" w:eastAsia="黑体" w:cs="仿宋_GB2312"/>
          <w:b w:val="0"/>
          <w:bCs w:val="0"/>
          <w:color w:val="auto"/>
          <w:kern w:val="21"/>
          <w:sz w:val="32"/>
          <w:szCs w:val="32"/>
          <w:highlight w:val="none"/>
          <w:lang w:eastAsia="zh-CN"/>
        </w:rPr>
        <w:t>二十</w:t>
      </w:r>
      <w:r>
        <w:rPr>
          <w:rFonts w:hint="eastAsia" w:ascii="Times New Roman" w:hAnsi="Times New Roman" w:eastAsia="黑体" w:cs="仿宋_GB2312"/>
          <w:b w:val="0"/>
          <w:bCs w:val="0"/>
          <w:color w:val="auto"/>
          <w:kern w:val="21"/>
          <w:sz w:val="32"/>
          <w:szCs w:val="32"/>
          <w:highlight w:val="none"/>
          <w:lang w:val="en-US" w:eastAsia="zh-CN"/>
        </w:rPr>
        <w:t>五</w:t>
      </w:r>
      <w:r>
        <w:rPr>
          <w:rFonts w:hint="eastAsia" w:ascii="Times New Roman" w:hAnsi="Times New Roman" w:eastAsia="黑体" w:cs="仿宋_GB2312"/>
          <w:b w:val="0"/>
          <w:bCs w:val="0"/>
          <w:color w:val="auto"/>
          <w:kern w:val="21"/>
          <w:sz w:val="32"/>
          <w:szCs w:val="32"/>
          <w:highlight w:val="none"/>
        </w:rPr>
        <w:t>条</w:t>
      </w:r>
      <w:r>
        <w:rPr>
          <w:rFonts w:hint="eastAsia" w:ascii="Times New Roman" w:hAnsi="Times New Roman" w:eastAsia="黑体" w:cs="黑体"/>
          <w:b w:val="0"/>
          <w:bCs w:val="0"/>
          <w:color w:val="auto"/>
          <w:sz w:val="32"/>
          <w:szCs w:val="32"/>
          <w:highlight w:val="none"/>
        </w:rPr>
        <w:t>【</w:t>
      </w:r>
      <w:r>
        <w:rPr>
          <w:rFonts w:hint="eastAsia" w:ascii="Times New Roman" w:hAnsi="Times New Roman" w:eastAsia="黑体" w:cs="黑体"/>
          <w:b w:val="0"/>
          <w:bCs w:val="0"/>
          <w:color w:val="auto"/>
          <w:sz w:val="32"/>
          <w:szCs w:val="32"/>
          <w:highlight w:val="none"/>
          <w:lang w:val="en-US" w:eastAsia="zh-CN"/>
        </w:rPr>
        <w:t>解释权限</w:t>
      </w:r>
      <w:r>
        <w:rPr>
          <w:rFonts w:hint="eastAsia" w:ascii="Times New Roman" w:hAnsi="Times New Roman" w:eastAsia="黑体" w:cs="黑体"/>
          <w:b w:val="0"/>
          <w:bCs w:val="0"/>
          <w:color w:val="auto"/>
          <w:sz w:val="32"/>
          <w:szCs w:val="32"/>
          <w:highlight w:val="none"/>
          <w:lang w:eastAsia="zh-CN"/>
        </w:rPr>
        <w:t>】</w:t>
      </w:r>
      <w:r>
        <w:rPr>
          <w:rFonts w:hint="eastAsia" w:ascii="Times New Roman" w:hAnsi="Times New Roman" w:eastAsia="仿宋_GB2312" w:cs="仿宋_GB2312"/>
          <w:b w:val="0"/>
          <w:bCs w:val="0"/>
          <w:color w:val="auto"/>
          <w:kern w:val="21"/>
          <w:sz w:val="32"/>
          <w:szCs w:val="32"/>
          <w:highlight w:val="none"/>
        </w:rPr>
        <w:t>本规程由</w:t>
      </w:r>
      <w:r>
        <w:rPr>
          <w:rFonts w:hint="eastAsia" w:ascii="Times New Roman" w:hAnsi="Times New Roman" w:eastAsia="仿宋_GB2312" w:cs="仿宋_GB2312"/>
          <w:b w:val="0"/>
          <w:bCs w:val="0"/>
          <w:color w:val="auto"/>
          <w:kern w:val="21"/>
          <w:sz w:val="32"/>
          <w:szCs w:val="32"/>
          <w:highlight w:val="none"/>
          <w:lang w:val="en-US" w:eastAsia="zh-CN"/>
        </w:rPr>
        <w:t>市医疗保障部门</w:t>
      </w:r>
      <w:r>
        <w:rPr>
          <w:rFonts w:hint="eastAsia" w:ascii="Times New Roman" w:hAnsi="Times New Roman" w:eastAsia="仿宋_GB2312" w:cs="仿宋_GB2312"/>
          <w:b w:val="0"/>
          <w:bCs w:val="0"/>
          <w:color w:val="auto"/>
          <w:kern w:val="21"/>
          <w:sz w:val="32"/>
          <w:szCs w:val="32"/>
          <w:highlight w:val="none"/>
        </w:rPr>
        <w:t>负责解释。</w:t>
      </w:r>
      <w:r>
        <w:rPr>
          <w:rFonts w:hint="eastAsia" w:ascii="Times New Roman" w:hAnsi="Times New Roman" w:eastAsia="仿宋_GB2312" w:cs="仿宋_GB2312"/>
          <w:b w:val="0"/>
          <w:bCs w:val="0"/>
          <w:i w:val="0"/>
          <w:iCs w:val="0"/>
          <w:caps w:val="0"/>
          <w:color w:val="auto"/>
          <w:spacing w:val="0"/>
          <w:kern w:val="21"/>
          <w:sz w:val="32"/>
          <w:szCs w:val="32"/>
          <w:highlight w:val="none"/>
          <w:shd w:val="clear" w:color="auto" w:fill="auto"/>
        </w:rPr>
        <w:t>所涉及相关</w:t>
      </w:r>
      <w:r>
        <w:rPr>
          <w:rFonts w:hint="eastAsia" w:ascii="Times New Roman" w:hAnsi="Times New Roman" w:eastAsia="仿宋_GB2312" w:cs="仿宋_GB2312"/>
          <w:b w:val="0"/>
          <w:bCs w:val="0"/>
          <w:i w:val="0"/>
          <w:iCs w:val="0"/>
          <w:caps w:val="0"/>
          <w:color w:val="auto"/>
          <w:spacing w:val="0"/>
          <w:kern w:val="21"/>
          <w:sz w:val="32"/>
          <w:szCs w:val="32"/>
          <w:highlight w:val="none"/>
          <w:shd w:val="clear" w:color="auto" w:fill="auto"/>
          <w:lang w:val="en-US" w:eastAsia="zh-CN"/>
        </w:rPr>
        <w:t>规程</w:t>
      </w:r>
      <w:r>
        <w:rPr>
          <w:rFonts w:hint="eastAsia" w:ascii="Times New Roman" w:hAnsi="Times New Roman" w:eastAsia="仿宋_GB2312" w:cs="仿宋_GB2312"/>
          <w:b w:val="0"/>
          <w:bCs w:val="0"/>
          <w:i w:val="0"/>
          <w:iCs w:val="0"/>
          <w:caps w:val="0"/>
          <w:color w:val="auto"/>
          <w:spacing w:val="0"/>
          <w:kern w:val="21"/>
          <w:sz w:val="32"/>
          <w:szCs w:val="32"/>
          <w:highlight w:val="none"/>
          <w:shd w:val="clear" w:color="auto" w:fill="auto"/>
        </w:rPr>
        <w:t>如有变更</w:t>
      </w:r>
      <w:r>
        <w:rPr>
          <w:rFonts w:hint="eastAsia" w:ascii="Times New Roman" w:hAnsi="Times New Roman" w:eastAsia="仿宋_GB2312" w:cs="仿宋_GB2312"/>
          <w:b w:val="0"/>
          <w:bCs w:val="0"/>
          <w:i w:val="0"/>
          <w:iCs w:val="0"/>
          <w:caps w:val="0"/>
          <w:color w:val="auto"/>
          <w:spacing w:val="0"/>
          <w:kern w:val="21"/>
          <w:sz w:val="32"/>
          <w:szCs w:val="32"/>
          <w:highlight w:val="none"/>
          <w:shd w:val="clear" w:color="auto" w:fill="auto"/>
          <w:lang w:eastAsia="zh-CN"/>
        </w:rPr>
        <w:t>，</w:t>
      </w:r>
      <w:r>
        <w:rPr>
          <w:rFonts w:hint="eastAsia" w:ascii="Times New Roman" w:hAnsi="Times New Roman" w:eastAsia="仿宋_GB2312" w:cs="仿宋_GB2312"/>
          <w:b w:val="0"/>
          <w:bCs w:val="0"/>
          <w:i w:val="0"/>
          <w:iCs w:val="0"/>
          <w:caps w:val="0"/>
          <w:color w:val="auto"/>
          <w:spacing w:val="0"/>
          <w:kern w:val="21"/>
          <w:sz w:val="32"/>
          <w:szCs w:val="32"/>
          <w:highlight w:val="none"/>
          <w:shd w:val="clear" w:color="auto" w:fill="auto"/>
        </w:rPr>
        <w:t>或国家和省出台新规定的，从其规定</w:t>
      </w:r>
      <w:r>
        <w:rPr>
          <w:rFonts w:hint="eastAsia" w:ascii="Times New Roman" w:hAnsi="Times New Roman" w:eastAsia="仿宋_GB2312" w:cs="仿宋_GB2312"/>
          <w:b w:val="0"/>
          <w:bCs w:val="0"/>
          <w:color w:val="auto"/>
          <w:kern w:val="21"/>
          <w:sz w:val="32"/>
          <w:szCs w:val="32"/>
          <w:highlight w:val="none"/>
        </w:rPr>
        <w:t>。</w:t>
      </w:r>
    </w:p>
    <w:p>
      <w:pPr>
        <w:pStyle w:val="7"/>
        <w:widowControl/>
        <w:rPr>
          <w:rFonts w:hint="default" w:ascii="仿宋_GB2312" w:hAnsi="仿宋_GB2312" w:eastAsia="仿宋_GB2312" w:cs="仿宋_GB2312"/>
          <w:color w:val="auto"/>
          <w:sz w:val="32"/>
          <w:szCs w:val="32"/>
          <w:highlight w:val="none"/>
          <w:lang w:val="en-US" w:eastAsia="zh-CN"/>
        </w:rPr>
      </w:pPr>
    </w:p>
    <w:sectPr>
      <w:footerReference r:id="rId3" w:type="default"/>
      <w:pgSz w:w="11906" w:h="16838"/>
      <w:pgMar w:top="1440" w:right="1474" w:bottom="1440"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0" w:usb3="00000000" w:csb0="00000000"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altName w:val="楷体"/>
    <w:panose1 w:val="02010609030101010101"/>
    <w:charset w:val="86"/>
    <w:family w:val="auto"/>
    <w:pitch w:val="default"/>
    <w:sig w:usb0="00000000" w:usb1="00000000" w:usb2="00000000" w:usb3="00000000" w:csb0="00040000" w:csb1="00000000"/>
  </w:font>
  <w:font w:name="方正仿宋简体">
    <w:altName w:val="方正仿宋_GBK"/>
    <w:panose1 w:val="02000000000000000000"/>
    <w:charset w:val="86"/>
    <w:family w:val="script"/>
    <w:pitch w:val="default"/>
    <w:sig w:usb0="00000000" w:usb1="00000000"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5FDFE6"/>
    <w:multiLevelType w:val="singleLevel"/>
    <w:tmpl w:val="AF5FDFE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yYjdiYjljZWJjYjcyMWFkZDVmNjAwNGYzNTdjODgifQ=="/>
  </w:docVars>
  <w:rsids>
    <w:rsidRoot w:val="60D40221"/>
    <w:rsid w:val="00023266"/>
    <w:rsid w:val="0003187B"/>
    <w:rsid w:val="000749E3"/>
    <w:rsid w:val="001A0DC9"/>
    <w:rsid w:val="00213CF6"/>
    <w:rsid w:val="00226484"/>
    <w:rsid w:val="00237A6E"/>
    <w:rsid w:val="004B242B"/>
    <w:rsid w:val="006B31C3"/>
    <w:rsid w:val="00A868EF"/>
    <w:rsid w:val="00B20370"/>
    <w:rsid w:val="00B34CD4"/>
    <w:rsid w:val="00F17FDA"/>
    <w:rsid w:val="00F61BB6"/>
    <w:rsid w:val="01011432"/>
    <w:rsid w:val="01114FB4"/>
    <w:rsid w:val="01176EA7"/>
    <w:rsid w:val="01205D5C"/>
    <w:rsid w:val="012B64AF"/>
    <w:rsid w:val="016E5043"/>
    <w:rsid w:val="017B7436"/>
    <w:rsid w:val="01964270"/>
    <w:rsid w:val="01A35FE0"/>
    <w:rsid w:val="02317AF5"/>
    <w:rsid w:val="023A109F"/>
    <w:rsid w:val="024C4832"/>
    <w:rsid w:val="02502671"/>
    <w:rsid w:val="02510197"/>
    <w:rsid w:val="02745FE7"/>
    <w:rsid w:val="028024DC"/>
    <w:rsid w:val="02A0690E"/>
    <w:rsid w:val="02C10E79"/>
    <w:rsid w:val="031E451D"/>
    <w:rsid w:val="03566CCA"/>
    <w:rsid w:val="035E4919"/>
    <w:rsid w:val="036C34DA"/>
    <w:rsid w:val="03836A76"/>
    <w:rsid w:val="039C49B2"/>
    <w:rsid w:val="039D105F"/>
    <w:rsid w:val="03B95284"/>
    <w:rsid w:val="03DE5A5A"/>
    <w:rsid w:val="041B0A5C"/>
    <w:rsid w:val="042A2F00"/>
    <w:rsid w:val="044A0D45"/>
    <w:rsid w:val="04730898"/>
    <w:rsid w:val="047C0485"/>
    <w:rsid w:val="04970BF9"/>
    <w:rsid w:val="04AE6738"/>
    <w:rsid w:val="04C44C50"/>
    <w:rsid w:val="04CB5BBE"/>
    <w:rsid w:val="04F421F1"/>
    <w:rsid w:val="050D40FB"/>
    <w:rsid w:val="052301EE"/>
    <w:rsid w:val="05373674"/>
    <w:rsid w:val="055E32F7"/>
    <w:rsid w:val="05655D8B"/>
    <w:rsid w:val="05F03D03"/>
    <w:rsid w:val="061E3BB6"/>
    <w:rsid w:val="063D4CBA"/>
    <w:rsid w:val="06500E91"/>
    <w:rsid w:val="068878C4"/>
    <w:rsid w:val="06A72A7B"/>
    <w:rsid w:val="06DB21CE"/>
    <w:rsid w:val="06E17D3B"/>
    <w:rsid w:val="06F3181D"/>
    <w:rsid w:val="070954E4"/>
    <w:rsid w:val="070E29C9"/>
    <w:rsid w:val="073562D9"/>
    <w:rsid w:val="07CB609F"/>
    <w:rsid w:val="07D861E0"/>
    <w:rsid w:val="07DB0C2F"/>
    <w:rsid w:val="082E5202"/>
    <w:rsid w:val="088D5F33"/>
    <w:rsid w:val="08A92ADB"/>
    <w:rsid w:val="08CA0A87"/>
    <w:rsid w:val="08CF1E16"/>
    <w:rsid w:val="08E72EFB"/>
    <w:rsid w:val="0901091E"/>
    <w:rsid w:val="090904DE"/>
    <w:rsid w:val="09927A92"/>
    <w:rsid w:val="09BC791C"/>
    <w:rsid w:val="09BE25B6"/>
    <w:rsid w:val="09E216CB"/>
    <w:rsid w:val="09FD520E"/>
    <w:rsid w:val="0A0D0E47"/>
    <w:rsid w:val="0A2E773B"/>
    <w:rsid w:val="0A36742C"/>
    <w:rsid w:val="0A39799B"/>
    <w:rsid w:val="0A4A3E4A"/>
    <w:rsid w:val="0A6C0264"/>
    <w:rsid w:val="0A79472F"/>
    <w:rsid w:val="0A817EB9"/>
    <w:rsid w:val="0AAC3161"/>
    <w:rsid w:val="0AB319EF"/>
    <w:rsid w:val="0AFF69E2"/>
    <w:rsid w:val="0B0A6AEB"/>
    <w:rsid w:val="0B285936"/>
    <w:rsid w:val="0B3133D7"/>
    <w:rsid w:val="0B956C7F"/>
    <w:rsid w:val="0BB80875"/>
    <w:rsid w:val="0BBC2B25"/>
    <w:rsid w:val="0BEC2BDA"/>
    <w:rsid w:val="0BF00D26"/>
    <w:rsid w:val="0C2B47B0"/>
    <w:rsid w:val="0C3628D7"/>
    <w:rsid w:val="0C437F80"/>
    <w:rsid w:val="0C4B30AB"/>
    <w:rsid w:val="0C60348B"/>
    <w:rsid w:val="0C721436"/>
    <w:rsid w:val="0CB206E7"/>
    <w:rsid w:val="0CBA266F"/>
    <w:rsid w:val="0CBA337D"/>
    <w:rsid w:val="0CBB4B8B"/>
    <w:rsid w:val="0CC143D0"/>
    <w:rsid w:val="0CC31C91"/>
    <w:rsid w:val="0CEC2F96"/>
    <w:rsid w:val="0D0227BA"/>
    <w:rsid w:val="0D166265"/>
    <w:rsid w:val="0D3E30D8"/>
    <w:rsid w:val="0D487EFE"/>
    <w:rsid w:val="0D4D073C"/>
    <w:rsid w:val="0D6837CE"/>
    <w:rsid w:val="0D7A70FC"/>
    <w:rsid w:val="0D841421"/>
    <w:rsid w:val="0DB60587"/>
    <w:rsid w:val="0DC62DC2"/>
    <w:rsid w:val="0DE6032D"/>
    <w:rsid w:val="0DF04D08"/>
    <w:rsid w:val="0DF17ADC"/>
    <w:rsid w:val="0DF23E60"/>
    <w:rsid w:val="0DFA5B87"/>
    <w:rsid w:val="0E0013EF"/>
    <w:rsid w:val="0E0E3CC8"/>
    <w:rsid w:val="0E0E518E"/>
    <w:rsid w:val="0E122CD4"/>
    <w:rsid w:val="0E26697C"/>
    <w:rsid w:val="0E4D3F08"/>
    <w:rsid w:val="0E803896"/>
    <w:rsid w:val="0E8370C7"/>
    <w:rsid w:val="0E8730C5"/>
    <w:rsid w:val="0F264E85"/>
    <w:rsid w:val="0F3375A2"/>
    <w:rsid w:val="0F3B77D6"/>
    <w:rsid w:val="0F603053"/>
    <w:rsid w:val="0F7153DB"/>
    <w:rsid w:val="0F8C2090"/>
    <w:rsid w:val="0FA45C75"/>
    <w:rsid w:val="0FED59A3"/>
    <w:rsid w:val="109426E3"/>
    <w:rsid w:val="10A64AC7"/>
    <w:rsid w:val="10DB1C9F"/>
    <w:rsid w:val="10EC17B7"/>
    <w:rsid w:val="10F835AC"/>
    <w:rsid w:val="10FD7E68"/>
    <w:rsid w:val="110C3C07"/>
    <w:rsid w:val="112C4CE6"/>
    <w:rsid w:val="115832F0"/>
    <w:rsid w:val="115D7262"/>
    <w:rsid w:val="117F4F8B"/>
    <w:rsid w:val="118B1D2A"/>
    <w:rsid w:val="118B5473"/>
    <w:rsid w:val="11DA5AB3"/>
    <w:rsid w:val="11E32BE3"/>
    <w:rsid w:val="11FC1ECD"/>
    <w:rsid w:val="11FC4D67"/>
    <w:rsid w:val="12023E66"/>
    <w:rsid w:val="125C471A"/>
    <w:rsid w:val="12631246"/>
    <w:rsid w:val="12807CE9"/>
    <w:rsid w:val="12944384"/>
    <w:rsid w:val="12D60970"/>
    <w:rsid w:val="1332191F"/>
    <w:rsid w:val="13391E64"/>
    <w:rsid w:val="13544F5A"/>
    <w:rsid w:val="13623FB2"/>
    <w:rsid w:val="136A730B"/>
    <w:rsid w:val="13763F01"/>
    <w:rsid w:val="13816ECC"/>
    <w:rsid w:val="13AB1445"/>
    <w:rsid w:val="13AC16D1"/>
    <w:rsid w:val="141A0C43"/>
    <w:rsid w:val="14386B5D"/>
    <w:rsid w:val="143A6CDD"/>
    <w:rsid w:val="144B0EEA"/>
    <w:rsid w:val="148C2D6F"/>
    <w:rsid w:val="14975EDD"/>
    <w:rsid w:val="14AB5AF9"/>
    <w:rsid w:val="14BF5434"/>
    <w:rsid w:val="14C13F51"/>
    <w:rsid w:val="14C8637C"/>
    <w:rsid w:val="14D013EF"/>
    <w:rsid w:val="14F204A2"/>
    <w:rsid w:val="14F450DE"/>
    <w:rsid w:val="150D619F"/>
    <w:rsid w:val="15250A1C"/>
    <w:rsid w:val="15567B46"/>
    <w:rsid w:val="15673B02"/>
    <w:rsid w:val="15C056C9"/>
    <w:rsid w:val="15D91EDE"/>
    <w:rsid w:val="162163A6"/>
    <w:rsid w:val="1642387D"/>
    <w:rsid w:val="166B5873"/>
    <w:rsid w:val="16824929"/>
    <w:rsid w:val="169F551D"/>
    <w:rsid w:val="16D11918"/>
    <w:rsid w:val="16D13BAE"/>
    <w:rsid w:val="16D231FD"/>
    <w:rsid w:val="16F12190"/>
    <w:rsid w:val="17123F41"/>
    <w:rsid w:val="17A51566"/>
    <w:rsid w:val="17B17990"/>
    <w:rsid w:val="17D626DC"/>
    <w:rsid w:val="1821268E"/>
    <w:rsid w:val="1826278D"/>
    <w:rsid w:val="1833792F"/>
    <w:rsid w:val="18365CFA"/>
    <w:rsid w:val="183C39F3"/>
    <w:rsid w:val="18686C39"/>
    <w:rsid w:val="186E51A7"/>
    <w:rsid w:val="18E44588"/>
    <w:rsid w:val="18FE652B"/>
    <w:rsid w:val="193B1259"/>
    <w:rsid w:val="19C06789"/>
    <w:rsid w:val="19DC4392"/>
    <w:rsid w:val="1A010E04"/>
    <w:rsid w:val="1A181A9B"/>
    <w:rsid w:val="1A553063"/>
    <w:rsid w:val="1AC15A62"/>
    <w:rsid w:val="1AD700DE"/>
    <w:rsid w:val="1AE479A2"/>
    <w:rsid w:val="1B1E02E4"/>
    <w:rsid w:val="1B472A98"/>
    <w:rsid w:val="1B5C6A90"/>
    <w:rsid w:val="1B6167EF"/>
    <w:rsid w:val="1BAB226E"/>
    <w:rsid w:val="1BB76E65"/>
    <w:rsid w:val="1BC03F6C"/>
    <w:rsid w:val="1BC81F3B"/>
    <w:rsid w:val="1BD21EF1"/>
    <w:rsid w:val="1C14328F"/>
    <w:rsid w:val="1C230C59"/>
    <w:rsid w:val="1C2B020B"/>
    <w:rsid w:val="1C36422E"/>
    <w:rsid w:val="1C5033A8"/>
    <w:rsid w:val="1C5B5A42"/>
    <w:rsid w:val="1C8C02F2"/>
    <w:rsid w:val="1CA61F02"/>
    <w:rsid w:val="1CBE087B"/>
    <w:rsid w:val="1CD557F5"/>
    <w:rsid w:val="1CEE4B08"/>
    <w:rsid w:val="1CFF214E"/>
    <w:rsid w:val="1D0B7468"/>
    <w:rsid w:val="1D126A49"/>
    <w:rsid w:val="1D280235"/>
    <w:rsid w:val="1D385AB9"/>
    <w:rsid w:val="1D9143EC"/>
    <w:rsid w:val="1D96467B"/>
    <w:rsid w:val="1DA43419"/>
    <w:rsid w:val="1DB42AB3"/>
    <w:rsid w:val="1E28404A"/>
    <w:rsid w:val="1E9E13E6"/>
    <w:rsid w:val="1EA062D6"/>
    <w:rsid w:val="1EFA237F"/>
    <w:rsid w:val="1F0625DD"/>
    <w:rsid w:val="1F29007A"/>
    <w:rsid w:val="1F2B41B6"/>
    <w:rsid w:val="1F715D46"/>
    <w:rsid w:val="1FA12306"/>
    <w:rsid w:val="1FF13588"/>
    <w:rsid w:val="20311ADC"/>
    <w:rsid w:val="203D453F"/>
    <w:rsid w:val="203D7F07"/>
    <w:rsid w:val="20566C4C"/>
    <w:rsid w:val="205C7FDB"/>
    <w:rsid w:val="205E0112"/>
    <w:rsid w:val="20634669"/>
    <w:rsid w:val="208539D6"/>
    <w:rsid w:val="20D648C2"/>
    <w:rsid w:val="20DA2A0B"/>
    <w:rsid w:val="20ED3E8D"/>
    <w:rsid w:val="21026DD4"/>
    <w:rsid w:val="21091F11"/>
    <w:rsid w:val="213827F6"/>
    <w:rsid w:val="216D08FD"/>
    <w:rsid w:val="217C7FFC"/>
    <w:rsid w:val="21967915"/>
    <w:rsid w:val="21C33393"/>
    <w:rsid w:val="21F6651A"/>
    <w:rsid w:val="21FA7541"/>
    <w:rsid w:val="21FC1A76"/>
    <w:rsid w:val="220300C0"/>
    <w:rsid w:val="220628F4"/>
    <w:rsid w:val="221768AF"/>
    <w:rsid w:val="22196184"/>
    <w:rsid w:val="222136A5"/>
    <w:rsid w:val="224F30E7"/>
    <w:rsid w:val="2265761B"/>
    <w:rsid w:val="22705407"/>
    <w:rsid w:val="228E4DC3"/>
    <w:rsid w:val="22B61C24"/>
    <w:rsid w:val="22C00CF5"/>
    <w:rsid w:val="22CD6F6E"/>
    <w:rsid w:val="2307356D"/>
    <w:rsid w:val="231150AD"/>
    <w:rsid w:val="23404C0D"/>
    <w:rsid w:val="23405992"/>
    <w:rsid w:val="234D3E59"/>
    <w:rsid w:val="23CD191B"/>
    <w:rsid w:val="23E1380E"/>
    <w:rsid w:val="23F23130"/>
    <w:rsid w:val="242B03F0"/>
    <w:rsid w:val="245416F5"/>
    <w:rsid w:val="24817891"/>
    <w:rsid w:val="248A05FF"/>
    <w:rsid w:val="249106F7"/>
    <w:rsid w:val="24C20D54"/>
    <w:rsid w:val="24C51723"/>
    <w:rsid w:val="24C56885"/>
    <w:rsid w:val="24EE5850"/>
    <w:rsid w:val="251D6758"/>
    <w:rsid w:val="2521203C"/>
    <w:rsid w:val="2527505B"/>
    <w:rsid w:val="253F23A5"/>
    <w:rsid w:val="25407ECB"/>
    <w:rsid w:val="25480678"/>
    <w:rsid w:val="256F255E"/>
    <w:rsid w:val="25987D07"/>
    <w:rsid w:val="25A03EE6"/>
    <w:rsid w:val="25A8619C"/>
    <w:rsid w:val="25AC2EB3"/>
    <w:rsid w:val="25CA0B0E"/>
    <w:rsid w:val="26713151"/>
    <w:rsid w:val="26A70A5F"/>
    <w:rsid w:val="26C62652"/>
    <w:rsid w:val="26C730D5"/>
    <w:rsid w:val="26D145DA"/>
    <w:rsid w:val="26D27249"/>
    <w:rsid w:val="26E57EF7"/>
    <w:rsid w:val="26FF6A1D"/>
    <w:rsid w:val="27311D5E"/>
    <w:rsid w:val="27E514EC"/>
    <w:rsid w:val="282F4953"/>
    <w:rsid w:val="283A6E54"/>
    <w:rsid w:val="288C1ADB"/>
    <w:rsid w:val="28962E9F"/>
    <w:rsid w:val="28A013AD"/>
    <w:rsid w:val="28A905F1"/>
    <w:rsid w:val="28AD5878"/>
    <w:rsid w:val="28B30CEA"/>
    <w:rsid w:val="28CC03F4"/>
    <w:rsid w:val="28D177B8"/>
    <w:rsid w:val="28F60FCD"/>
    <w:rsid w:val="292F44DF"/>
    <w:rsid w:val="29517E40"/>
    <w:rsid w:val="295F28C8"/>
    <w:rsid w:val="29657F00"/>
    <w:rsid w:val="297D1637"/>
    <w:rsid w:val="29AF44B1"/>
    <w:rsid w:val="29C27101"/>
    <w:rsid w:val="2A047951"/>
    <w:rsid w:val="2A0D0CC4"/>
    <w:rsid w:val="2A3049B2"/>
    <w:rsid w:val="2A4D59EB"/>
    <w:rsid w:val="2A60147D"/>
    <w:rsid w:val="2A9071FF"/>
    <w:rsid w:val="2AB7478C"/>
    <w:rsid w:val="2AD215C5"/>
    <w:rsid w:val="2AD4533E"/>
    <w:rsid w:val="2AFC0E90"/>
    <w:rsid w:val="2B0309FE"/>
    <w:rsid w:val="2B061702"/>
    <w:rsid w:val="2B110D96"/>
    <w:rsid w:val="2B160E6F"/>
    <w:rsid w:val="2B22254D"/>
    <w:rsid w:val="2B4104F9"/>
    <w:rsid w:val="2B416DC7"/>
    <w:rsid w:val="2B4316D0"/>
    <w:rsid w:val="2B465B0F"/>
    <w:rsid w:val="2B795EE5"/>
    <w:rsid w:val="2B797C93"/>
    <w:rsid w:val="2B7D59D5"/>
    <w:rsid w:val="2BA32F62"/>
    <w:rsid w:val="2BB1485B"/>
    <w:rsid w:val="2BB46F1D"/>
    <w:rsid w:val="2BB67139"/>
    <w:rsid w:val="2BBD5354"/>
    <w:rsid w:val="2BD03A6D"/>
    <w:rsid w:val="2BD16CDB"/>
    <w:rsid w:val="2BDB094E"/>
    <w:rsid w:val="2BF33D3C"/>
    <w:rsid w:val="2BFB2D9E"/>
    <w:rsid w:val="2C155C0E"/>
    <w:rsid w:val="2C1C20E1"/>
    <w:rsid w:val="2C300C99"/>
    <w:rsid w:val="2C3D02C0"/>
    <w:rsid w:val="2C404035"/>
    <w:rsid w:val="2C520C10"/>
    <w:rsid w:val="2C554550"/>
    <w:rsid w:val="2C714E0E"/>
    <w:rsid w:val="2C8B5ED0"/>
    <w:rsid w:val="2CD21D51"/>
    <w:rsid w:val="2CDF446E"/>
    <w:rsid w:val="2CE11F94"/>
    <w:rsid w:val="2CF65205"/>
    <w:rsid w:val="2D087E61"/>
    <w:rsid w:val="2D322150"/>
    <w:rsid w:val="2D3622E0"/>
    <w:rsid w:val="2D47021F"/>
    <w:rsid w:val="2D547854"/>
    <w:rsid w:val="2D71156A"/>
    <w:rsid w:val="2DCF6290"/>
    <w:rsid w:val="2E045F3A"/>
    <w:rsid w:val="2E41718E"/>
    <w:rsid w:val="2E434249"/>
    <w:rsid w:val="2E5073D1"/>
    <w:rsid w:val="2E5B100B"/>
    <w:rsid w:val="2E6E2F19"/>
    <w:rsid w:val="2E6E5AA9"/>
    <w:rsid w:val="2E864440"/>
    <w:rsid w:val="2E8E4CE9"/>
    <w:rsid w:val="2EC9247C"/>
    <w:rsid w:val="2ECE6E58"/>
    <w:rsid w:val="2ED26038"/>
    <w:rsid w:val="2F0B45DA"/>
    <w:rsid w:val="2F41193F"/>
    <w:rsid w:val="2F432A92"/>
    <w:rsid w:val="2F67413C"/>
    <w:rsid w:val="2F6F40EC"/>
    <w:rsid w:val="2F850ACA"/>
    <w:rsid w:val="2F8530E4"/>
    <w:rsid w:val="2F9A131A"/>
    <w:rsid w:val="2FA91406"/>
    <w:rsid w:val="2FB219C5"/>
    <w:rsid w:val="2FDB0F1C"/>
    <w:rsid w:val="302F66DB"/>
    <w:rsid w:val="30395C43"/>
    <w:rsid w:val="304C3F79"/>
    <w:rsid w:val="307F6EEF"/>
    <w:rsid w:val="309F1C4E"/>
    <w:rsid w:val="30A71AE3"/>
    <w:rsid w:val="30B30F92"/>
    <w:rsid w:val="30C71C5F"/>
    <w:rsid w:val="30E7123C"/>
    <w:rsid w:val="3106021B"/>
    <w:rsid w:val="31394A62"/>
    <w:rsid w:val="314C66AC"/>
    <w:rsid w:val="31603DCF"/>
    <w:rsid w:val="31625150"/>
    <w:rsid w:val="31B33372"/>
    <w:rsid w:val="31DD71CE"/>
    <w:rsid w:val="31F2254D"/>
    <w:rsid w:val="31F44517"/>
    <w:rsid w:val="32333C72"/>
    <w:rsid w:val="326867B8"/>
    <w:rsid w:val="326A2A2B"/>
    <w:rsid w:val="32904DC8"/>
    <w:rsid w:val="32A92E98"/>
    <w:rsid w:val="32B06FD7"/>
    <w:rsid w:val="32BD0DAD"/>
    <w:rsid w:val="32DE76C4"/>
    <w:rsid w:val="32E36E38"/>
    <w:rsid w:val="331E166A"/>
    <w:rsid w:val="333D5A4A"/>
    <w:rsid w:val="3358439F"/>
    <w:rsid w:val="336B6A5B"/>
    <w:rsid w:val="337A6663"/>
    <w:rsid w:val="338D584E"/>
    <w:rsid w:val="339E0BDF"/>
    <w:rsid w:val="33B05C81"/>
    <w:rsid w:val="33BC4078"/>
    <w:rsid w:val="33D95773"/>
    <w:rsid w:val="33E10ACB"/>
    <w:rsid w:val="33E2346C"/>
    <w:rsid w:val="341B06F2"/>
    <w:rsid w:val="34274EEA"/>
    <w:rsid w:val="343A05DE"/>
    <w:rsid w:val="343E7CCC"/>
    <w:rsid w:val="344A041F"/>
    <w:rsid w:val="345A69A2"/>
    <w:rsid w:val="348778C5"/>
    <w:rsid w:val="34A42225"/>
    <w:rsid w:val="34A65EDD"/>
    <w:rsid w:val="34AB5555"/>
    <w:rsid w:val="34CC7CE6"/>
    <w:rsid w:val="34E14D9E"/>
    <w:rsid w:val="351759D1"/>
    <w:rsid w:val="351A4352"/>
    <w:rsid w:val="35356CED"/>
    <w:rsid w:val="354C78A1"/>
    <w:rsid w:val="354D76FA"/>
    <w:rsid w:val="357876F5"/>
    <w:rsid w:val="35A10512"/>
    <w:rsid w:val="35BF4E3C"/>
    <w:rsid w:val="35D71912"/>
    <w:rsid w:val="362829E1"/>
    <w:rsid w:val="364C2B74"/>
    <w:rsid w:val="3655577A"/>
    <w:rsid w:val="36590DED"/>
    <w:rsid w:val="365D6B2F"/>
    <w:rsid w:val="36625EF3"/>
    <w:rsid w:val="36820344"/>
    <w:rsid w:val="369B55D1"/>
    <w:rsid w:val="36A93B22"/>
    <w:rsid w:val="36C82A4F"/>
    <w:rsid w:val="36F44577"/>
    <w:rsid w:val="36F56E69"/>
    <w:rsid w:val="37074CED"/>
    <w:rsid w:val="370B4C6F"/>
    <w:rsid w:val="3768578B"/>
    <w:rsid w:val="37726B8E"/>
    <w:rsid w:val="379540A7"/>
    <w:rsid w:val="37A91900"/>
    <w:rsid w:val="37B14275"/>
    <w:rsid w:val="37DA7D0B"/>
    <w:rsid w:val="37F54B45"/>
    <w:rsid w:val="383B4C4E"/>
    <w:rsid w:val="389B55DE"/>
    <w:rsid w:val="389E15BD"/>
    <w:rsid w:val="38A5656B"/>
    <w:rsid w:val="38D71424"/>
    <w:rsid w:val="38E76B84"/>
    <w:rsid w:val="392D2CC5"/>
    <w:rsid w:val="397C0677"/>
    <w:rsid w:val="399F120C"/>
    <w:rsid w:val="39A20CFD"/>
    <w:rsid w:val="39B35E37"/>
    <w:rsid w:val="39D23390"/>
    <w:rsid w:val="39D6243D"/>
    <w:rsid w:val="39E42AC4"/>
    <w:rsid w:val="3A1716E5"/>
    <w:rsid w:val="3A1F16EF"/>
    <w:rsid w:val="3A2B2111"/>
    <w:rsid w:val="3A3E66F6"/>
    <w:rsid w:val="3A766BF7"/>
    <w:rsid w:val="3AC5156E"/>
    <w:rsid w:val="3AFD44E9"/>
    <w:rsid w:val="3B251346"/>
    <w:rsid w:val="3B301DC2"/>
    <w:rsid w:val="3B4E4C98"/>
    <w:rsid w:val="3B520437"/>
    <w:rsid w:val="3B7010B2"/>
    <w:rsid w:val="3BB06113"/>
    <w:rsid w:val="3BD42E4E"/>
    <w:rsid w:val="3BF85ABC"/>
    <w:rsid w:val="3C1D4C7A"/>
    <w:rsid w:val="3C2846F1"/>
    <w:rsid w:val="3C371BD0"/>
    <w:rsid w:val="3C3D76F6"/>
    <w:rsid w:val="3C664263"/>
    <w:rsid w:val="3C696521"/>
    <w:rsid w:val="3C7F70D3"/>
    <w:rsid w:val="3C867DED"/>
    <w:rsid w:val="3C96285B"/>
    <w:rsid w:val="3CA60B04"/>
    <w:rsid w:val="3CCD7227"/>
    <w:rsid w:val="3CED04E1"/>
    <w:rsid w:val="3CED228F"/>
    <w:rsid w:val="3D091CE7"/>
    <w:rsid w:val="3D4A78B5"/>
    <w:rsid w:val="3D646633"/>
    <w:rsid w:val="3D704F2F"/>
    <w:rsid w:val="3D895392"/>
    <w:rsid w:val="3D962926"/>
    <w:rsid w:val="3DA2751D"/>
    <w:rsid w:val="3DB25231"/>
    <w:rsid w:val="3DC81B06"/>
    <w:rsid w:val="3DF71617"/>
    <w:rsid w:val="3DF8685D"/>
    <w:rsid w:val="3DFF04CC"/>
    <w:rsid w:val="3E104487"/>
    <w:rsid w:val="3E2C64D5"/>
    <w:rsid w:val="3E38578C"/>
    <w:rsid w:val="3E5527E2"/>
    <w:rsid w:val="3E794F4D"/>
    <w:rsid w:val="3E7F0F43"/>
    <w:rsid w:val="3E9C009F"/>
    <w:rsid w:val="3EB72B54"/>
    <w:rsid w:val="3F12422F"/>
    <w:rsid w:val="3F836EDA"/>
    <w:rsid w:val="3FD97D6B"/>
    <w:rsid w:val="3FEC76B6"/>
    <w:rsid w:val="3FF045AD"/>
    <w:rsid w:val="40202D3B"/>
    <w:rsid w:val="402F584C"/>
    <w:rsid w:val="40703903"/>
    <w:rsid w:val="40927283"/>
    <w:rsid w:val="409717C0"/>
    <w:rsid w:val="40B05AAD"/>
    <w:rsid w:val="40C96B6F"/>
    <w:rsid w:val="40D53766"/>
    <w:rsid w:val="40EF4827"/>
    <w:rsid w:val="40FE0030"/>
    <w:rsid w:val="410127AD"/>
    <w:rsid w:val="41557924"/>
    <w:rsid w:val="416C7340"/>
    <w:rsid w:val="418629FE"/>
    <w:rsid w:val="418A1401"/>
    <w:rsid w:val="418D4040"/>
    <w:rsid w:val="41B817AA"/>
    <w:rsid w:val="42024A28"/>
    <w:rsid w:val="420936C7"/>
    <w:rsid w:val="4213286C"/>
    <w:rsid w:val="42186000"/>
    <w:rsid w:val="424010B3"/>
    <w:rsid w:val="426960DB"/>
    <w:rsid w:val="42772D26"/>
    <w:rsid w:val="427F607F"/>
    <w:rsid w:val="42817701"/>
    <w:rsid w:val="42890CAC"/>
    <w:rsid w:val="429513FF"/>
    <w:rsid w:val="429D02B3"/>
    <w:rsid w:val="42AE24C0"/>
    <w:rsid w:val="42D04A91"/>
    <w:rsid w:val="42FC6570"/>
    <w:rsid w:val="43147536"/>
    <w:rsid w:val="431E0B52"/>
    <w:rsid w:val="432C2148"/>
    <w:rsid w:val="43392131"/>
    <w:rsid w:val="43432C09"/>
    <w:rsid w:val="43712989"/>
    <w:rsid w:val="43CD2CFA"/>
    <w:rsid w:val="43DF5027"/>
    <w:rsid w:val="43FF385D"/>
    <w:rsid w:val="440A3726"/>
    <w:rsid w:val="4436276D"/>
    <w:rsid w:val="44770B2C"/>
    <w:rsid w:val="44915BF6"/>
    <w:rsid w:val="44B1394A"/>
    <w:rsid w:val="44B454F3"/>
    <w:rsid w:val="44DF1057"/>
    <w:rsid w:val="44EB79FC"/>
    <w:rsid w:val="44F763A1"/>
    <w:rsid w:val="44F802B4"/>
    <w:rsid w:val="45321187"/>
    <w:rsid w:val="45660E30"/>
    <w:rsid w:val="45A03A26"/>
    <w:rsid w:val="45A10CF6"/>
    <w:rsid w:val="45CB2DF1"/>
    <w:rsid w:val="45DB40BE"/>
    <w:rsid w:val="45E6321D"/>
    <w:rsid w:val="46024FFD"/>
    <w:rsid w:val="460446AB"/>
    <w:rsid w:val="462E5CB9"/>
    <w:rsid w:val="462E7BA0"/>
    <w:rsid w:val="463E3E5F"/>
    <w:rsid w:val="4670443E"/>
    <w:rsid w:val="46A16181"/>
    <w:rsid w:val="46BE2BD7"/>
    <w:rsid w:val="46D12499"/>
    <w:rsid w:val="46D21DF1"/>
    <w:rsid w:val="46D901C9"/>
    <w:rsid w:val="46E4497F"/>
    <w:rsid w:val="46FE5B71"/>
    <w:rsid w:val="47022DDB"/>
    <w:rsid w:val="47332FB6"/>
    <w:rsid w:val="47391F59"/>
    <w:rsid w:val="47512A6A"/>
    <w:rsid w:val="479379E9"/>
    <w:rsid w:val="47C31D1B"/>
    <w:rsid w:val="47C50090"/>
    <w:rsid w:val="47DD2C38"/>
    <w:rsid w:val="47FA5D4E"/>
    <w:rsid w:val="47FE4D33"/>
    <w:rsid w:val="480849DB"/>
    <w:rsid w:val="480C3F44"/>
    <w:rsid w:val="481B6200"/>
    <w:rsid w:val="481C2679"/>
    <w:rsid w:val="483C715F"/>
    <w:rsid w:val="48494AEF"/>
    <w:rsid w:val="489A040C"/>
    <w:rsid w:val="48B33C17"/>
    <w:rsid w:val="48D92E5A"/>
    <w:rsid w:val="48E24C72"/>
    <w:rsid w:val="48E42798"/>
    <w:rsid w:val="48FA286B"/>
    <w:rsid w:val="49153758"/>
    <w:rsid w:val="493556E9"/>
    <w:rsid w:val="49496A9F"/>
    <w:rsid w:val="495E0602"/>
    <w:rsid w:val="497004D0"/>
    <w:rsid w:val="49A01186"/>
    <w:rsid w:val="49E60792"/>
    <w:rsid w:val="49FB423D"/>
    <w:rsid w:val="4A064990"/>
    <w:rsid w:val="4A972ED6"/>
    <w:rsid w:val="4A9D52F4"/>
    <w:rsid w:val="4AB03279"/>
    <w:rsid w:val="4AD018E1"/>
    <w:rsid w:val="4B117A90"/>
    <w:rsid w:val="4B272E10"/>
    <w:rsid w:val="4B2C3E54"/>
    <w:rsid w:val="4B35683F"/>
    <w:rsid w:val="4B436A33"/>
    <w:rsid w:val="4B4505AE"/>
    <w:rsid w:val="4B54568C"/>
    <w:rsid w:val="4B810673"/>
    <w:rsid w:val="4B8614A0"/>
    <w:rsid w:val="4B9F24F3"/>
    <w:rsid w:val="4B9F6E4A"/>
    <w:rsid w:val="4BA766DC"/>
    <w:rsid w:val="4BB33F09"/>
    <w:rsid w:val="4BE55EEE"/>
    <w:rsid w:val="4BF54CBC"/>
    <w:rsid w:val="4BFE1DC9"/>
    <w:rsid w:val="4C1A3AC3"/>
    <w:rsid w:val="4C3A41FD"/>
    <w:rsid w:val="4C416153"/>
    <w:rsid w:val="4C5C2F8D"/>
    <w:rsid w:val="4C6733D7"/>
    <w:rsid w:val="4C781F61"/>
    <w:rsid w:val="4C893ADF"/>
    <w:rsid w:val="4CA405E6"/>
    <w:rsid w:val="4CBD57DA"/>
    <w:rsid w:val="4CC90623"/>
    <w:rsid w:val="4CCE3CCC"/>
    <w:rsid w:val="4CDA4BE3"/>
    <w:rsid w:val="4CDD5E7C"/>
    <w:rsid w:val="4CF22F93"/>
    <w:rsid w:val="4D1429D0"/>
    <w:rsid w:val="4D3B4BAE"/>
    <w:rsid w:val="4D40030F"/>
    <w:rsid w:val="4D4B72DB"/>
    <w:rsid w:val="4D62611F"/>
    <w:rsid w:val="4D6C4012"/>
    <w:rsid w:val="4D7165CD"/>
    <w:rsid w:val="4D80759D"/>
    <w:rsid w:val="4D9626C6"/>
    <w:rsid w:val="4DCA534C"/>
    <w:rsid w:val="4DE253B7"/>
    <w:rsid w:val="4DFC776D"/>
    <w:rsid w:val="4E1753BE"/>
    <w:rsid w:val="4E1F2FD8"/>
    <w:rsid w:val="4E36480B"/>
    <w:rsid w:val="4E4D260C"/>
    <w:rsid w:val="4E5A7386"/>
    <w:rsid w:val="4E6F51FA"/>
    <w:rsid w:val="4E6F6FA8"/>
    <w:rsid w:val="4E7B3B9E"/>
    <w:rsid w:val="4E825EB6"/>
    <w:rsid w:val="4E861570"/>
    <w:rsid w:val="4E880069"/>
    <w:rsid w:val="4E8A3AA1"/>
    <w:rsid w:val="4E902DC0"/>
    <w:rsid w:val="4EA330F5"/>
    <w:rsid w:val="4EB66985"/>
    <w:rsid w:val="4ED7496A"/>
    <w:rsid w:val="4EE80B08"/>
    <w:rsid w:val="4EFB0E9E"/>
    <w:rsid w:val="4F2E6E63"/>
    <w:rsid w:val="4F516A50"/>
    <w:rsid w:val="4F711260"/>
    <w:rsid w:val="4F9D496F"/>
    <w:rsid w:val="4FAC0B4A"/>
    <w:rsid w:val="4FB530E0"/>
    <w:rsid w:val="4FCE7CFE"/>
    <w:rsid w:val="4FDC4D8A"/>
    <w:rsid w:val="4FE17A31"/>
    <w:rsid w:val="4FE85264"/>
    <w:rsid w:val="50027C2E"/>
    <w:rsid w:val="50125E3D"/>
    <w:rsid w:val="502323B8"/>
    <w:rsid w:val="503E30D6"/>
    <w:rsid w:val="506D5800"/>
    <w:rsid w:val="50834F8C"/>
    <w:rsid w:val="50A84C04"/>
    <w:rsid w:val="50BB0762"/>
    <w:rsid w:val="50EE58AE"/>
    <w:rsid w:val="510A2FB8"/>
    <w:rsid w:val="510A745C"/>
    <w:rsid w:val="513441B6"/>
    <w:rsid w:val="514F4E6E"/>
    <w:rsid w:val="51505C0D"/>
    <w:rsid w:val="5151508A"/>
    <w:rsid w:val="51E5535B"/>
    <w:rsid w:val="51EE7D82"/>
    <w:rsid w:val="51FB32DA"/>
    <w:rsid w:val="51FB7581"/>
    <w:rsid w:val="520C516F"/>
    <w:rsid w:val="521072FC"/>
    <w:rsid w:val="52166AAD"/>
    <w:rsid w:val="524D6C99"/>
    <w:rsid w:val="52650DED"/>
    <w:rsid w:val="52734B8D"/>
    <w:rsid w:val="52B1185D"/>
    <w:rsid w:val="52B14F9A"/>
    <w:rsid w:val="52B92EE7"/>
    <w:rsid w:val="52C305A3"/>
    <w:rsid w:val="52C52CCF"/>
    <w:rsid w:val="52D970E6"/>
    <w:rsid w:val="52E00474"/>
    <w:rsid w:val="52E44B1D"/>
    <w:rsid w:val="530B22D3"/>
    <w:rsid w:val="53127BF5"/>
    <w:rsid w:val="5337070E"/>
    <w:rsid w:val="53442939"/>
    <w:rsid w:val="53642E53"/>
    <w:rsid w:val="53914B2C"/>
    <w:rsid w:val="53A434AC"/>
    <w:rsid w:val="53B84F4D"/>
    <w:rsid w:val="53F57F4F"/>
    <w:rsid w:val="53FD0BB2"/>
    <w:rsid w:val="540477AE"/>
    <w:rsid w:val="541F1C96"/>
    <w:rsid w:val="543301A5"/>
    <w:rsid w:val="54554E92"/>
    <w:rsid w:val="54576514"/>
    <w:rsid w:val="545A1FBF"/>
    <w:rsid w:val="548B2661"/>
    <w:rsid w:val="548B2E3C"/>
    <w:rsid w:val="54901A26"/>
    <w:rsid w:val="54BC3B54"/>
    <w:rsid w:val="54D9517B"/>
    <w:rsid w:val="54F621D1"/>
    <w:rsid w:val="55085A60"/>
    <w:rsid w:val="552A00CC"/>
    <w:rsid w:val="552B174F"/>
    <w:rsid w:val="552B395E"/>
    <w:rsid w:val="557D01FC"/>
    <w:rsid w:val="559D264C"/>
    <w:rsid w:val="55B31E70"/>
    <w:rsid w:val="55CA2E89"/>
    <w:rsid w:val="55CE6CAA"/>
    <w:rsid w:val="55CF1C44"/>
    <w:rsid w:val="561843C9"/>
    <w:rsid w:val="5637484F"/>
    <w:rsid w:val="564B02FA"/>
    <w:rsid w:val="567A4051"/>
    <w:rsid w:val="56C94AD7"/>
    <w:rsid w:val="56FB3ACE"/>
    <w:rsid w:val="571B7948"/>
    <w:rsid w:val="57282336"/>
    <w:rsid w:val="57325016"/>
    <w:rsid w:val="57437663"/>
    <w:rsid w:val="5766233F"/>
    <w:rsid w:val="577E2052"/>
    <w:rsid w:val="58174151"/>
    <w:rsid w:val="58331046"/>
    <w:rsid w:val="58386F6C"/>
    <w:rsid w:val="58496ABB"/>
    <w:rsid w:val="58584E2D"/>
    <w:rsid w:val="58623F85"/>
    <w:rsid w:val="58807BDE"/>
    <w:rsid w:val="5915699E"/>
    <w:rsid w:val="596443AF"/>
    <w:rsid w:val="59701032"/>
    <w:rsid w:val="598633F7"/>
    <w:rsid w:val="59B85D01"/>
    <w:rsid w:val="59BE5287"/>
    <w:rsid w:val="59E01BD0"/>
    <w:rsid w:val="5A036A2C"/>
    <w:rsid w:val="5A1F5EE9"/>
    <w:rsid w:val="5A435B41"/>
    <w:rsid w:val="5A504131"/>
    <w:rsid w:val="5A602B63"/>
    <w:rsid w:val="5A696FA1"/>
    <w:rsid w:val="5A8C2C8F"/>
    <w:rsid w:val="5A917BF1"/>
    <w:rsid w:val="5A987886"/>
    <w:rsid w:val="5A9D30EE"/>
    <w:rsid w:val="5AAE0E58"/>
    <w:rsid w:val="5ABC3575"/>
    <w:rsid w:val="5B223493"/>
    <w:rsid w:val="5B24602D"/>
    <w:rsid w:val="5B2E04FF"/>
    <w:rsid w:val="5B307239"/>
    <w:rsid w:val="5B3565E0"/>
    <w:rsid w:val="5B460933"/>
    <w:rsid w:val="5B996D88"/>
    <w:rsid w:val="5BBE156E"/>
    <w:rsid w:val="5BE80399"/>
    <w:rsid w:val="5BF37DA3"/>
    <w:rsid w:val="5C11169E"/>
    <w:rsid w:val="5C287522"/>
    <w:rsid w:val="5C447CC6"/>
    <w:rsid w:val="5C4F0418"/>
    <w:rsid w:val="5C58107B"/>
    <w:rsid w:val="5C643EC4"/>
    <w:rsid w:val="5C71562B"/>
    <w:rsid w:val="5CB9700D"/>
    <w:rsid w:val="5D2B5D28"/>
    <w:rsid w:val="5D3A2CBC"/>
    <w:rsid w:val="5D465377"/>
    <w:rsid w:val="5D5340D1"/>
    <w:rsid w:val="5D55380D"/>
    <w:rsid w:val="5D6D6DA8"/>
    <w:rsid w:val="5D733493"/>
    <w:rsid w:val="5DBB5D65"/>
    <w:rsid w:val="5DEC4171"/>
    <w:rsid w:val="5DF12ACB"/>
    <w:rsid w:val="5E110BFB"/>
    <w:rsid w:val="5E541D16"/>
    <w:rsid w:val="5E9F6BAC"/>
    <w:rsid w:val="5F1550E1"/>
    <w:rsid w:val="5F531FCE"/>
    <w:rsid w:val="5F5A7368"/>
    <w:rsid w:val="5F7D71F9"/>
    <w:rsid w:val="5F847E04"/>
    <w:rsid w:val="5FE61094"/>
    <w:rsid w:val="602271D8"/>
    <w:rsid w:val="602A7D19"/>
    <w:rsid w:val="602D6CC3"/>
    <w:rsid w:val="604F618F"/>
    <w:rsid w:val="605B7969"/>
    <w:rsid w:val="60726C9A"/>
    <w:rsid w:val="607641C6"/>
    <w:rsid w:val="60C048FA"/>
    <w:rsid w:val="60C94B11"/>
    <w:rsid w:val="60D0212E"/>
    <w:rsid w:val="60D40221"/>
    <w:rsid w:val="6121732C"/>
    <w:rsid w:val="61276120"/>
    <w:rsid w:val="61384047"/>
    <w:rsid w:val="614E6EF1"/>
    <w:rsid w:val="61623F0A"/>
    <w:rsid w:val="61DD621C"/>
    <w:rsid w:val="61E16103"/>
    <w:rsid w:val="622B53E8"/>
    <w:rsid w:val="6239194F"/>
    <w:rsid w:val="627E55B4"/>
    <w:rsid w:val="62870EF8"/>
    <w:rsid w:val="62922E0D"/>
    <w:rsid w:val="629628FD"/>
    <w:rsid w:val="62B62F9F"/>
    <w:rsid w:val="62BE1E54"/>
    <w:rsid w:val="62F6339C"/>
    <w:rsid w:val="630E06E5"/>
    <w:rsid w:val="632717A7"/>
    <w:rsid w:val="63520F1A"/>
    <w:rsid w:val="6357253C"/>
    <w:rsid w:val="63833F5E"/>
    <w:rsid w:val="639A2F8E"/>
    <w:rsid w:val="639A466F"/>
    <w:rsid w:val="63AC1456"/>
    <w:rsid w:val="63BA758C"/>
    <w:rsid w:val="63D95197"/>
    <w:rsid w:val="63E02459"/>
    <w:rsid w:val="63FF4464"/>
    <w:rsid w:val="6401394C"/>
    <w:rsid w:val="640A35A3"/>
    <w:rsid w:val="640F0BB9"/>
    <w:rsid w:val="64132594"/>
    <w:rsid w:val="641D4E1C"/>
    <w:rsid w:val="6421269A"/>
    <w:rsid w:val="64496AFC"/>
    <w:rsid w:val="646C1BB9"/>
    <w:rsid w:val="64764579"/>
    <w:rsid w:val="64923598"/>
    <w:rsid w:val="64D22CE6"/>
    <w:rsid w:val="64E262CE"/>
    <w:rsid w:val="65202952"/>
    <w:rsid w:val="655546B9"/>
    <w:rsid w:val="65722C55"/>
    <w:rsid w:val="658669F4"/>
    <w:rsid w:val="65A15B91"/>
    <w:rsid w:val="65AA6E6E"/>
    <w:rsid w:val="65CD15AA"/>
    <w:rsid w:val="65D06126"/>
    <w:rsid w:val="65F77B57"/>
    <w:rsid w:val="6604349E"/>
    <w:rsid w:val="661A5143"/>
    <w:rsid w:val="66275379"/>
    <w:rsid w:val="66413B75"/>
    <w:rsid w:val="66552ACF"/>
    <w:rsid w:val="66875A00"/>
    <w:rsid w:val="668C6EA1"/>
    <w:rsid w:val="668F21C0"/>
    <w:rsid w:val="66A37F37"/>
    <w:rsid w:val="66AB0941"/>
    <w:rsid w:val="66F73586"/>
    <w:rsid w:val="67334BBF"/>
    <w:rsid w:val="67431E65"/>
    <w:rsid w:val="6758134B"/>
    <w:rsid w:val="67825B46"/>
    <w:rsid w:val="678D611C"/>
    <w:rsid w:val="679D028A"/>
    <w:rsid w:val="67AE324E"/>
    <w:rsid w:val="67B11D14"/>
    <w:rsid w:val="67B207ED"/>
    <w:rsid w:val="67BF28F6"/>
    <w:rsid w:val="68000819"/>
    <w:rsid w:val="68016A6B"/>
    <w:rsid w:val="687C5756"/>
    <w:rsid w:val="687E5C22"/>
    <w:rsid w:val="687F3E33"/>
    <w:rsid w:val="68872B58"/>
    <w:rsid w:val="68906041"/>
    <w:rsid w:val="68A453EF"/>
    <w:rsid w:val="68B05A63"/>
    <w:rsid w:val="68B24209"/>
    <w:rsid w:val="68BC6E36"/>
    <w:rsid w:val="68F24F86"/>
    <w:rsid w:val="69091988"/>
    <w:rsid w:val="69161572"/>
    <w:rsid w:val="694C1F68"/>
    <w:rsid w:val="695E1C9B"/>
    <w:rsid w:val="69715E72"/>
    <w:rsid w:val="697A4A86"/>
    <w:rsid w:val="69886D18"/>
    <w:rsid w:val="699A6784"/>
    <w:rsid w:val="69C04704"/>
    <w:rsid w:val="69C53AC8"/>
    <w:rsid w:val="69E16EA2"/>
    <w:rsid w:val="69EB76B8"/>
    <w:rsid w:val="69F820EF"/>
    <w:rsid w:val="6A09330B"/>
    <w:rsid w:val="6A0E210D"/>
    <w:rsid w:val="6A0E546F"/>
    <w:rsid w:val="6A172FA7"/>
    <w:rsid w:val="6A176924"/>
    <w:rsid w:val="6A260A0B"/>
    <w:rsid w:val="6A325601"/>
    <w:rsid w:val="6A505A87"/>
    <w:rsid w:val="6ABC136F"/>
    <w:rsid w:val="6ACF10A2"/>
    <w:rsid w:val="6AE53679"/>
    <w:rsid w:val="6AF15783"/>
    <w:rsid w:val="6B0227AC"/>
    <w:rsid w:val="6B0A3E88"/>
    <w:rsid w:val="6B1262E7"/>
    <w:rsid w:val="6B19056F"/>
    <w:rsid w:val="6B5F286D"/>
    <w:rsid w:val="6B7B00CD"/>
    <w:rsid w:val="6B925ACA"/>
    <w:rsid w:val="6B930322"/>
    <w:rsid w:val="6BA81C63"/>
    <w:rsid w:val="6BAC3191"/>
    <w:rsid w:val="6BBA2EB1"/>
    <w:rsid w:val="6BCF6E80"/>
    <w:rsid w:val="6BF16DF6"/>
    <w:rsid w:val="6C24541E"/>
    <w:rsid w:val="6C29648D"/>
    <w:rsid w:val="6C494E84"/>
    <w:rsid w:val="6C7D068A"/>
    <w:rsid w:val="6C8E04E5"/>
    <w:rsid w:val="6C97799E"/>
    <w:rsid w:val="6CA6001D"/>
    <w:rsid w:val="6CDF3116"/>
    <w:rsid w:val="6D1F7D89"/>
    <w:rsid w:val="6D252A81"/>
    <w:rsid w:val="6D2A3179"/>
    <w:rsid w:val="6D463172"/>
    <w:rsid w:val="6D587226"/>
    <w:rsid w:val="6D9D7236"/>
    <w:rsid w:val="6DA02882"/>
    <w:rsid w:val="6DFE72FE"/>
    <w:rsid w:val="6E0077C5"/>
    <w:rsid w:val="6E3851B0"/>
    <w:rsid w:val="6E5721C3"/>
    <w:rsid w:val="6E5978B6"/>
    <w:rsid w:val="6E7F1D4B"/>
    <w:rsid w:val="6EA840E4"/>
    <w:rsid w:val="6EB666E3"/>
    <w:rsid w:val="6EC96AD3"/>
    <w:rsid w:val="6ECD77D4"/>
    <w:rsid w:val="6EE46DFB"/>
    <w:rsid w:val="6EF6298B"/>
    <w:rsid w:val="6F0B01CF"/>
    <w:rsid w:val="6F110C51"/>
    <w:rsid w:val="6F15681B"/>
    <w:rsid w:val="6F1628C9"/>
    <w:rsid w:val="6F3A0AB6"/>
    <w:rsid w:val="6F3C2A7E"/>
    <w:rsid w:val="6F80296B"/>
    <w:rsid w:val="6FAA5C3A"/>
    <w:rsid w:val="6FC039B8"/>
    <w:rsid w:val="6FCA067E"/>
    <w:rsid w:val="6FE844E5"/>
    <w:rsid w:val="702523FF"/>
    <w:rsid w:val="704E375C"/>
    <w:rsid w:val="704F233D"/>
    <w:rsid w:val="705160B5"/>
    <w:rsid w:val="70691651"/>
    <w:rsid w:val="706C2B24"/>
    <w:rsid w:val="70863A58"/>
    <w:rsid w:val="70926274"/>
    <w:rsid w:val="70954F1B"/>
    <w:rsid w:val="70A01B28"/>
    <w:rsid w:val="70BD374B"/>
    <w:rsid w:val="70D72A5F"/>
    <w:rsid w:val="70F3632D"/>
    <w:rsid w:val="71061FDC"/>
    <w:rsid w:val="71323A03"/>
    <w:rsid w:val="71485449"/>
    <w:rsid w:val="7184794C"/>
    <w:rsid w:val="71B72890"/>
    <w:rsid w:val="71C012DA"/>
    <w:rsid w:val="71DE1BCB"/>
    <w:rsid w:val="7201352A"/>
    <w:rsid w:val="72127AC6"/>
    <w:rsid w:val="72196272"/>
    <w:rsid w:val="72233A82"/>
    <w:rsid w:val="72495CF8"/>
    <w:rsid w:val="726341AD"/>
    <w:rsid w:val="7266644E"/>
    <w:rsid w:val="7266760B"/>
    <w:rsid w:val="727D5888"/>
    <w:rsid w:val="728843A6"/>
    <w:rsid w:val="72CE1359"/>
    <w:rsid w:val="72DB502D"/>
    <w:rsid w:val="72DD6326"/>
    <w:rsid w:val="72FF7830"/>
    <w:rsid w:val="73051BE0"/>
    <w:rsid w:val="73136053"/>
    <w:rsid w:val="7315161C"/>
    <w:rsid w:val="731F7A59"/>
    <w:rsid w:val="73487C44"/>
    <w:rsid w:val="73492CDA"/>
    <w:rsid w:val="735C36EF"/>
    <w:rsid w:val="737A67FA"/>
    <w:rsid w:val="738A200A"/>
    <w:rsid w:val="73B04FAB"/>
    <w:rsid w:val="73C6500C"/>
    <w:rsid w:val="73CB7549"/>
    <w:rsid w:val="73F27BAF"/>
    <w:rsid w:val="741C4C2C"/>
    <w:rsid w:val="742452F2"/>
    <w:rsid w:val="74340AEB"/>
    <w:rsid w:val="745552DC"/>
    <w:rsid w:val="745B39A7"/>
    <w:rsid w:val="74714F78"/>
    <w:rsid w:val="748051BB"/>
    <w:rsid w:val="748C5E2C"/>
    <w:rsid w:val="74980757"/>
    <w:rsid w:val="749877DC"/>
    <w:rsid w:val="74AE3AD6"/>
    <w:rsid w:val="74B84955"/>
    <w:rsid w:val="74E772FD"/>
    <w:rsid w:val="75092201"/>
    <w:rsid w:val="751229BE"/>
    <w:rsid w:val="75140A1B"/>
    <w:rsid w:val="755223F9"/>
    <w:rsid w:val="7553467E"/>
    <w:rsid w:val="75622845"/>
    <w:rsid w:val="758E51CA"/>
    <w:rsid w:val="759251A6"/>
    <w:rsid w:val="75BF15B6"/>
    <w:rsid w:val="760F2C9B"/>
    <w:rsid w:val="76263B40"/>
    <w:rsid w:val="764257EC"/>
    <w:rsid w:val="766172D7"/>
    <w:rsid w:val="76C70E7F"/>
    <w:rsid w:val="76C84BF7"/>
    <w:rsid w:val="76DF266D"/>
    <w:rsid w:val="76EB6E7B"/>
    <w:rsid w:val="76F954FE"/>
    <w:rsid w:val="770438B1"/>
    <w:rsid w:val="771D4F43"/>
    <w:rsid w:val="77884AB3"/>
    <w:rsid w:val="778E5E41"/>
    <w:rsid w:val="77B50825"/>
    <w:rsid w:val="77BC475C"/>
    <w:rsid w:val="77BD51BA"/>
    <w:rsid w:val="77C42EAB"/>
    <w:rsid w:val="77C6019A"/>
    <w:rsid w:val="77D20625"/>
    <w:rsid w:val="7818659A"/>
    <w:rsid w:val="78231A37"/>
    <w:rsid w:val="784267CE"/>
    <w:rsid w:val="785B3F75"/>
    <w:rsid w:val="786848E1"/>
    <w:rsid w:val="78B21551"/>
    <w:rsid w:val="78C41E55"/>
    <w:rsid w:val="78DB7B06"/>
    <w:rsid w:val="790A599B"/>
    <w:rsid w:val="790F3815"/>
    <w:rsid w:val="793E5D38"/>
    <w:rsid w:val="79465E0A"/>
    <w:rsid w:val="794C2F0D"/>
    <w:rsid w:val="795A422D"/>
    <w:rsid w:val="796450AB"/>
    <w:rsid w:val="796C21B2"/>
    <w:rsid w:val="79766B8D"/>
    <w:rsid w:val="797F215F"/>
    <w:rsid w:val="799D2271"/>
    <w:rsid w:val="79AF6D5B"/>
    <w:rsid w:val="79CE5859"/>
    <w:rsid w:val="79DA30B6"/>
    <w:rsid w:val="79E019DF"/>
    <w:rsid w:val="79F30FA6"/>
    <w:rsid w:val="79F63C5C"/>
    <w:rsid w:val="7A0D129F"/>
    <w:rsid w:val="7A1940E8"/>
    <w:rsid w:val="7A263900"/>
    <w:rsid w:val="7A37456E"/>
    <w:rsid w:val="7A3F7389"/>
    <w:rsid w:val="7A94376E"/>
    <w:rsid w:val="7ADA7BA5"/>
    <w:rsid w:val="7AE212F3"/>
    <w:rsid w:val="7B197D6C"/>
    <w:rsid w:val="7B427323"/>
    <w:rsid w:val="7B551150"/>
    <w:rsid w:val="7B6A44CF"/>
    <w:rsid w:val="7B9F686F"/>
    <w:rsid w:val="7BAE6AB2"/>
    <w:rsid w:val="7BBC5603"/>
    <w:rsid w:val="7BCA6AD5"/>
    <w:rsid w:val="7BD04C7A"/>
    <w:rsid w:val="7BE20509"/>
    <w:rsid w:val="7C372817"/>
    <w:rsid w:val="7C441C98"/>
    <w:rsid w:val="7C4E4156"/>
    <w:rsid w:val="7C4F3F13"/>
    <w:rsid w:val="7C52568F"/>
    <w:rsid w:val="7C6333F8"/>
    <w:rsid w:val="7C67541F"/>
    <w:rsid w:val="7C741AA9"/>
    <w:rsid w:val="7C8B5ABC"/>
    <w:rsid w:val="7C923CDE"/>
    <w:rsid w:val="7C9932BE"/>
    <w:rsid w:val="7CCF418F"/>
    <w:rsid w:val="7CDB38D7"/>
    <w:rsid w:val="7CFF750F"/>
    <w:rsid w:val="7D037094"/>
    <w:rsid w:val="7D087164"/>
    <w:rsid w:val="7D0F0EAB"/>
    <w:rsid w:val="7D126BCC"/>
    <w:rsid w:val="7D1B1F25"/>
    <w:rsid w:val="7D3243D7"/>
    <w:rsid w:val="7D46394A"/>
    <w:rsid w:val="7D562F5D"/>
    <w:rsid w:val="7D8A0E59"/>
    <w:rsid w:val="7D9D293A"/>
    <w:rsid w:val="7DAC7021"/>
    <w:rsid w:val="7DC72670"/>
    <w:rsid w:val="7DE40569"/>
    <w:rsid w:val="7DF764EE"/>
    <w:rsid w:val="7E123328"/>
    <w:rsid w:val="7E2D0162"/>
    <w:rsid w:val="7E30647D"/>
    <w:rsid w:val="7E3C368F"/>
    <w:rsid w:val="7E3F1C43"/>
    <w:rsid w:val="7E40480D"/>
    <w:rsid w:val="7E4F7277"/>
    <w:rsid w:val="7E5C45A3"/>
    <w:rsid w:val="7E7E276B"/>
    <w:rsid w:val="7E8B6C36"/>
    <w:rsid w:val="7EC44A62"/>
    <w:rsid w:val="7EDF7062"/>
    <w:rsid w:val="7F121106"/>
    <w:rsid w:val="7F9164CE"/>
    <w:rsid w:val="7FBA2369"/>
    <w:rsid w:val="7FBA5A25"/>
    <w:rsid w:val="7FDB598E"/>
    <w:rsid w:val="7FF52F01"/>
    <w:rsid w:val="FDA7FD9F"/>
    <w:rsid w:val="FFF76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line="400" w:lineRule="exact"/>
      <w:jc w:val="center"/>
      <w:outlineLvl w:val="1"/>
    </w:pPr>
    <w:rPr>
      <w:rFonts w:ascii="Arial" w:hAnsi="Arial" w:eastAsia="楷体_GB2312"/>
      <w:sz w:val="30"/>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line="320" w:lineRule="exact"/>
      <w:jc w:val="center"/>
    </w:pPr>
    <w:rPr>
      <w:rFonts w:ascii="Times New Roman" w:hAnsi="Times New Roman" w:eastAsia="宋体" w:cs="Times New Roman"/>
      <w:szCs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99"/>
    <w:pPr>
      <w:spacing w:beforeAutospacing="1" w:afterAutospacing="1"/>
      <w:jc w:val="left"/>
    </w:pPr>
    <w:rPr>
      <w:rFonts w:cs="Times New Roman"/>
      <w:kern w:val="0"/>
      <w:sz w:val="24"/>
    </w:rPr>
  </w:style>
  <w:style w:type="paragraph" w:customStyle="1" w:styleId="10">
    <w:name w:val="Default"/>
    <w:next w:val="1"/>
    <w:unhideWhenUsed/>
    <w:qFormat/>
    <w:uiPriority w:val="99"/>
    <w:pPr>
      <w:widowControl w:val="0"/>
      <w:autoSpaceDE w:val="0"/>
      <w:autoSpaceDN w:val="0"/>
      <w:adjustRightInd w:val="0"/>
    </w:pPr>
    <w:rPr>
      <w:rFonts w:hint="eastAsia" w:ascii="方正仿宋简体" w:hAnsi="方正仿宋简体" w:eastAsia="方正仿宋简体" w:cs="Times New Roman"/>
      <w:color w:val="000000"/>
      <w:sz w:val="24"/>
      <w:szCs w:val="22"/>
      <w:lang w:val="en-US" w:eastAsia="zh-CN" w:bidi="ar-SA"/>
    </w:rPr>
  </w:style>
  <w:style w:type="paragraph" w:customStyle="1" w:styleId="11">
    <w:name w:val="TOC2"/>
    <w:next w:val="1"/>
    <w:qFormat/>
    <w:uiPriority w:val="0"/>
    <w:pPr>
      <w:widowControl w:val="0"/>
      <w:ind w:left="420" w:leftChars="20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5292</Words>
  <Characters>5322</Characters>
  <Lines>0</Lines>
  <Paragraphs>0</Paragraphs>
  <TotalTime>131</TotalTime>
  <ScaleCrop>false</ScaleCrop>
  <LinksUpToDate>false</LinksUpToDate>
  <CharactersWithSpaces>5351</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2023-11-20T17:35:00Z</dcterms:created>
  <dc:creator>Linkoo</dc:creator>
  <cp:lastModifiedBy>greatwall</cp:lastModifiedBy>
  <cp:lastPrinted>2024-03-19T02:06:00Z</cp:lastPrinted>
  <dcterms:modified xsi:type="dcterms:W3CDTF">2024-11-01T18:03:33Z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74923A2C8D8B426DA31446DC4683CEA7_13</vt:lpwstr>
  </property>
</Properties>
</file>