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overflowPunct/>
        <w:topLinePunct w:val="0"/>
        <w:bidi w:val="0"/>
        <w:adjustRightInd/>
        <w:snapToGrid/>
        <w:spacing w:line="560" w:lineRule="exact"/>
        <w:rPr>
          <w:rFonts w:hint="eastAsia" w:eastAsia="黑体" w:cs="黑体"/>
          <w:bCs/>
          <w:color w:val="000000"/>
          <w:spacing w:val="-6"/>
          <w:sz w:val="32"/>
          <w:szCs w:val="32"/>
          <w:highlight w:val="none"/>
          <w:lang w:val="en-US" w:eastAsia="zh-CN"/>
        </w:rPr>
      </w:pPr>
      <w:r>
        <w:rPr>
          <w:rFonts w:hint="eastAsia" w:ascii="Times New Roman" w:hAnsi="Times New Roman" w:eastAsia="黑体" w:cs="黑体"/>
          <w:bCs/>
          <w:color w:val="000000"/>
          <w:spacing w:val="-6"/>
          <w:sz w:val="32"/>
          <w:szCs w:val="32"/>
          <w:highlight w:val="none"/>
        </w:rPr>
        <w:t>附件</w:t>
      </w:r>
      <w:r>
        <w:rPr>
          <w:rFonts w:hint="eastAsia" w:eastAsia="黑体" w:cs="黑体"/>
          <w:bCs/>
          <w:color w:val="000000"/>
          <w:spacing w:val="-6"/>
          <w:sz w:val="32"/>
          <w:szCs w:val="32"/>
          <w:highlight w:val="none"/>
          <w:lang w:val="en-US" w:eastAsia="zh-CN"/>
        </w:rPr>
        <w:t>6</w:t>
      </w:r>
    </w:p>
    <w:p>
      <w:pPr>
        <w:pageBreakBefore w:val="0"/>
        <w:overflowPunct/>
        <w:topLinePunct w:val="0"/>
        <w:bidi w:val="0"/>
        <w:adjustRightInd/>
        <w:snapToGrid/>
        <w:spacing w:line="560" w:lineRule="exact"/>
        <w:rPr>
          <w:rFonts w:hint="eastAsia" w:eastAsia="黑体" w:cs="黑体"/>
          <w:bCs/>
          <w:color w:val="000000"/>
          <w:spacing w:val="-6"/>
          <w:sz w:val="32"/>
          <w:szCs w:val="32"/>
          <w:highlight w:val="none"/>
          <w:lang w:val="en-US" w:eastAsia="zh-CN"/>
        </w:rPr>
      </w:pPr>
    </w:p>
    <w:p>
      <w:pPr>
        <w:pageBreakBefore w:val="0"/>
        <w:overflowPunct/>
        <w:topLinePunct w:val="0"/>
        <w:bidi w:val="0"/>
        <w:adjustRightInd/>
        <w:snapToGrid/>
        <w:spacing w:line="560" w:lineRule="exact"/>
        <w:jc w:val="center"/>
        <w:rPr>
          <w:rFonts w:ascii="Times New Roman" w:hAnsi="Times New Roman"/>
          <w:color w:val="000000"/>
          <w:highlight w:val="none"/>
        </w:rPr>
      </w:pPr>
      <w:r>
        <w:rPr>
          <w:rFonts w:hint="eastAsia" w:eastAsia="方正小标宋简体" w:cs="方正小标宋简体"/>
          <w:color w:val="000000"/>
          <w:sz w:val="44"/>
          <w:szCs w:val="44"/>
          <w:highlight w:val="none"/>
          <w:lang w:eastAsia="zh-CN"/>
        </w:rPr>
        <w:t>梅州市</w:t>
      </w:r>
      <w:r>
        <w:rPr>
          <w:rFonts w:hint="eastAsia" w:ascii="Times New Roman" w:hAnsi="Times New Roman" w:eastAsia="方正小标宋简体" w:cs="方正小标宋简体"/>
          <w:color w:val="000000"/>
          <w:sz w:val="44"/>
          <w:szCs w:val="44"/>
          <w:highlight w:val="none"/>
        </w:rPr>
        <w:t>烟花爆竹产品质量监督抽查实施细则</w:t>
      </w:r>
    </w:p>
    <w:p>
      <w:pPr>
        <w:pageBreakBefore w:val="0"/>
        <w:overflowPunct/>
        <w:topLinePunct w:val="0"/>
        <w:bidi w:val="0"/>
        <w:adjustRightInd/>
        <w:snapToGrid/>
        <w:spacing w:line="560" w:lineRule="exact"/>
        <w:jc w:val="center"/>
        <w:rPr>
          <w:rFonts w:ascii="Times New Roman" w:hAnsi="Times New Roman" w:eastAsia="楷体_GB2312" w:cs="楷体_GB2312"/>
          <w:color w:val="000000"/>
          <w:sz w:val="32"/>
          <w:szCs w:val="40"/>
          <w:highlight w:val="none"/>
        </w:rPr>
      </w:pPr>
      <w:r>
        <w:rPr>
          <w:rFonts w:ascii="Times New Roman" w:hAnsi="Times New Roman" w:eastAsia="楷体_GB2312" w:cs="楷体_GB2312"/>
          <w:color w:val="000000"/>
          <w:sz w:val="32"/>
          <w:szCs w:val="40"/>
          <w:highlight w:val="none"/>
        </w:rPr>
        <w:t>（202</w:t>
      </w:r>
      <w:r>
        <w:rPr>
          <w:rFonts w:hint="eastAsia" w:ascii="Times New Roman" w:hAnsi="Times New Roman" w:eastAsia="楷体_GB2312" w:cs="楷体_GB2312"/>
          <w:color w:val="000000"/>
          <w:sz w:val="32"/>
          <w:szCs w:val="40"/>
          <w:highlight w:val="none"/>
        </w:rPr>
        <w:t>5</w:t>
      </w:r>
      <w:r>
        <w:rPr>
          <w:rFonts w:ascii="Times New Roman" w:hAnsi="Times New Roman" w:eastAsia="楷体_GB2312" w:cs="楷体_GB2312"/>
          <w:color w:val="000000"/>
          <w:sz w:val="32"/>
          <w:szCs w:val="40"/>
          <w:highlight w:val="none"/>
        </w:rPr>
        <w:t>年版）</w:t>
      </w:r>
    </w:p>
    <w:p>
      <w:pPr>
        <w:pageBreakBefore w:val="0"/>
        <w:overflowPunct/>
        <w:topLinePunct w:val="0"/>
        <w:bidi w:val="0"/>
        <w:adjustRightInd/>
        <w:snapToGrid/>
        <w:spacing w:line="560" w:lineRule="exact"/>
        <w:jc w:val="center"/>
        <w:rPr>
          <w:rFonts w:ascii="Times New Roman" w:hAnsi="Times New Roman" w:eastAsia="仿宋_GB2312"/>
          <w:color w:val="000000"/>
          <w:sz w:val="32"/>
          <w:szCs w:val="32"/>
          <w:highlight w:val="none"/>
        </w:rPr>
      </w:pPr>
    </w:p>
    <w:p>
      <w:pPr>
        <w:pageBreakBefore w:val="0"/>
        <w:overflowPunct/>
        <w:topLinePunct w:val="0"/>
        <w:bidi w:val="0"/>
        <w:adjustRightInd/>
        <w:snapToGrid/>
        <w:spacing w:line="560" w:lineRule="exact"/>
        <w:ind w:firstLine="640" w:firstLineChars="200"/>
        <w:rPr>
          <w:rFonts w:ascii="Times New Roman" w:hAnsi="Times New Roman" w:eastAsia="黑体" w:cs="黑体"/>
          <w:color w:val="000000"/>
          <w:sz w:val="32"/>
          <w:szCs w:val="40"/>
          <w:highlight w:val="none"/>
        </w:rPr>
      </w:pPr>
      <w:r>
        <w:rPr>
          <w:rFonts w:ascii="Times New Roman" w:hAnsi="Times New Roman" w:eastAsia="黑体" w:cs="黑体"/>
          <w:color w:val="000000"/>
          <w:sz w:val="32"/>
          <w:szCs w:val="40"/>
          <w:highlight w:val="none"/>
        </w:rPr>
        <w:t>1 抽样方法</w:t>
      </w:r>
    </w:p>
    <w:p>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以随机抽样的方式在被抽样生产者、销售者的待销产品中抽取。</w:t>
      </w:r>
    </w:p>
    <w:p>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随机数一般可使用随机数表等方法产生。</w:t>
      </w:r>
    </w:p>
    <w:p>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检验样品数量按表1、表2和表3的规定执行，同时抽取同等数量的备用样品。</w:t>
      </w:r>
    </w:p>
    <w:p>
      <w:pPr>
        <w:pageBreakBefore w:val="0"/>
        <w:overflowPunct/>
        <w:topLinePunct w:val="0"/>
        <w:bidi w:val="0"/>
        <w:adjustRightInd/>
        <w:snapToGrid/>
        <w:spacing w:line="560" w:lineRule="exact"/>
        <w:ind w:firstLine="640" w:firstLineChars="200"/>
        <w:jc w:val="center"/>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表1 一般产品抽取样品数量</w:t>
      </w:r>
    </w:p>
    <w:tbl>
      <w:tblPr>
        <w:tblStyle w:val="6"/>
        <w:tblW w:w="91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83"/>
        <w:gridCol w:w="1754"/>
        <w:gridCol w:w="1735"/>
        <w:gridCol w:w="1772"/>
        <w:gridCol w:w="15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2383" w:type="dxa"/>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批量范围N</w:t>
            </w:r>
          </w:p>
        </w:tc>
        <w:tc>
          <w:tcPr>
            <w:tcW w:w="1754" w:type="dxa"/>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≤500</w:t>
            </w:r>
          </w:p>
        </w:tc>
        <w:tc>
          <w:tcPr>
            <w:tcW w:w="1735" w:type="dxa"/>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501~1000</w:t>
            </w:r>
          </w:p>
        </w:tc>
        <w:tc>
          <w:tcPr>
            <w:tcW w:w="1772" w:type="dxa"/>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1001~2000</w:t>
            </w:r>
          </w:p>
        </w:tc>
        <w:tc>
          <w:tcPr>
            <w:tcW w:w="1524" w:type="dxa"/>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383" w:type="dxa"/>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样本量n</w:t>
            </w:r>
          </w:p>
        </w:tc>
        <w:tc>
          <w:tcPr>
            <w:tcW w:w="1754" w:type="dxa"/>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1735" w:type="dxa"/>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1772" w:type="dxa"/>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1524" w:type="dxa"/>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13</w:t>
            </w:r>
          </w:p>
        </w:tc>
      </w:tr>
    </w:tbl>
    <w:p>
      <w:pPr>
        <w:pageBreakBefore w:val="0"/>
        <w:overflowPunct/>
        <w:topLinePunct w:val="0"/>
        <w:bidi w:val="0"/>
        <w:adjustRightInd/>
        <w:snapToGrid/>
        <w:spacing w:line="560" w:lineRule="exact"/>
        <w:ind w:firstLine="640" w:firstLineChars="200"/>
        <w:jc w:val="center"/>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表2 爆竹产品抽取样品数量</w:t>
      </w:r>
    </w:p>
    <w:tbl>
      <w:tblPr>
        <w:tblStyle w:val="6"/>
        <w:tblW w:w="9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6"/>
        <w:gridCol w:w="1783"/>
        <w:gridCol w:w="1800"/>
        <w:gridCol w:w="2074"/>
        <w:gridCol w:w="19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546" w:type="dxa"/>
            <w:vMerge w:val="restart"/>
            <w:noWrap w:val="0"/>
            <w:vAlign w:val="top"/>
          </w:tcPr>
          <w:p>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批量范围</w:t>
            </w:r>
          </w:p>
          <w:p>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N（挂、卷）</w:t>
            </w:r>
          </w:p>
        </w:tc>
        <w:tc>
          <w:tcPr>
            <w:tcW w:w="7628" w:type="dxa"/>
            <w:gridSpan w:val="4"/>
            <w:noWrap w:val="0"/>
            <w:vAlign w:val="top"/>
          </w:tcPr>
          <w:p>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样本量n (挂、卷)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546" w:type="dxa"/>
            <w:vMerge w:val="continue"/>
            <w:noWrap w:val="0"/>
            <w:vAlign w:val="top"/>
          </w:tcPr>
          <w:p>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p>
        </w:tc>
        <w:tc>
          <w:tcPr>
            <w:tcW w:w="1783" w:type="dxa"/>
            <w:noWrap w:val="0"/>
            <w:vAlign w:val="top"/>
          </w:tcPr>
          <w:p>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≤50响/</w:t>
            </w:r>
          </w:p>
          <w:p>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（挂、卷）</w:t>
            </w:r>
          </w:p>
        </w:tc>
        <w:tc>
          <w:tcPr>
            <w:tcW w:w="1800" w:type="dxa"/>
            <w:noWrap w:val="0"/>
            <w:vAlign w:val="top"/>
          </w:tcPr>
          <w:p>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51~500响/（挂、卷）</w:t>
            </w:r>
          </w:p>
        </w:tc>
        <w:tc>
          <w:tcPr>
            <w:tcW w:w="2074" w:type="dxa"/>
            <w:noWrap w:val="0"/>
            <w:vAlign w:val="top"/>
          </w:tcPr>
          <w:p>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501~2000响/（挂、卷）</w:t>
            </w:r>
          </w:p>
        </w:tc>
        <w:tc>
          <w:tcPr>
            <w:tcW w:w="1971" w:type="dxa"/>
            <w:noWrap w:val="0"/>
            <w:vAlign w:val="top"/>
          </w:tcPr>
          <w:p>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＞2000响/（挂、卷）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46" w:type="dxa"/>
            <w:noWrap w:val="0"/>
            <w:vAlign w:val="top"/>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≤500 </w:t>
            </w:r>
          </w:p>
        </w:tc>
        <w:tc>
          <w:tcPr>
            <w:tcW w:w="1783" w:type="dxa"/>
            <w:noWrap w:val="0"/>
            <w:vAlign w:val="top"/>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1800" w:type="dxa"/>
            <w:noWrap w:val="0"/>
            <w:vAlign w:val="top"/>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2074" w:type="dxa"/>
            <w:noWrap w:val="0"/>
            <w:vAlign w:val="top"/>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1971" w:type="dxa"/>
            <w:noWrap w:val="0"/>
            <w:vAlign w:val="top"/>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40" w:hRule="atLeast"/>
          <w:jc w:val="center"/>
        </w:trPr>
        <w:tc>
          <w:tcPr>
            <w:tcW w:w="1546" w:type="dxa"/>
            <w:noWrap w:val="0"/>
            <w:vAlign w:val="top"/>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501~1000</w:t>
            </w:r>
          </w:p>
        </w:tc>
        <w:tc>
          <w:tcPr>
            <w:tcW w:w="1783" w:type="dxa"/>
            <w:noWrap w:val="0"/>
            <w:vAlign w:val="top"/>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1800" w:type="dxa"/>
            <w:noWrap w:val="0"/>
            <w:vAlign w:val="top"/>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2074" w:type="dxa"/>
            <w:noWrap w:val="0"/>
            <w:vAlign w:val="top"/>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1971" w:type="dxa"/>
            <w:noWrap w:val="0"/>
            <w:vAlign w:val="top"/>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546" w:type="dxa"/>
            <w:noWrap w:val="0"/>
            <w:vAlign w:val="top"/>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1001~2000</w:t>
            </w:r>
          </w:p>
        </w:tc>
        <w:tc>
          <w:tcPr>
            <w:tcW w:w="1783" w:type="dxa"/>
            <w:noWrap w:val="0"/>
            <w:vAlign w:val="top"/>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13</w:t>
            </w:r>
          </w:p>
        </w:tc>
        <w:tc>
          <w:tcPr>
            <w:tcW w:w="1800" w:type="dxa"/>
            <w:noWrap w:val="0"/>
            <w:vAlign w:val="top"/>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2074" w:type="dxa"/>
            <w:noWrap w:val="0"/>
            <w:vAlign w:val="top"/>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1971" w:type="dxa"/>
            <w:noWrap w:val="0"/>
            <w:vAlign w:val="top"/>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546" w:type="dxa"/>
            <w:noWrap w:val="0"/>
            <w:vAlign w:val="top"/>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＞2000</w:t>
            </w:r>
          </w:p>
        </w:tc>
        <w:tc>
          <w:tcPr>
            <w:tcW w:w="1783" w:type="dxa"/>
            <w:noWrap w:val="0"/>
            <w:vAlign w:val="top"/>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13</w:t>
            </w:r>
          </w:p>
        </w:tc>
        <w:tc>
          <w:tcPr>
            <w:tcW w:w="1800" w:type="dxa"/>
            <w:noWrap w:val="0"/>
            <w:vAlign w:val="top"/>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12</w:t>
            </w:r>
          </w:p>
        </w:tc>
        <w:tc>
          <w:tcPr>
            <w:tcW w:w="2074" w:type="dxa"/>
            <w:noWrap w:val="0"/>
            <w:vAlign w:val="top"/>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1971" w:type="dxa"/>
            <w:noWrap w:val="0"/>
            <w:vAlign w:val="top"/>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r>
    </w:tbl>
    <w:p>
      <w:pPr>
        <w:pageBreakBefore w:val="0"/>
        <w:overflowPunct/>
        <w:topLinePunct w:val="0"/>
        <w:bidi w:val="0"/>
        <w:adjustRightInd/>
        <w:snapToGrid/>
        <w:spacing w:line="560" w:lineRule="exact"/>
        <w:ind w:firstLine="640" w:firstLineChars="200"/>
        <w:jc w:val="center"/>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表3 组合烟花产品抽取样品数量</w:t>
      </w:r>
    </w:p>
    <w:tbl>
      <w:tblPr>
        <w:tblStyle w:val="6"/>
        <w:tblW w:w="9174"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7"/>
        <w:gridCol w:w="1259"/>
        <w:gridCol w:w="1240"/>
        <w:gridCol w:w="1300"/>
        <w:gridCol w:w="1295"/>
        <w:gridCol w:w="1246"/>
        <w:gridCol w:w="1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1707" w:type="dxa"/>
            <w:vMerge w:val="restart"/>
            <w:tcBorders>
              <w:top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批量范围</w:t>
            </w:r>
          </w:p>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N（个）</w:t>
            </w:r>
          </w:p>
        </w:tc>
        <w:tc>
          <w:tcPr>
            <w:tcW w:w="7467" w:type="dxa"/>
            <w:gridSpan w:val="6"/>
            <w:tcBorders>
              <w:top w:val="single" w:color="auto" w:sz="4" w:space="0"/>
              <w:left w:val="single" w:color="auto" w:sz="4" w:space="0"/>
              <w:bottom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样本量 n /个</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1707" w:type="dxa"/>
            <w:vMerge w:val="continue"/>
            <w:tcBorders>
              <w:top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7467" w:type="dxa"/>
            <w:gridSpan w:val="6"/>
            <w:tcBorders>
              <w:top w:val="single" w:color="auto" w:sz="4" w:space="0"/>
              <w:left w:val="single" w:color="auto" w:sz="4" w:space="0"/>
              <w:bottom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组合发数（发/个）</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1707" w:type="dxa"/>
            <w:vMerge w:val="continue"/>
            <w:tcBorders>
              <w:top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499" w:type="dxa"/>
            <w:gridSpan w:val="2"/>
            <w:tcBorders>
              <w:top w:val="single" w:color="auto" w:sz="4" w:space="0"/>
              <w:left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≤20 </w:t>
            </w:r>
          </w:p>
        </w:tc>
        <w:tc>
          <w:tcPr>
            <w:tcW w:w="2595" w:type="dxa"/>
            <w:gridSpan w:val="2"/>
            <w:tcBorders>
              <w:top w:val="single" w:color="auto" w:sz="4" w:space="0"/>
              <w:left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21～50</w:t>
            </w:r>
          </w:p>
        </w:tc>
        <w:tc>
          <w:tcPr>
            <w:tcW w:w="2373" w:type="dxa"/>
            <w:gridSpan w:val="2"/>
            <w:tcBorders>
              <w:top w:val="single" w:color="auto" w:sz="4" w:space="0"/>
              <w:left w:val="single" w:color="auto" w:sz="4" w:space="0"/>
              <w:bottom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1707" w:type="dxa"/>
            <w:vMerge w:val="continue"/>
            <w:tcBorders>
              <w:top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7467" w:type="dxa"/>
            <w:gridSpan w:val="6"/>
            <w:tcBorders>
              <w:top w:val="single" w:color="auto" w:sz="4" w:space="0"/>
              <w:left w:val="single" w:color="auto" w:sz="4" w:space="0"/>
              <w:bottom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单筒内径（mm）</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1707" w:type="dxa"/>
            <w:vMerge w:val="continue"/>
            <w:tcBorders>
              <w:top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1259" w:type="dxa"/>
            <w:tcBorders>
              <w:top w:val="single" w:color="auto" w:sz="4" w:space="0"/>
              <w:left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＞30</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≤30</w:t>
            </w:r>
          </w:p>
        </w:tc>
        <w:tc>
          <w:tcPr>
            <w:tcW w:w="1300" w:type="dxa"/>
            <w:tcBorders>
              <w:top w:val="single" w:color="auto" w:sz="4" w:space="0"/>
              <w:left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＞30</w:t>
            </w:r>
          </w:p>
        </w:tc>
        <w:tc>
          <w:tcPr>
            <w:tcW w:w="1295" w:type="dxa"/>
            <w:tcBorders>
              <w:top w:val="single" w:color="auto" w:sz="4" w:space="0"/>
              <w:left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≤30</w:t>
            </w:r>
          </w:p>
        </w:tc>
        <w:tc>
          <w:tcPr>
            <w:tcW w:w="1246" w:type="dxa"/>
            <w:tcBorders>
              <w:top w:val="single" w:color="auto" w:sz="4" w:space="0"/>
              <w:left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＞30</w:t>
            </w:r>
          </w:p>
        </w:tc>
        <w:tc>
          <w:tcPr>
            <w:tcW w:w="1127" w:type="dxa"/>
            <w:tcBorders>
              <w:top w:val="single" w:color="auto" w:sz="4" w:space="0"/>
              <w:left w:val="single" w:color="auto" w:sz="4" w:space="0"/>
              <w:bottom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1707" w:type="dxa"/>
            <w:tcBorders>
              <w:top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≤500</w:t>
            </w:r>
          </w:p>
        </w:tc>
        <w:tc>
          <w:tcPr>
            <w:tcW w:w="1259" w:type="dxa"/>
            <w:tcBorders>
              <w:top w:val="single" w:color="auto" w:sz="4" w:space="0"/>
              <w:left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1300" w:type="dxa"/>
            <w:tcBorders>
              <w:top w:val="single" w:color="auto" w:sz="4" w:space="0"/>
              <w:left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1295" w:type="dxa"/>
            <w:tcBorders>
              <w:top w:val="single" w:color="auto" w:sz="4" w:space="0"/>
              <w:left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1246" w:type="dxa"/>
            <w:tcBorders>
              <w:left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1127" w:type="dxa"/>
            <w:tcBorders>
              <w:left w:val="single" w:color="auto" w:sz="4" w:space="0"/>
              <w:bottom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1707" w:type="dxa"/>
            <w:tcBorders>
              <w:top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501~1000</w:t>
            </w:r>
          </w:p>
        </w:tc>
        <w:tc>
          <w:tcPr>
            <w:tcW w:w="1259" w:type="dxa"/>
            <w:tcBorders>
              <w:top w:val="single" w:color="auto" w:sz="4" w:space="0"/>
              <w:left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1300" w:type="dxa"/>
            <w:tcBorders>
              <w:top w:val="single" w:color="auto" w:sz="4" w:space="0"/>
              <w:left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1295" w:type="dxa"/>
            <w:tcBorders>
              <w:top w:val="single" w:color="auto" w:sz="4" w:space="0"/>
              <w:left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1246" w:type="dxa"/>
            <w:tcBorders>
              <w:left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1127" w:type="dxa"/>
            <w:tcBorders>
              <w:left w:val="single" w:color="auto" w:sz="4" w:space="0"/>
              <w:bottom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1707" w:type="dxa"/>
            <w:tcBorders>
              <w:top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≥1001</w:t>
            </w:r>
          </w:p>
        </w:tc>
        <w:tc>
          <w:tcPr>
            <w:tcW w:w="1259" w:type="dxa"/>
            <w:tcBorders>
              <w:top w:val="single" w:color="auto" w:sz="4" w:space="0"/>
              <w:left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1300" w:type="dxa"/>
            <w:tcBorders>
              <w:top w:val="single" w:color="auto" w:sz="4" w:space="0"/>
              <w:left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1295" w:type="dxa"/>
            <w:tcBorders>
              <w:top w:val="single" w:color="auto" w:sz="4" w:space="0"/>
              <w:left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1246" w:type="dxa"/>
            <w:tcBorders>
              <w:left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1127" w:type="dxa"/>
            <w:tcBorders>
              <w:left w:val="single" w:color="auto" w:sz="4" w:space="0"/>
              <w:bottom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r>
    </w:tbl>
    <w:p>
      <w:pPr>
        <w:pageBreakBefore w:val="0"/>
        <w:overflowPunct/>
        <w:topLinePunct w:val="0"/>
        <w:bidi w:val="0"/>
        <w:adjustRightInd/>
        <w:snapToGrid/>
        <w:spacing w:line="560" w:lineRule="exact"/>
        <w:ind w:firstLine="640" w:firstLineChars="200"/>
        <w:rPr>
          <w:rFonts w:ascii="Times New Roman" w:hAnsi="Times New Roman" w:eastAsia="黑体" w:cs="黑体"/>
          <w:color w:val="000000"/>
          <w:sz w:val="32"/>
          <w:szCs w:val="40"/>
          <w:highlight w:val="none"/>
        </w:rPr>
      </w:pPr>
      <w:r>
        <w:rPr>
          <w:rFonts w:ascii="Times New Roman" w:hAnsi="Times New Roman" w:eastAsia="黑体" w:cs="黑体"/>
          <w:color w:val="000000"/>
          <w:sz w:val="32"/>
          <w:szCs w:val="40"/>
          <w:highlight w:val="none"/>
        </w:rPr>
        <w:t>2 检验依据</w:t>
      </w:r>
    </w:p>
    <w:p>
      <w:pPr>
        <w:pageBreakBefore w:val="0"/>
        <w:overflowPunct/>
        <w:topLinePunct w:val="0"/>
        <w:bidi w:val="0"/>
        <w:adjustRightInd/>
        <w:snapToGrid/>
        <w:spacing w:line="560" w:lineRule="exact"/>
        <w:ind w:firstLine="640" w:firstLineChars="200"/>
        <w:jc w:val="center"/>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表4 组合烟花</w:t>
      </w:r>
    </w:p>
    <w:tbl>
      <w:tblPr>
        <w:tblStyle w:val="6"/>
        <w:tblW w:w="9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6"/>
        <w:gridCol w:w="721"/>
        <w:gridCol w:w="1082"/>
        <w:gridCol w:w="2363"/>
        <w:gridCol w:w="39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1046" w:type="dxa"/>
            <w:tcBorders>
              <w:top w:val="single" w:color="auto" w:sz="4" w:space="0"/>
              <w:left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4166" w:type="dxa"/>
            <w:gridSpan w:val="3"/>
            <w:tcBorders>
              <w:top w:val="single" w:color="auto" w:sz="4" w:space="0"/>
              <w:left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3962" w:type="dxa"/>
            <w:tcBorders>
              <w:top w:val="single" w:color="auto" w:sz="4" w:space="0"/>
              <w:left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46" w:type="dxa"/>
            <w:tcBorders>
              <w:top w:val="single" w:color="auto" w:sz="4" w:space="0"/>
              <w:left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721" w:type="dxa"/>
            <w:vMerge w:val="restart"/>
            <w:tcBorders>
              <w:top w:val="single" w:color="auto" w:sz="4" w:space="0"/>
              <w:left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标志</w:t>
            </w:r>
          </w:p>
        </w:tc>
        <w:tc>
          <w:tcPr>
            <w:tcW w:w="3445" w:type="dxa"/>
            <w:gridSpan w:val="2"/>
            <w:tcBorders>
              <w:top w:val="single" w:color="auto" w:sz="4" w:space="0"/>
              <w:left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运输包装标志</w:t>
            </w:r>
          </w:p>
        </w:tc>
        <w:tc>
          <w:tcPr>
            <w:tcW w:w="3962" w:type="dxa"/>
            <w:tcBorders>
              <w:top w:val="single" w:color="auto" w:sz="4" w:space="0"/>
              <w:left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19593—2015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46" w:type="dxa"/>
            <w:tcBorders>
              <w:top w:val="single" w:color="auto" w:sz="4" w:space="0"/>
              <w:left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721" w:type="dxa"/>
            <w:vMerge w:val="continue"/>
            <w:tcBorders>
              <w:left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3445" w:type="dxa"/>
            <w:gridSpan w:val="2"/>
            <w:tcBorders>
              <w:top w:val="single" w:color="auto" w:sz="4" w:space="0"/>
              <w:left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销售包装标志</w:t>
            </w:r>
          </w:p>
        </w:tc>
        <w:tc>
          <w:tcPr>
            <w:tcW w:w="3962" w:type="dxa"/>
            <w:tcBorders>
              <w:top w:val="single" w:color="auto" w:sz="4" w:space="0"/>
              <w:left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19593—2015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046" w:type="dxa"/>
            <w:tcBorders>
              <w:top w:val="single" w:color="auto" w:sz="4" w:space="0"/>
              <w:left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721" w:type="dxa"/>
            <w:vMerge w:val="restart"/>
            <w:tcBorders>
              <w:top w:val="single" w:color="auto" w:sz="4" w:space="0"/>
              <w:left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包装</w:t>
            </w:r>
          </w:p>
        </w:tc>
        <w:tc>
          <w:tcPr>
            <w:tcW w:w="3445" w:type="dxa"/>
            <w:gridSpan w:val="2"/>
            <w:tcBorders>
              <w:top w:val="single" w:color="auto" w:sz="4" w:space="0"/>
              <w:left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运输包装</w:t>
            </w:r>
          </w:p>
        </w:tc>
        <w:tc>
          <w:tcPr>
            <w:tcW w:w="3962" w:type="dxa"/>
            <w:tcBorders>
              <w:top w:val="single" w:color="auto" w:sz="4" w:space="0"/>
              <w:left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10631—2013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046" w:type="dxa"/>
            <w:tcBorders>
              <w:left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721" w:type="dxa"/>
            <w:vMerge w:val="continue"/>
            <w:tcBorders>
              <w:left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3445" w:type="dxa"/>
            <w:gridSpan w:val="2"/>
            <w:tcBorders>
              <w:top w:val="single" w:color="auto" w:sz="4" w:space="0"/>
              <w:left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销售包装</w:t>
            </w:r>
          </w:p>
        </w:tc>
        <w:tc>
          <w:tcPr>
            <w:tcW w:w="3962" w:type="dxa"/>
            <w:tcBorders>
              <w:left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10631—2013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46" w:type="dxa"/>
            <w:tcBorders>
              <w:top w:val="single" w:color="auto" w:sz="4" w:space="0"/>
              <w:left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4166" w:type="dxa"/>
            <w:gridSpan w:val="3"/>
            <w:tcBorders>
              <w:top w:val="single" w:color="auto" w:sz="4" w:space="0"/>
              <w:left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外观</w:t>
            </w:r>
          </w:p>
        </w:tc>
        <w:tc>
          <w:tcPr>
            <w:tcW w:w="3962" w:type="dxa"/>
            <w:tcBorders>
              <w:top w:val="single" w:color="auto" w:sz="4" w:space="0"/>
              <w:left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19593—2015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46" w:type="dxa"/>
            <w:tcBorders>
              <w:top w:val="single" w:color="auto" w:sz="4" w:space="0"/>
              <w:left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721" w:type="dxa"/>
            <w:vMerge w:val="restart"/>
            <w:tcBorders>
              <w:left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部件</w:t>
            </w:r>
          </w:p>
        </w:tc>
        <w:tc>
          <w:tcPr>
            <w:tcW w:w="1082" w:type="dxa"/>
            <w:vMerge w:val="restart"/>
            <w:tcBorders>
              <w:top w:val="single" w:color="auto" w:sz="4" w:space="0"/>
              <w:left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引燃装置</w:t>
            </w:r>
          </w:p>
        </w:tc>
        <w:tc>
          <w:tcPr>
            <w:tcW w:w="2363" w:type="dxa"/>
            <w:tcBorders>
              <w:top w:val="single" w:color="auto" w:sz="4" w:space="0"/>
              <w:left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引火线</w:t>
            </w:r>
          </w:p>
        </w:tc>
        <w:tc>
          <w:tcPr>
            <w:tcW w:w="3962" w:type="dxa"/>
            <w:tcBorders>
              <w:top w:val="single" w:color="auto" w:sz="4" w:space="0"/>
              <w:left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10631—2013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1046" w:type="dxa"/>
            <w:tcBorders>
              <w:left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721" w:type="dxa"/>
            <w:vMerge w:val="continue"/>
            <w:tcBorders>
              <w:left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1082" w:type="dxa"/>
            <w:vMerge w:val="continue"/>
            <w:tcBorders>
              <w:left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363" w:type="dxa"/>
            <w:tcBorders>
              <w:top w:val="single" w:color="auto" w:sz="4" w:space="0"/>
              <w:left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引火线牢固性</w:t>
            </w:r>
          </w:p>
        </w:tc>
        <w:tc>
          <w:tcPr>
            <w:tcW w:w="3962" w:type="dxa"/>
            <w:tcBorders>
              <w:top w:val="single" w:color="auto" w:sz="4" w:space="0"/>
              <w:left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10631—2013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046" w:type="dxa"/>
            <w:tcBorders>
              <w:left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721" w:type="dxa"/>
            <w:vMerge w:val="continue"/>
            <w:tcBorders>
              <w:left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1082" w:type="dxa"/>
            <w:vMerge w:val="continue"/>
            <w:tcBorders>
              <w:left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363" w:type="dxa"/>
            <w:tcBorders>
              <w:top w:val="single" w:color="auto" w:sz="4" w:space="0"/>
              <w:left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引燃时间</w:t>
            </w:r>
          </w:p>
        </w:tc>
        <w:tc>
          <w:tcPr>
            <w:tcW w:w="3962" w:type="dxa"/>
            <w:tcBorders>
              <w:top w:val="single" w:color="auto" w:sz="4" w:space="0"/>
              <w:left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10631—2013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46" w:type="dxa"/>
            <w:tcBorders>
              <w:top w:val="single" w:color="auto" w:sz="4" w:space="0"/>
              <w:left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9</w:t>
            </w:r>
          </w:p>
        </w:tc>
        <w:tc>
          <w:tcPr>
            <w:tcW w:w="4166" w:type="dxa"/>
            <w:gridSpan w:val="3"/>
            <w:tcBorders>
              <w:top w:val="single" w:color="auto" w:sz="4" w:space="0"/>
              <w:left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结构和材质</w:t>
            </w:r>
          </w:p>
        </w:tc>
        <w:tc>
          <w:tcPr>
            <w:tcW w:w="3962" w:type="dxa"/>
            <w:tcBorders>
              <w:top w:val="single" w:color="auto" w:sz="4" w:space="0"/>
              <w:left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19593—2015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46" w:type="dxa"/>
            <w:tcBorders>
              <w:top w:val="single" w:color="auto" w:sz="4" w:space="0"/>
              <w:left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4166" w:type="dxa"/>
            <w:gridSpan w:val="3"/>
            <w:tcBorders>
              <w:top w:val="single" w:color="auto" w:sz="4" w:space="0"/>
              <w:left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主体稳定性</w:t>
            </w:r>
          </w:p>
        </w:tc>
        <w:tc>
          <w:tcPr>
            <w:tcW w:w="3962" w:type="dxa"/>
            <w:tcBorders>
              <w:top w:val="single" w:color="auto" w:sz="4" w:space="0"/>
              <w:left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19593—2015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46" w:type="dxa"/>
            <w:tcBorders>
              <w:top w:val="single" w:color="auto" w:sz="4" w:space="0"/>
              <w:left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11</w:t>
            </w:r>
          </w:p>
        </w:tc>
        <w:tc>
          <w:tcPr>
            <w:tcW w:w="4166" w:type="dxa"/>
            <w:gridSpan w:val="3"/>
            <w:tcBorders>
              <w:top w:val="single" w:color="auto" w:sz="4" w:space="0"/>
              <w:left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药种</w:t>
            </w:r>
          </w:p>
        </w:tc>
        <w:tc>
          <w:tcPr>
            <w:tcW w:w="3962" w:type="dxa"/>
            <w:tcBorders>
              <w:top w:val="single" w:color="auto" w:sz="4" w:space="0"/>
              <w:left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21242—2019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46" w:type="dxa"/>
            <w:tcBorders>
              <w:top w:val="single" w:color="auto" w:sz="4" w:space="0"/>
              <w:left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12</w:t>
            </w:r>
          </w:p>
        </w:tc>
        <w:tc>
          <w:tcPr>
            <w:tcW w:w="4166" w:type="dxa"/>
            <w:gridSpan w:val="3"/>
            <w:tcBorders>
              <w:left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药量</w:t>
            </w:r>
          </w:p>
        </w:tc>
        <w:tc>
          <w:tcPr>
            <w:tcW w:w="3962" w:type="dxa"/>
            <w:tcBorders>
              <w:top w:val="single" w:color="auto" w:sz="4" w:space="0"/>
              <w:left w:val="single" w:color="auto" w:sz="4" w:space="0"/>
              <w:bottom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19593—2015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1046" w:type="dxa"/>
            <w:tcBorders>
              <w:top w:val="single" w:color="auto" w:sz="4" w:space="0"/>
              <w:left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13</w:t>
            </w:r>
          </w:p>
        </w:tc>
        <w:tc>
          <w:tcPr>
            <w:tcW w:w="4166" w:type="dxa"/>
            <w:gridSpan w:val="3"/>
            <w:tcBorders>
              <w:top w:val="single" w:color="auto" w:sz="4" w:space="0"/>
              <w:left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燃放性能</w:t>
            </w:r>
          </w:p>
        </w:tc>
        <w:tc>
          <w:tcPr>
            <w:tcW w:w="3962" w:type="dxa"/>
            <w:tcBorders>
              <w:top w:val="single" w:color="auto" w:sz="4" w:space="0"/>
              <w:left w:val="single" w:color="auto" w:sz="4" w:space="0"/>
              <w:right w:val="single" w:color="auto" w:sz="4" w:space="0"/>
            </w:tcBorders>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19593—2015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174"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注： 1. 标志要求的检验项目为GB</w:t>
            </w:r>
            <w:r>
              <w:rPr>
                <w:rFonts w:hint="eastAsia" w:ascii="Times New Roman" w:hAnsi="Times New Roman" w:eastAsia="仿宋_GB2312" w:cs="仿宋_GB2312"/>
                <w:color w:val="000000"/>
                <w:sz w:val="28"/>
                <w:szCs w:val="28"/>
                <w:highlight w:val="none"/>
                <w:lang w:val="en-US" w:eastAsia="zh-CN"/>
              </w:rPr>
              <w:t xml:space="preserve"> </w:t>
            </w:r>
            <w:r>
              <w:rPr>
                <w:rFonts w:hint="eastAsia" w:ascii="Times New Roman" w:hAnsi="Times New Roman" w:eastAsia="仿宋_GB2312" w:cs="仿宋_GB2312"/>
                <w:color w:val="000000"/>
                <w:sz w:val="28"/>
                <w:szCs w:val="28"/>
                <w:highlight w:val="none"/>
              </w:rPr>
              <w:t>10631—2013中5.1.1、5.1.2、5.1.3及GB 19593—2015中5.1.1、5.1.2 c）、d）、e），GB</w:t>
            </w:r>
            <w:r>
              <w:rPr>
                <w:rFonts w:hint="eastAsia" w:ascii="Times New Roman" w:hAnsi="Times New Roman" w:eastAsia="仿宋_GB2312" w:cs="仿宋_GB2312"/>
                <w:color w:val="000000"/>
                <w:sz w:val="28"/>
                <w:szCs w:val="28"/>
                <w:highlight w:val="none"/>
                <w:lang w:val="en-US" w:eastAsia="zh-CN"/>
              </w:rPr>
              <w:t xml:space="preserve"> </w:t>
            </w:r>
            <w:r>
              <w:rPr>
                <w:rFonts w:hint="eastAsia" w:ascii="Times New Roman" w:hAnsi="Times New Roman" w:eastAsia="仿宋_GB2312" w:cs="仿宋_GB2312"/>
                <w:color w:val="000000"/>
                <w:sz w:val="28"/>
                <w:szCs w:val="28"/>
                <w:highlight w:val="none"/>
              </w:rPr>
              <w:t>10631—2013中5.1.2要求的检验项目为产品名称、制造商名称及地址，GB</w:t>
            </w:r>
            <w:r>
              <w:rPr>
                <w:rFonts w:hint="eastAsia" w:ascii="Times New Roman" w:hAnsi="Times New Roman" w:eastAsia="仿宋_GB2312" w:cs="仿宋_GB2312"/>
                <w:color w:val="000000"/>
                <w:sz w:val="28"/>
                <w:szCs w:val="28"/>
                <w:highlight w:val="none"/>
                <w:lang w:val="en-US" w:eastAsia="zh-CN"/>
              </w:rPr>
              <w:t xml:space="preserve"> </w:t>
            </w:r>
            <w:r>
              <w:rPr>
                <w:rFonts w:hint="eastAsia" w:ascii="Times New Roman" w:hAnsi="Times New Roman" w:eastAsia="仿宋_GB2312" w:cs="仿宋_GB2312"/>
                <w:color w:val="000000"/>
                <w:sz w:val="28"/>
                <w:szCs w:val="28"/>
                <w:highlight w:val="none"/>
              </w:rPr>
              <w:t>10631—2013中5.1.3要求的检验项目为产品名称、制造商名称及地址、警示语、燃放说明；</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 包装要求的检验项目为GB</w:t>
            </w:r>
            <w:r>
              <w:rPr>
                <w:rFonts w:hint="eastAsia" w:ascii="Times New Roman" w:hAnsi="Times New Roman" w:eastAsia="仿宋_GB2312" w:cs="仿宋_GB2312"/>
                <w:color w:val="000000"/>
                <w:sz w:val="28"/>
                <w:szCs w:val="28"/>
                <w:highlight w:val="none"/>
                <w:lang w:val="en-US" w:eastAsia="zh-CN"/>
              </w:rPr>
              <w:t xml:space="preserve"> </w:t>
            </w:r>
            <w:r>
              <w:rPr>
                <w:rFonts w:hint="eastAsia" w:ascii="Times New Roman" w:hAnsi="Times New Roman" w:eastAsia="仿宋_GB2312" w:cs="仿宋_GB2312"/>
                <w:color w:val="000000"/>
                <w:sz w:val="28"/>
                <w:szCs w:val="28"/>
                <w:highlight w:val="none"/>
              </w:rPr>
              <w:t>10631—2013中5.2.1、5.2.2；</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 外观要求的检验项目为GB</w:t>
            </w:r>
            <w:r>
              <w:rPr>
                <w:rFonts w:hint="eastAsia" w:ascii="Times New Roman" w:hAnsi="Times New Roman" w:eastAsia="仿宋_GB2312" w:cs="仿宋_GB2312"/>
                <w:color w:val="000000"/>
                <w:sz w:val="28"/>
                <w:szCs w:val="28"/>
                <w:highlight w:val="none"/>
                <w:lang w:val="en-US" w:eastAsia="zh-CN"/>
              </w:rPr>
              <w:t xml:space="preserve"> </w:t>
            </w:r>
            <w:r>
              <w:rPr>
                <w:rFonts w:hint="eastAsia" w:ascii="Times New Roman" w:hAnsi="Times New Roman" w:eastAsia="仿宋_GB2312" w:cs="仿宋_GB2312"/>
                <w:color w:val="000000"/>
                <w:sz w:val="28"/>
                <w:szCs w:val="28"/>
                <w:highlight w:val="none"/>
              </w:rPr>
              <w:t>10631—2013 5.3中“重霉变，主体严重变形，开裂”；</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 部件要求的检验项目为GB</w:t>
            </w:r>
            <w:r>
              <w:rPr>
                <w:rFonts w:hint="eastAsia" w:ascii="Times New Roman" w:hAnsi="Times New Roman" w:eastAsia="仿宋_GB2312" w:cs="仿宋_GB2312"/>
                <w:color w:val="000000"/>
                <w:sz w:val="28"/>
                <w:szCs w:val="28"/>
                <w:highlight w:val="none"/>
                <w:lang w:val="en-US" w:eastAsia="zh-CN"/>
              </w:rPr>
              <w:t xml:space="preserve"> </w:t>
            </w:r>
            <w:r>
              <w:rPr>
                <w:rFonts w:hint="eastAsia" w:ascii="Times New Roman" w:hAnsi="Times New Roman" w:eastAsia="仿宋_GB2312" w:cs="仿宋_GB2312"/>
                <w:color w:val="000000"/>
                <w:sz w:val="28"/>
                <w:szCs w:val="28"/>
                <w:highlight w:val="none"/>
              </w:rPr>
              <w:t>10631—2013中5.4.2.1、5.4.2.4及GB</w:t>
            </w:r>
            <w:r>
              <w:rPr>
                <w:rFonts w:hint="eastAsia" w:ascii="Times New Roman" w:hAnsi="Times New Roman" w:eastAsia="仿宋_GB2312" w:cs="仿宋_GB2312"/>
                <w:color w:val="000000"/>
                <w:sz w:val="28"/>
                <w:szCs w:val="28"/>
                <w:highlight w:val="none"/>
                <w:lang w:val="en-US" w:eastAsia="zh-CN"/>
              </w:rPr>
              <w:t xml:space="preserve"> </w:t>
            </w:r>
            <w:r>
              <w:rPr>
                <w:rFonts w:hint="eastAsia" w:ascii="Times New Roman" w:hAnsi="Times New Roman" w:eastAsia="仿宋_GB2312" w:cs="仿宋_GB2312"/>
                <w:color w:val="000000"/>
                <w:sz w:val="28"/>
                <w:szCs w:val="28"/>
                <w:highlight w:val="none"/>
              </w:rPr>
              <w:t>19593—2015中5.3.2；</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 结构和材质要求的检验项目为GB</w:t>
            </w:r>
            <w:r>
              <w:rPr>
                <w:rFonts w:hint="eastAsia" w:ascii="Times New Roman" w:hAnsi="Times New Roman" w:eastAsia="仿宋_GB2312" w:cs="仿宋_GB2312"/>
                <w:color w:val="000000"/>
                <w:sz w:val="28"/>
                <w:szCs w:val="28"/>
                <w:highlight w:val="none"/>
                <w:lang w:val="en-US" w:eastAsia="zh-CN"/>
              </w:rPr>
              <w:t xml:space="preserve"> </w:t>
            </w:r>
            <w:r>
              <w:rPr>
                <w:rFonts w:hint="eastAsia" w:ascii="Times New Roman" w:hAnsi="Times New Roman" w:eastAsia="仿宋_GB2312" w:cs="仿宋_GB2312"/>
                <w:color w:val="000000"/>
                <w:sz w:val="28"/>
                <w:szCs w:val="28"/>
                <w:highlight w:val="none"/>
              </w:rPr>
              <w:t>10631—2013中5.5及GB19593—2015中5.4；</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 药种要求的检验项目为GB</w:t>
            </w:r>
            <w:r>
              <w:rPr>
                <w:rFonts w:hint="eastAsia" w:ascii="Times New Roman" w:hAnsi="Times New Roman" w:eastAsia="仿宋_GB2312" w:cs="仿宋_GB2312"/>
                <w:color w:val="000000"/>
                <w:sz w:val="28"/>
                <w:szCs w:val="28"/>
                <w:highlight w:val="none"/>
                <w:lang w:val="en-US" w:eastAsia="zh-CN"/>
              </w:rPr>
              <w:t xml:space="preserve"> </w:t>
            </w:r>
            <w:r>
              <w:rPr>
                <w:rFonts w:hint="eastAsia" w:ascii="Times New Roman" w:hAnsi="Times New Roman" w:eastAsia="仿宋_GB2312" w:cs="仿宋_GB2312"/>
                <w:color w:val="000000"/>
                <w:sz w:val="28"/>
                <w:szCs w:val="28"/>
                <w:highlight w:val="none"/>
              </w:rPr>
              <w:t>10631—2013中5.6.1.1；</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 药量要求的检验项目为GB</w:t>
            </w:r>
            <w:r>
              <w:rPr>
                <w:rFonts w:hint="eastAsia" w:ascii="Times New Roman" w:hAnsi="Times New Roman" w:eastAsia="仿宋_GB2312" w:cs="仿宋_GB2312"/>
                <w:color w:val="000000"/>
                <w:sz w:val="28"/>
                <w:szCs w:val="28"/>
                <w:highlight w:val="none"/>
                <w:lang w:val="en-US" w:eastAsia="zh-CN"/>
              </w:rPr>
              <w:t xml:space="preserve"> </w:t>
            </w:r>
            <w:r>
              <w:rPr>
                <w:rFonts w:hint="eastAsia" w:ascii="Times New Roman" w:hAnsi="Times New Roman" w:eastAsia="仿宋_GB2312" w:cs="仿宋_GB2312"/>
                <w:color w:val="000000"/>
                <w:sz w:val="28"/>
                <w:szCs w:val="28"/>
                <w:highlight w:val="none"/>
              </w:rPr>
              <w:t>10631—2013中5.6.2.2（不检验开包药药量）；</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 燃放性能要求的检验项目为GB</w:t>
            </w:r>
            <w:r>
              <w:rPr>
                <w:rFonts w:hint="eastAsia" w:ascii="Times New Roman" w:hAnsi="Times New Roman" w:eastAsia="仿宋_GB2312" w:cs="仿宋_GB2312"/>
                <w:color w:val="000000"/>
                <w:sz w:val="28"/>
                <w:szCs w:val="28"/>
                <w:highlight w:val="none"/>
                <w:lang w:val="en-US" w:eastAsia="zh-CN"/>
              </w:rPr>
              <w:t xml:space="preserve"> </w:t>
            </w:r>
            <w:r>
              <w:rPr>
                <w:rFonts w:hint="eastAsia" w:ascii="Times New Roman" w:hAnsi="Times New Roman" w:eastAsia="仿宋_GB2312" w:cs="仿宋_GB2312"/>
                <w:color w:val="000000"/>
                <w:sz w:val="28"/>
                <w:szCs w:val="28"/>
                <w:highlight w:val="none"/>
              </w:rPr>
              <w:t>19593—2015中5.7.5、5.7.6。</w:t>
            </w:r>
          </w:p>
        </w:tc>
      </w:tr>
    </w:tbl>
    <w:p>
      <w:pPr>
        <w:pageBreakBefore w:val="0"/>
        <w:overflowPunct/>
        <w:topLinePunct w:val="0"/>
        <w:bidi w:val="0"/>
        <w:adjustRightInd/>
        <w:snapToGrid/>
        <w:spacing w:line="560" w:lineRule="exact"/>
        <w:jc w:val="center"/>
        <w:rPr>
          <w:rFonts w:ascii="Times New Roman" w:hAnsi="Times New Roman" w:eastAsia="仿宋_GB2312"/>
          <w:color w:val="000000"/>
          <w:sz w:val="32"/>
          <w:szCs w:val="32"/>
          <w:highlight w:val="none"/>
        </w:rPr>
      </w:pPr>
      <w:r>
        <w:rPr>
          <w:rFonts w:ascii="Times New Roman" w:hAnsi="Times New Roman" w:eastAsia="仿宋_GB2312" w:cs="仿宋_GB2312"/>
          <w:color w:val="000000"/>
          <w:sz w:val="32"/>
          <w:szCs w:val="40"/>
          <w:highlight w:val="none"/>
        </w:rPr>
        <w:t>表5 烟花爆竹（除组合烟花外）</w:t>
      </w:r>
      <w:r>
        <w:rPr>
          <w:rFonts w:ascii="Times New Roman" w:hAnsi="Times New Roman" w:eastAsia="仿宋_GB2312"/>
          <w:color w:val="000000"/>
          <w:sz w:val="32"/>
          <w:szCs w:val="32"/>
          <w:highlight w:val="none"/>
        </w:rPr>
        <w:t xml:space="preserve"> </w:t>
      </w:r>
    </w:p>
    <w:tbl>
      <w:tblPr>
        <w:tblStyle w:val="6"/>
        <w:tblW w:w="9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6"/>
        <w:gridCol w:w="1266"/>
        <w:gridCol w:w="1000"/>
        <w:gridCol w:w="2700"/>
        <w:gridCol w:w="31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blHeader/>
          <w:jc w:val="center"/>
        </w:trPr>
        <w:tc>
          <w:tcPr>
            <w:tcW w:w="1046" w:type="dxa"/>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4966" w:type="dxa"/>
            <w:gridSpan w:val="3"/>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3162" w:type="dxa"/>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 w:hRule="atLeast"/>
          <w:jc w:val="center"/>
        </w:trPr>
        <w:tc>
          <w:tcPr>
            <w:tcW w:w="1046" w:type="dxa"/>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1266" w:type="dxa"/>
            <w:vMerge w:val="restart"/>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标志</w:t>
            </w:r>
          </w:p>
        </w:tc>
        <w:tc>
          <w:tcPr>
            <w:tcW w:w="3700" w:type="dxa"/>
            <w:gridSpan w:val="2"/>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运输包装标志</w:t>
            </w:r>
          </w:p>
        </w:tc>
        <w:tc>
          <w:tcPr>
            <w:tcW w:w="3162" w:type="dxa"/>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10631—2013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4" w:hRule="atLeast"/>
          <w:jc w:val="center"/>
        </w:trPr>
        <w:tc>
          <w:tcPr>
            <w:tcW w:w="1046" w:type="dxa"/>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1266" w:type="dxa"/>
            <w:vMerge w:val="continue"/>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3700" w:type="dxa"/>
            <w:gridSpan w:val="2"/>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销售包装标志</w:t>
            </w:r>
          </w:p>
        </w:tc>
        <w:tc>
          <w:tcPr>
            <w:tcW w:w="3162" w:type="dxa"/>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10631—2013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jc w:val="center"/>
        </w:trPr>
        <w:tc>
          <w:tcPr>
            <w:tcW w:w="1046" w:type="dxa"/>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1266" w:type="dxa"/>
            <w:vMerge w:val="restart"/>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包装</w:t>
            </w:r>
          </w:p>
        </w:tc>
        <w:tc>
          <w:tcPr>
            <w:tcW w:w="3700" w:type="dxa"/>
            <w:gridSpan w:val="2"/>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运输包装</w:t>
            </w:r>
          </w:p>
        </w:tc>
        <w:tc>
          <w:tcPr>
            <w:tcW w:w="3162" w:type="dxa"/>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10631—2013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jc w:val="center"/>
        </w:trPr>
        <w:tc>
          <w:tcPr>
            <w:tcW w:w="1046" w:type="dxa"/>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1266" w:type="dxa"/>
            <w:vMerge w:val="continue"/>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3700" w:type="dxa"/>
            <w:gridSpan w:val="2"/>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销售包装</w:t>
            </w:r>
          </w:p>
        </w:tc>
        <w:tc>
          <w:tcPr>
            <w:tcW w:w="3162" w:type="dxa"/>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10631—2013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46" w:type="dxa"/>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4966" w:type="dxa"/>
            <w:gridSpan w:val="3"/>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外观</w:t>
            </w:r>
          </w:p>
        </w:tc>
        <w:tc>
          <w:tcPr>
            <w:tcW w:w="3162" w:type="dxa"/>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10631—2013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46" w:type="dxa"/>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1266" w:type="dxa"/>
            <w:vMerge w:val="restart"/>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部件</w:t>
            </w:r>
          </w:p>
        </w:tc>
        <w:tc>
          <w:tcPr>
            <w:tcW w:w="3700" w:type="dxa"/>
            <w:gridSpan w:val="2"/>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部件牢固性</w:t>
            </w:r>
          </w:p>
        </w:tc>
        <w:tc>
          <w:tcPr>
            <w:tcW w:w="3162" w:type="dxa"/>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10631—2013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46" w:type="dxa"/>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1266" w:type="dxa"/>
            <w:vMerge w:val="continue"/>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1000" w:type="dxa"/>
            <w:vMerge w:val="restart"/>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引燃装置</w:t>
            </w:r>
          </w:p>
        </w:tc>
        <w:tc>
          <w:tcPr>
            <w:tcW w:w="2700" w:type="dxa"/>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引火线</w:t>
            </w:r>
          </w:p>
        </w:tc>
        <w:tc>
          <w:tcPr>
            <w:tcW w:w="3162" w:type="dxa"/>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10631—2013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46" w:type="dxa"/>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1266" w:type="dxa"/>
            <w:vMerge w:val="continue"/>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1000" w:type="dxa"/>
            <w:vMerge w:val="continue"/>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700" w:type="dxa"/>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引火线牢固性</w:t>
            </w:r>
          </w:p>
        </w:tc>
        <w:tc>
          <w:tcPr>
            <w:tcW w:w="3162" w:type="dxa"/>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10631—2013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jc w:val="center"/>
        </w:trPr>
        <w:tc>
          <w:tcPr>
            <w:tcW w:w="1046" w:type="dxa"/>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9</w:t>
            </w:r>
          </w:p>
        </w:tc>
        <w:tc>
          <w:tcPr>
            <w:tcW w:w="1266" w:type="dxa"/>
            <w:vMerge w:val="continue"/>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1000" w:type="dxa"/>
            <w:vMerge w:val="continue"/>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700" w:type="dxa"/>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引燃时间</w:t>
            </w:r>
          </w:p>
        </w:tc>
        <w:tc>
          <w:tcPr>
            <w:tcW w:w="3162" w:type="dxa"/>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10631—2013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46" w:type="dxa"/>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1266" w:type="dxa"/>
            <w:vMerge w:val="continue"/>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3700" w:type="dxa"/>
            <w:gridSpan w:val="2"/>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手持部位</w:t>
            </w:r>
          </w:p>
        </w:tc>
        <w:tc>
          <w:tcPr>
            <w:tcW w:w="3162" w:type="dxa"/>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10631—2013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1" w:hRule="atLeast"/>
          <w:jc w:val="center"/>
        </w:trPr>
        <w:tc>
          <w:tcPr>
            <w:tcW w:w="1046" w:type="dxa"/>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11</w:t>
            </w:r>
          </w:p>
        </w:tc>
        <w:tc>
          <w:tcPr>
            <w:tcW w:w="4966" w:type="dxa"/>
            <w:gridSpan w:val="3"/>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结构和材质</w:t>
            </w:r>
          </w:p>
        </w:tc>
        <w:tc>
          <w:tcPr>
            <w:tcW w:w="3162" w:type="dxa"/>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10631—2013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46" w:type="dxa"/>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12</w:t>
            </w:r>
          </w:p>
        </w:tc>
        <w:tc>
          <w:tcPr>
            <w:tcW w:w="4966" w:type="dxa"/>
            <w:gridSpan w:val="3"/>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药种</w:t>
            </w:r>
          </w:p>
        </w:tc>
        <w:tc>
          <w:tcPr>
            <w:tcW w:w="3162" w:type="dxa"/>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21242—2019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46" w:type="dxa"/>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13</w:t>
            </w:r>
          </w:p>
        </w:tc>
        <w:tc>
          <w:tcPr>
            <w:tcW w:w="4966" w:type="dxa"/>
            <w:gridSpan w:val="3"/>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药量</w:t>
            </w:r>
          </w:p>
        </w:tc>
        <w:tc>
          <w:tcPr>
            <w:tcW w:w="3162" w:type="dxa"/>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10631—2013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 w:hRule="atLeast"/>
          <w:jc w:val="center"/>
        </w:trPr>
        <w:tc>
          <w:tcPr>
            <w:tcW w:w="1046" w:type="dxa"/>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14</w:t>
            </w:r>
          </w:p>
        </w:tc>
        <w:tc>
          <w:tcPr>
            <w:tcW w:w="4966" w:type="dxa"/>
            <w:gridSpan w:val="3"/>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燃放性能</w:t>
            </w:r>
          </w:p>
        </w:tc>
        <w:tc>
          <w:tcPr>
            <w:tcW w:w="3162" w:type="dxa"/>
            <w:noWrap w:val="0"/>
            <w:vAlign w:val="center"/>
          </w:tcPr>
          <w:p>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10631—2013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86" w:hRule="atLeast"/>
          <w:jc w:val="center"/>
        </w:trPr>
        <w:tc>
          <w:tcPr>
            <w:tcW w:w="9174"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Times New Roman" w:hAnsi="Times New Roman" w:eastAsia="仿宋_GB2312" w:cs="仿宋_GB2312"/>
                <w:color w:val="000000"/>
                <w:sz w:val="24"/>
                <w:highlight w:val="none"/>
              </w:rPr>
            </w:pPr>
            <w:r>
              <w:rPr>
                <w:rFonts w:hint="eastAsia" w:ascii="Times New Roman" w:hAnsi="Times New Roman" w:eastAsia="仿宋_GB2312" w:cs="仿宋_GB2312"/>
                <w:color w:val="000000"/>
                <w:sz w:val="24"/>
                <w:highlight w:val="none"/>
              </w:rPr>
              <w:t>注：1. 标志要求的检验项目为GB</w:t>
            </w:r>
            <w:r>
              <w:rPr>
                <w:rFonts w:hint="eastAsia" w:ascii="Times New Roman" w:hAnsi="Times New Roman" w:eastAsia="仿宋_GB2312" w:cs="仿宋_GB2312"/>
                <w:color w:val="000000"/>
                <w:sz w:val="24"/>
                <w:highlight w:val="none"/>
                <w:lang w:val="en-US" w:eastAsia="zh-CN"/>
              </w:rPr>
              <w:t xml:space="preserve"> </w:t>
            </w:r>
            <w:r>
              <w:rPr>
                <w:rFonts w:hint="eastAsia" w:ascii="Times New Roman" w:hAnsi="Times New Roman" w:eastAsia="仿宋_GB2312" w:cs="仿宋_GB2312"/>
                <w:color w:val="000000"/>
                <w:sz w:val="24"/>
                <w:highlight w:val="none"/>
              </w:rPr>
              <w:t>10631—2013中5.1.1、5.1.2、5.1.3，GB</w:t>
            </w:r>
            <w:r>
              <w:rPr>
                <w:rFonts w:hint="eastAsia" w:ascii="Times New Roman" w:hAnsi="Times New Roman" w:eastAsia="仿宋_GB2312" w:cs="仿宋_GB2312"/>
                <w:color w:val="000000"/>
                <w:sz w:val="24"/>
                <w:highlight w:val="none"/>
                <w:lang w:val="en-US" w:eastAsia="zh-CN"/>
              </w:rPr>
              <w:t xml:space="preserve"> </w:t>
            </w:r>
            <w:r>
              <w:rPr>
                <w:rFonts w:hint="eastAsia" w:ascii="Times New Roman" w:hAnsi="Times New Roman" w:eastAsia="仿宋_GB2312" w:cs="仿宋_GB2312"/>
                <w:color w:val="000000"/>
                <w:sz w:val="24"/>
                <w:highlight w:val="none"/>
              </w:rPr>
              <w:t>10631—2013中5.1.2要求的检验项目为产品名称、制造商名称及地址，GB</w:t>
            </w:r>
            <w:r>
              <w:rPr>
                <w:rFonts w:hint="eastAsia" w:ascii="Times New Roman" w:hAnsi="Times New Roman" w:eastAsia="仿宋_GB2312" w:cs="仿宋_GB2312"/>
                <w:color w:val="000000"/>
                <w:sz w:val="24"/>
                <w:highlight w:val="none"/>
                <w:lang w:val="en-US" w:eastAsia="zh-CN"/>
              </w:rPr>
              <w:t xml:space="preserve"> </w:t>
            </w:r>
            <w:r>
              <w:rPr>
                <w:rFonts w:hint="eastAsia" w:ascii="Times New Roman" w:hAnsi="Times New Roman" w:eastAsia="仿宋_GB2312" w:cs="仿宋_GB2312"/>
                <w:color w:val="000000"/>
                <w:sz w:val="24"/>
                <w:highlight w:val="none"/>
              </w:rPr>
              <w:t>10631-2013中5.1.3要求的检验项目为产品名称、制造商名称及地址、警示语、燃放说明；</w:t>
            </w: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Times New Roman" w:hAnsi="Times New Roman" w:eastAsia="仿宋_GB2312" w:cs="仿宋_GB2312"/>
                <w:color w:val="000000"/>
                <w:sz w:val="24"/>
                <w:highlight w:val="none"/>
              </w:rPr>
            </w:pPr>
            <w:r>
              <w:rPr>
                <w:rFonts w:hint="eastAsia" w:ascii="Times New Roman" w:hAnsi="Times New Roman" w:eastAsia="仿宋_GB2312" w:cs="仿宋_GB2312"/>
                <w:color w:val="000000"/>
                <w:sz w:val="24"/>
                <w:highlight w:val="none"/>
              </w:rPr>
              <w:t>2. 包装要求的检验项目为GB</w:t>
            </w:r>
            <w:r>
              <w:rPr>
                <w:rFonts w:hint="eastAsia" w:ascii="Times New Roman" w:hAnsi="Times New Roman" w:eastAsia="仿宋_GB2312" w:cs="仿宋_GB2312"/>
                <w:color w:val="000000"/>
                <w:sz w:val="24"/>
                <w:highlight w:val="none"/>
                <w:lang w:val="en-US" w:eastAsia="zh-CN"/>
              </w:rPr>
              <w:t xml:space="preserve"> </w:t>
            </w:r>
            <w:r>
              <w:rPr>
                <w:rFonts w:hint="eastAsia" w:ascii="Times New Roman" w:hAnsi="Times New Roman" w:eastAsia="仿宋_GB2312" w:cs="仿宋_GB2312"/>
                <w:color w:val="000000"/>
                <w:sz w:val="24"/>
                <w:highlight w:val="none"/>
              </w:rPr>
              <w:t>10631—2013中5.2.1、5.2.2；</w:t>
            </w: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Times New Roman" w:hAnsi="Times New Roman" w:eastAsia="仿宋_GB2312" w:cs="仿宋_GB2312"/>
                <w:color w:val="000000"/>
                <w:sz w:val="24"/>
                <w:highlight w:val="none"/>
              </w:rPr>
            </w:pPr>
            <w:r>
              <w:rPr>
                <w:rFonts w:hint="eastAsia" w:ascii="Times New Roman" w:hAnsi="Times New Roman" w:eastAsia="仿宋_GB2312" w:cs="仿宋_GB2312"/>
                <w:color w:val="000000"/>
                <w:sz w:val="24"/>
                <w:highlight w:val="none"/>
              </w:rPr>
              <w:t>3. 外观要求的检验项目为GB</w:t>
            </w:r>
            <w:r>
              <w:rPr>
                <w:rFonts w:hint="eastAsia" w:ascii="Times New Roman" w:hAnsi="Times New Roman" w:eastAsia="仿宋_GB2312" w:cs="仿宋_GB2312"/>
                <w:color w:val="000000"/>
                <w:sz w:val="24"/>
                <w:highlight w:val="none"/>
                <w:lang w:val="en-US" w:eastAsia="zh-CN"/>
              </w:rPr>
              <w:t xml:space="preserve"> </w:t>
            </w:r>
            <w:r>
              <w:rPr>
                <w:rFonts w:hint="eastAsia" w:ascii="Times New Roman" w:hAnsi="Times New Roman" w:eastAsia="仿宋_GB2312" w:cs="仿宋_GB2312"/>
                <w:color w:val="000000"/>
                <w:sz w:val="24"/>
                <w:highlight w:val="none"/>
              </w:rPr>
              <w:t>10631—2013 5.3中“重霉变，主体严重变形，开裂”；</w:t>
            </w: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Times New Roman" w:hAnsi="Times New Roman" w:eastAsia="仿宋_GB2312" w:cs="仿宋_GB2312"/>
                <w:color w:val="000000"/>
                <w:sz w:val="24"/>
                <w:highlight w:val="none"/>
              </w:rPr>
            </w:pPr>
            <w:r>
              <w:rPr>
                <w:rFonts w:hint="eastAsia" w:ascii="Times New Roman" w:hAnsi="Times New Roman" w:eastAsia="仿宋_GB2312" w:cs="仿宋_GB2312"/>
                <w:color w:val="000000"/>
                <w:sz w:val="24"/>
                <w:highlight w:val="none"/>
              </w:rPr>
              <w:t>4. 部件要求的检验项目为GB</w:t>
            </w:r>
            <w:r>
              <w:rPr>
                <w:rFonts w:hint="eastAsia" w:ascii="Times New Roman" w:hAnsi="Times New Roman" w:eastAsia="仿宋_GB2312" w:cs="仿宋_GB2312"/>
                <w:color w:val="000000"/>
                <w:sz w:val="24"/>
                <w:highlight w:val="none"/>
                <w:lang w:val="en-US" w:eastAsia="zh-CN"/>
              </w:rPr>
              <w:t xml:space="preserve"> </w:t>
            </w:r>
            <w:r>
              <w:rPr>
                <w:rFonts w:hint="eastAsia" w:ascii="Times New Roman" w:hAnsi="Times New Roman" w:eastAsia="仿宋_GB2312" w:cs="仿宋_GB2312"/>
                <w:color w:val="000000"/>
                <w:sz w:val="24"/>
                <w:highlight w:val="none"/>
              </w:rPr>
              <w:t>10631—2013中5.4.1、5.4.2.1、5.4.2.3、5.4.2.4、5.4.2.6、5.4.3；</w:t>
            </w: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Times New Roman" w:hAnsi="Times New Roman" w:eastAsia="仿宋_GB2312" w:cs="仿宋_GB2312"/>
                <w:color w:val="000000"/>
                <w:sz w:val="24"/>
                <w:highlight w:val="none"/>
              </w:rPr>
            </w:pPr>
            <w:r>
              <w:rPr>
                <w:rFonts w:hint="eastAsia" w:ascii="Times New Roman" w:hAnsi="Times New Roman" w:eastAsia="仿宋_GB2312" w:cs="仿宋_GB2312"/>
                <w:color w:val="000000"/>
                <w:sz w:val="24"/>
                <w:highlight w:val="none"/>
              </w:rPr>
              <w:t>5. 结构和材质要求的检验项目为GB</w:t>
            </w:r>
            <w:r>
              <w:rPr>
                <w:rFonts w:hint="eastAsia" w:ascii="Times New Roman" w:hAnsi="Times New Roman" w:eastAsia="仿宋_GB2312" w:cs="仿宋_GB2312"/>
                <w:color w:val="000000"/>
                <w:sz w:val="24"/>
                <w:highlight w:val="none"/>
                <w:lang w:val="en-US" w:eastAsia="zh-CN"/>
              </w:rPr>
              <w:t xml:space="preserve"> </w:t>
            </w:r>
            <w:r>
              <w:rPr>
                <w:rFonts w:hint="eastAsia" w:ascii="Times New Roman" w:hAnsi="Times New Roman" w:eastAsia="仿宋_GB2312" w:cs="仿宋_GB2312"/>
                <w:color w:val="000000"/>
                <w:sz w:val="24"/>
                <w:highlight w:val="none"/>
              </w:rPr>
              <w:t>10631—2013中5.5.1、5.5.4、5.5.5；</w:t>
            </w: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Times New Roman" w:hAnsi="Times New Roman" w:eastAsia="仿宋_GB2312" w:cs="仿宋_GB2312"/>
                <w:color w:val="000000"/>
                <w:sz w:val="24"/>
                <w:highlight w:val="none"/>
              </w:rPr>
            </w:pPr>
            <w:r>
              <w:rPr>
                <w:rFonts w:hint="eastAsia" w:ascii="Times New Roman" w:hAnsi="Times New Roman" w:eastAsia="仿宋_GB2312" w:cs="仿宋_GB2312"/>
                <w:color w:val="000000"/>
                <w:sz w:val="24"/>
                <w:highlight w:val="none"/>
              </w:rPr>
              <w:t>6. 药种要求的检验项目为GB</w:t>
            </w:r>
            <w:r>
              <w:rPr>
                <w:rFonts w:hint="eastAsia" w:ascii="Times New Roman" w:hAnsi="Times New Roman" w:eastAsia="仿宋_GB2312" w:cs="仿宋_GB2312"/>
                <w:color w:val="000000"/>
                <w:sz w:val="24"/>
                <w:highlight w:val="none"/>
                <w:lang w:val="en-US" w:eastAsia="zh-CN"/>
              </w:rPr>
              <w:t xml:space="preserve"> </w:t>
            </w:r>
            <w:r>
              <w:rPr>
                <w:rFonts w:hint="eastAsia" w:ascii="Times New Roman" w:hAnsi="Times New Roman" w:eastAsia="仿宋_GB2312" w:cs="仿宋_GB2312"/>
                <w:color w:val="000000"/>
                <w:sz w:val="24"/>
                <w:highlight w:val="none"/>
              </w:rPr>
              <w:t>10631—2013中5.6.1.1；</w:t>
            </w: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Times New Roman" w:hAnsi="Times New Roman" w:eastAsia="仿宋_GB2312" w:cs="仿宋_GB2312"/>
                <w:color w:val="000000"/>
                <w:sz w:val="24"/>
                <w:highlight w:val="none"/>
              </w:rPr>
            </w:pPr>
            <w:r>
              <w:rPr>
                <w:rFonts w:hint="eastAsia" w:ascii="Times New Roman" w:hAnsi="Times New Roman" w:eastAsia="仿宋_GB2312" w:cs="仿宋_GB2312"/>
                <w:color w:val="000000"/>
                <w:sz w:val="24"/>
                <w:highlight w:val="none"/>
              </w:rPr>
              <w:t>7. 药量要求的检验项目为GB</w:t>
            </w:r>
            <w:r>
              <w:rPr>
                <w:rFonts w:hint="eastAsia" w:ascii="Times New Roman" w:hAnsi="Times New Roman" w:eastAsia="仿宋_GB2312" w:cs="仿宋_GB2312"/>
                <w:color w:val="000000"/>
                <w:sz w:val="24"/>
                <w:highlight w:val="none"/>
                <w:lang w:val="en-US" w:eastAsia="zh-CN"/>
              </w:rPr>
              <w:t xml:space="preserve"> </w:t>
            </w:r>
            <w:r>
              <w:rPr>
                <w:rFonts w:hint="eastAsia" w:ascii="Times New Roman" w:hAnsi="Times New Roman" w:eastAsia="仿宋_GB2312" w:cs="仿宋_GB2312"/>
                <w:color w:val="000000"/>
                <w:sz w:val="24"/>
                <w:highlight w:val="none"/>
              </w:rPr>
              <w:t>10631—2013中5.6.2.2；</w:t>
            </w: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4"/>
                <w:highlight w:val="none"/>
              </w:rPr>
              <w:t>8. 燃放性能要求的检验项目为GB</w:t>
            </w:r>
            <w:r>
              <w:rPr>
                <w:rFonts w:hint="eastAsia" w:ascii="Times New Roman" w:hAnsi="Times New Roman" w:eastAsia="仿宋_GB2312" w:cs="仿宋_GB2312"/>
                <w:color w:val="000000"/>
                <w:sz w:val="24"/>
                <w:highlight w:val="none"/>
                <w:lang w:val="en-US" w:eastAsia="zh-CN"/>
              </w:rPr>
              <w:t xml:space="preserve"> </w:t>
            </w:r>
            <w:r>
              <w:rPr>
                <w:rFonts w:hint="eastAsia" w:ascii="Times New Roman" w:hAnsi="Times New Roman" w:eastAsia="仿宋_GB2312" w:cs="仿宋_GB2312"/>
                <w:color w:val="000000"/>
                <w:sz w:val="24"/>
                <w:highlight w:val="none"/>
              </w:rPr>
              <w:t>10631—2013中5.7.8、5.7.9、5.7.10、5.7.11、5.7.12、5.7.14。</w:t>
            </w:r>
          </w:p>
        </w:tc>
      </w:tr>
    </w:tbl>
    <w:p>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执行企业标准、团体标准、地方标准的产品，检验项目参照上述内容执行。</w:t>
      </w:r>
    </w:p>
    <w:p>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pPr>
        <w:pageBreakBefore w:val="0"/>
        <w:overflowPunct/>
        <w:topLinePunct w:val="0"/>
        <w:bidi w:val="0"/>
        <w:adjustRightInd/>
        <w:snapToGrid/>
        <w:spacing w:line="560" w:lineRule="exact"/>
        <w:ind w:firstLine="640" w:firstLineChars="200"/>
        <w:rPr>
          <w:rFonts w:ascii="Times New Roman" w:hAnsi="Times New Roman" w:eastAsia="黑体" w:cs="黑体"/>
          <w:color w:val="000000"/>
          <w:sz w:val="32"/>
          <w:szCs w:val="40"/>
          <w:highlight w:val="none"/>
        </w:rPr>
      </w:pPr>
      <w:r>
        <w:rPr>
          <w:rFonts w:ascii="Times New Roman" w:hAnsi="Times New Roman" w:eastAsia="黑体" w:cs="黑体"/>
          <w:color w:val="000000"/>
          <w:sz w:val="32"/>
          <w:szCs w:val="40"/>
          <w:highlight w:val="none"/>
        </w:rPr>
        <w:t>3 判定规则</w:t>
      </w:r>
    </w:p>
    <w:p>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ascii="Times New Roman" w:hAnsi="Times New Roman" w:eastAsia="楷体_GB2312" w:cs="楷体_GB2312"/>
          <w:color w:val="000000"/>
          <w:sz w:val="32"/>
          <w:szCs w:val="40"/>
          <w:highlight w:val="none"/>
        </w:rPr>
        <w:t>3.1 依据标准</w:t>
      </w:r>
    </w:p>
    <w:p>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 10631-2013</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 xml:space="preserve">《烟花爆竹  安全与质量》  </w:t>
      </w:r>
    </w:p>
    <w:p>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 xml:space="preserve">GB 19593－2015《烟花爆竹  组合烟花》 </w:t>
      </w:r>
    </w:p>
    <w:p>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现行有效的企业标准、团体标准、地方标准及产品明示质量要求。</w:t>
      </w:r>
    </w:p>
    <w:p>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ascii="Times New Roman" w:hAnsi="Times New Roman" w:eastAsia="楷体_GB2312" w:cs="楷体_GB2312"/>
          <w:color w:val="000000"/>
          <w:sz w:val="32"/>
          <w:szCs w:val="40"/>
          <w:highlight w:val="none"/>
        </w:rPr>
        <w:t>3.2 判定原则</w:t>
      </w:r>
    </w:p>
    <w:p>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pPr>
        <w:pageBreakBefore w:val="0"/>
        <w:overflowPunct/>
        <w:topLinePunct w:val="0"/>
        <w:bidi w:val="0"/>
        <w:adjustRightInd/>
        <w:snapToGrid/>
        <w:spacing w:line="560" w:lineRule="exact"/>
        <w:ind w:firstLine="640" w:firstLineChars="200"/>
        <w:rPr>
          <w:rFonts w:hint="eastAsia" w:ascii="仿宋_GB2312" w:hAnsi="仿宋_GB2312" w:eastAsia="仿宋_GB2312" w:cs="仿宋_GB2312"/>
          <w:color w:val="auto"/>
          <w:spacing w:val="-6"/>
          <w:position w:val="1"/>
          <w:sz w:val="32"/>
          <w:szCs w:val="32"/>
          <w:lang w:val="en-US" w:eastAsia="zh-CN"/>
        </w:rPr>
      </w:pPr>
      <w:r>
        <w:rPr>
          <w:rFonts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bookmarkStart w:id="0" w:name="_GoBack"/>
      <w:bookmarkEnd w:id="0"/>
    </w:p>
    <w:sectPr>
      <w:pgSz w:w="11906" w:h="16838"/>
      <w:pgMar w:top="2098" w:right="1474"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EFF" w:usb1="C000785B"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CB4C9E"/>
    <w:rsid w:val="036E517F"/>
    <w:rsid w:val="2F57741F"/>
    <w:rsid w:val="47CB4C9E"/>
    <w:rsid w:val="716713A0"/>
    <w:rsid w:val="7B6FD292"/>
    <w:rsid w:val="7BF771D3"/>
    <w:rsid w:val="ADFD5F00"/>
    <w:rsid w:val="B6DAAD97"/>
    <w:rsid w:val="BFDB55C4"/>
    <w:rsid w:val="D27DC2BD"/>
    <w:rsid w:val="EB3F22CA"/>
    <w:rsid w:val="F78F2BA5"/>
    <w:rsid w:val="F7FF8ABB"/>
    <w:rsid w:val="FD37BF4B"/>
    <w:rsid w:val="FEB576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Indent"/>
    <w:qFormat/>
    <w:uiPriority w:val="0"/>
    <w:pPr>
      <w:widowControl w:val="0"/>
      <w:spacing w:line="360" w:lineRule="auto"/>
      <w:ind w:firstLine="480" w:firstLineChars="200"/>
      <w:jc w:val="both"/>
    </w:pPr>
    <w:rPr>
      <w:rFonts w:ascii="宋体" w:hAnsi="宋体" w:eastAsia="宋体" w:cs="Times New Roman"/>
      <w:kern w:val="2"/>
      <w:sz w:val="24"/>
      <w:szCs w:val="20"/>
      <w:lang w:val="en-US" w:eastAsia="zh-CN" w:bidi="ar-SA"/>
    </w:rPr>
  </w:style>
  <w:style w:type="paragraph" w:styleId="3">
    <w:name w:val="Plain Text"/>
    <w:basedOn w:val="1"/>
    <w:unhideWhenUsed/>
    <w:qFormat/>
    <w:uiPriority w:val="99"/>
    <w:pPr>
      <w:widowControl w:val="0"/>
      <w:jc w:val="both"/>
    </w:pPr>
    <w:rPr>
      <w:rFonts w:ascii="宋体" w:hAnsi="Courier New" w:eastAsia="宋体" w:cs="Times New Roman"/>
      <w:kern w:val="2"/>
      <w:sz w:val="32"/>
      <w:szCs w:val="21"/>
      <w:lang w:val="en-US" w:eastAsia="zh-CN" w:bidi="ar-SA"/>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
    <w:name w:val="Table Grid_0"/>
    <w:unhideWhenUsed/>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样式1 标题（方正小标宋简体）"/>
    <w:qFormat/>
    <w:uiPriority w:val="0"/>
    <w:pPr>
      <w:widowControl w:val="0"/>
      <w:spacing w:line="560" w:lineRule="exact"/>
      <w:jc w:val="center"/>
    </w:pPr>
    <w:rPr>
      <w:rFonts w:ascii="Times New Roman" w:hAnsi="Times New Roman" w:eastAsia="方正小标宋简体" w:cs="Times New Roman"/>
      <w:kern w:val="2"/>
      <w:sz w:val="44"/>
      <w:szCs w:val="44"/>
      <w:lang w:val="en-US" w:eastAsia="zh-CN" w:bidi="ar-SA"/>
    </w:rPr>
  </w:style>
  <w:style w:type="paragraph" w:customStyle="1" w:styleId="11">
    <w:name w:val="样式2 标题（楷体三号）"/>
    <w:qFormat/>
    <w:uiPriority w:val="0"/>
    <w:pPr>
      <w:widowControl w:val="0"/>
      <w:spacing w:line="560" w:lineRule="exact"/>
      <w:jc w:val="center"/>
    </w:pPr>
    <w:rPr>
      <w:rFonts w:hint="eastAsia" w:ascii="楷体_GB2312" w:hAnsi="楷体_GB2312" w:eastAsia="楷体_GB2312" w:cs="楷体_GB2312"/>
      <w:kern w:val="2"/>
      <w:sz w:val="32"/>
      <w:szCs w:val="32"/>
      <w:lang w:val="en-US" w:eastAsia="zh-CN" w:bidi="ar-SA"/>
    </w:rPr>
  </w:style>
  <w:style w:type="paragraph" w:customStyle="1" w:styleId="12">
    <w:name w:val="样式1 标题一级（黑体三号）"/>
    <w:qFormat/>
    <w:uiPriority w:val="0"/>
    <w:pPr>
      <w:widowControl w:val="0"/>
      <w:spacing w:line="560" w:lineRule="exact"/>
      <w:ind w:firstLineChars="200"/>
      <w:jc w:val="both"/>
    </w:pPr>
    <w:rPr>
      <w:rFonts w:hint="eastAsia" w:ascii="黑体" w:hAnsi="黑体" w:eastAsia="黑体" w:cs="黑体"/>
      <w:kern w:val="2"/>
      <w:sz w:val="32"/>
      <w:szCs w:val="3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省市场监督管理局</Company>
  <Pages>5</Pages>
  <Words>0</Words>
  <Characters>0</Characters>
  <Lines>0</Lines>
  <Paragraphs>0</Paragraphs>
  <TotalTime>1</TotalTime>
  <ScaleCrop>false</ScaleCrop>
  <LinksUpToDate>false</LinksUpToDate>
  <CharactersWithSpaces>0</CharactersWithSpaces>
  <Application>WPS Office_12.8.2.15290_F1E327BC-269C-435d-A152-05C5408002CA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2024-06-07T09:04:00Z</dcterms:created>
  <dc:creator>胡翌婧</dc:creator>
  <cp:lastModifiedBy>greatwall</cp:lastModifiedBy>
  <dcterms:modified xsi:type="dcterms:W3CDTF">2025-06-17T11:04:19Z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2052-12.8.2.15290</vt:lpwstr>
  </property>
  <property fmtid="{D5CDD505-2E9C-101B-9397-08002B2CF9AE}" pid="3" name="ICV">
    <vt:lpwstr>FE9EF22D3BE26FF2CCF9ED67C37C9DF5_43</vt:lpwstr>
  </property>
</Properties>
</file>