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061" w:rsidRPr="003A7061" w:rsidRDefault="003A7061" w:rsidP="003A7061">
      <w:pPr>
        <w:rPr>
          <w:rFonts w:ascii="仿宋_GB2312" w:hAnsiTheme="majorEastAsia"/>
          <w:sz w:val="24"/>
          <w:szCs w:val="24"/>
        </w:rPr>
      </w:pPr>
      <w:r>
        <w:rPr>
          <w:rFonts w:asciiTheme="majorEastAsia" w:eastAsiaTheme="majorEastAsia" w:hAnsiTheme="majorEastAsia" w:hint="eastAsia"/>
          <w:b/>
          <w:sz w:val="44"/>
          <w:szCs w:val="44"/>
        </w:rPr>
        <w:t xml:space="preserve">   </w:t>
      </w:r>
      <w:r w:rsidRPr="003A7061">
        <w:rPr>
          <w:rFonts w:ascii="仿宋_GB2312" w:hAnsiTheme="majorEastAsia" w:hint="eastAsia"/>
          <w:sz w:val="24"/>
          <w:szCs w:val="24"/>
        </w:rPr>
        <w:t>附件2：</w:t>
      </w:r>
    </w:p>
    <w:p w:rsidR="00EC2C7C" w:rsidRPr="003A7061" w:rsidRDefault="003A7061" w:rsidP="003A7061">
      <w:pPr>
        <w:jc w:val="center"/>
        <w:rPr>
          <w:rFonts w:asciiTheme="majorEastAsia" w:eastAsiaTheme="majorEastAsia" w:hAnsiTheme="majorEastAsia"/>
          <w:b/>
          <w:sz w:val="44"/>
          <w:szCs w:val="44"/>
        </w:rPr>
      </w:pPr>
      <w:r w:rsidRPr="003A7061">
        <w:rPr>
          <w:rFonts w:asciiTheme="majorEastAsia" w:eastAsiaTheme="majorEastAsia" w:hAnsiTheme="majorEastAsia" w:hint="eastAsia"/>
          <w:b/>
          <w:sz w:val="44"/>
          <w:szCs w:val="44"/>
        </w:rPr>
        <w:t>梅州市公路事故和故障车辆吊车服务收费标准表</w:t>
      </w:r>
    </w:p>
    <w:tbl>
      <w:tblPr>
        <w:tblW w:w="15063" w:type="dxa"/>
        <w:jc w:val="center"/>
        <w:tblInd w:w="-2483" w:type="dxa"/>
        <w:tblLook w:val="04A0" w:firstRow="1" w:lastRow="0" w:firstColumn="1" w:lastColumn="0" w:noHBand="0" w:noVBand="1"/>
      </w:tblPr>
      <w:tblGrid>
        <w:gridCol w:w="1135"/>
        <w:gridCol w:w="4220"/>
        <w:gridCol w:w="1640"/>
        <w:gridCol w:w="8068"/>
      </w:tblGrid>
      <w:tr w:rsidR="00A71275" w:rsidRPr="00A71275" w:rsidTr="00A71275">
        <w:trPr>
          <w:trHeight w:val="908"/>
          <w:jc w:val="center"/>
        </w:trPr>
        <w:tc>
          <w:tcPr>
            <w:tcW w:w="1135" w:type="dxa"/>
            <w:tcBorders>
              <w:top w:val="single" w:sz="4" w:space="0" w:color="000000"/>
              <w:left w:val="single" w:sz="4" w:space="0" w:color="000000"/>
              <w:right w:val="single" w:sz="4" w:space="0" w:color="000000"/>
            </w:tcBorders>
            <w:shd w:val="clear" w:color="auto" w:fill="auto"/>
            <w:vAlign w:val="center"/>
          </w:tcPr>
          <w:p w:rsidR="00A71275" w:rsidRPr="00A71275" w:rsidRDefault="00A71275" w:rsidP="00F546F0">
            <w:pPr>
              <w:widowControl/>
              <w:ind w:rightChars="-3624" w:right="-11597" w:firstLineChars="50" w:firstLine="120"/>
              <w:rPr>
                <w:rFonts w:ascii="仿宋_GB2312" w:hAnsi="宋体" w:cs="宋体"/>
                <w:b/>
                <w:kern w:val="0"/>
                <w:sz w:val="24"/>
                <w:szCs w:val="24"/>
              </w:rPr>
            </w:pPr>
            <w:r w:rsidRPr="00A71275">
              <w:rPr>
                <w:rFonts w:ascii="仿宋_GB2312" w:hAnsi="宋体" w:cs="宋体" w:hint="eastAsia"/>
                <w:b/>
                <w:kern w:val="0"/>
                <w:sz w:val="24"/>
                <w:szCs w:val="24"/>
              </w:rPr>
              <w:t>车类</w:t>
            </w:r>
          </w:p>
        </w:tc>
        <w:tc>
          <w:tcPr>
            <w:tcW w:w="4220" w:type="dxa"/>
            <w:tcBorders>
              <w:top w:val="single" w:sz="4" w:space="0" w:color="000000"/>
              <w:left w:val="single" w:sz="4" w:space="0" w:color="000000"/>
              <w:right w:val="nil"/>
            </w:tcBorders>
            <w:shd w:val="clear" w:color="auto" w:fill="auto"/>
            <w:vAlign w:val="center"/>
          </w:tcPr>
          <w:p w:rsidR="00A71275" w:rsidRPr="00A71275" w:rsidRDefault="00A71275" w:rsidP="00753C4C">
            <w:pPr>
              <w:widowControl/>
              <w:jc w:val="center"/>
              <w:rPr>
                <w:rFonts w:ascii="仿宋_GB2312" w:hAnsi="宋体" w:cs="宋体"/>
                <w:b/>
                <w:kern w:val="0"/>
                <w:sz w:val="24"/>
                <w:szCs w:val="24"/>
              </w:rPr>
            </w:pPr>
            <w:r w:rsidRPr="00A71275">
              <w:rPr>
                <w:rFonts w:ascii="仿宋_GB2312" w:hAnsi="宋体" w:cs="宋体" w:hint="eastAsia"/>
                <w:b/>
                <w:kern w:val="0"/>
                <w:sz w:val="24"/>
                <w:szCs w:val="24"/>
              </w:rPr>
              <w:t>车辆类型</w:t>
            </w:r>
          </w:p>
        </w:tc>
        <w:tc>
          <w:tcPr>
            <w:tcW w:w="1640" w:type="dxa"/>
            <w:tcBorders>
              <w:top w:val="single" w:sz="4" w:space="0" w:color="000000"/>
              <w:left w:val="single" w:sz="4" w:space="0" w:color="000000"/>
              <w:bottom w:val="single" w:sz="4" w:space="0" w:color="auto"/>
              <w:right w:val="single" w:sz="4" w:space="0" w:color="000000"/>
            </w:tcBorders>
            <w:vAlign w:val="center"/>
          </w:tcPr>
          <w:p w:rsidR="00A71275" w:rsidRPr="00A71275" w:rsidRDefault="00A71275" w:rsidP="00753C4C">
            <w:pPr>
              <w:widowControl/>
              <w:jc w:val="center"/>
              <w:rPr>
                <w:rFonts w:ascii="仿宋_GB2312" w:hAnsi="宋体" w:cs="宋体"/>
                <w:b/>
                <w:kern w:val="0"/>
                <w:sz w:val="24"/>
                <w:szCs w:val="24"/>
              </w:rPr>
            </w:pPr>
            <w:r w:rsidRPr="00A71275">
              <w:rPr>
                <w:rFonts w:ascii="仿宋_GB2312" w:hAnsi="宋体" w:cs="宋体" w:hint="eastAsia"/>
                <w:b/>
                <w:kern w:val="0"/>
                <w:sz w:val="24"/>
                <w:szCs w:val="24"/>
              </w:rPr>
              <w:t>收费标准</w:t>
            </w:r>
          </w:p>
          <w:p w:rsidR="00A71275" w:rsidRPr="00A71275" w:rsidRDefault="00A71275" w:rsidP="00753C4C">
            <w:pPr>
              <w:widowControl/>
              <w:jc w:val="center"/>
              <w:rPr>
                <w:rFonts w:ascii="仿宋_GB2312" w:hAnsi="宋体" w:cs="宋体"/>
                <w:b/>
                <w:kern w:val="0"/>
                <w:sz w:val="24"/>
                <w:szCs w:val="24"/>
              </w:rPr>
            </w:pPr>
            <w:r w:rsidRPr="00A71275">
              <w:rPr>
                <w:rFonts w:ascii="仿宋_GB2312" w:hAnsi="宋体" w:cs="宋体" w:hint="eastAsia"/>
                <w:b/>
                <w:kern w:val="0"/>
                <w:sz w:val="24"/>
                <w:szCs w:val="24"/>
              </w:rPr>
              <w:t>（元/车</w:t>
            </w:r>
            <w:r w:rsidRPr="00A71275">
              <w:rPr>
                <w:rFonts w:ascii="仿宋_GB2312" w:hAnsi="Times New Roman" w:cs="Times New Roman" w:hint="eastAsia"/>
                <w:b/>
                <w:kern w:val="0"/>
                <w:sz w:val="24"/>
                <w:szCs w:val="24"/>
              </w:rPr>
              <w:t>·</w:t>
            </w:r>
            <w:r w:rsidRPr="00A71275">
              <w:rPr>
                <w:rFonts w:ascii="仿宋_GB2312" w:hAnsi="宋体" w:cs="宋体" w:hint="eastAsia"/>
                <w:b/>
                <w:kern w:val="0"/>
                <w:sz w:val="24"/>
                <w:szCs w:val="24"/>
              </w:rPr>
              <w:t>次）</w:t>
            </w:r>
          </w:p>
        </w:tc>
        <w:tc>
          <w:tcPr>
            <w:tcW w:w="8068" w:type="dxa"/>
            <w:tcBorders>
              <w:top w:val="single" w:sz="4" w:space="0" w:color="000000"/>
              <w:left w:val="nil"/>
              <w:bottom w:val="single" w:sz="4" w:space="0" w:color="auto"/>
              <w:right w:val="single" w:sz="4" w:space="0" w:color="000000"/>
            </w:tcBorders>
            <w:shd w:val="clear" w:color="auto" w:fill="auto"/>
            <w:noWrap/>
            <w:vAlign w:val="center"/>
          </w:tcPr>
          <w:p w:rsidR="00A71275" w:rsidRPr="00A71275" w:rsidRDefault="00A71275" w:rsidP="00452185">
            <w:pPr>
              <w:widowControl/>
              <w:jc w:val="center"/>
              <w:rPr>
                <w:rFonts w:ascii="仿宋_GB2312" w:hAnsi="宋体" w:cs="宋体"/>
                <w:b/>
                <w:kern w:val="0"/>
                <w:sz w:val="24"/>
                <w:szCs w:val="24"/>
              </w:rPr>
            </w:pPr>
            <w:r w:rsidRPr="00A71275">
              <w:rPr>
                <w:rFonts w:ascii="仿宋_GB2312" w:hAnsi="宋体" w:cs="宋体" w:hint="eastAsia"/>
                <w:b/>
                <w:kern w:val="0"/>
                <w:sz w:val="24"/>
                <w:szCs w:val="24"/>
              </w:rPr>
              <w:t>备</w:t>
            </w:r>
            <w:r w:rsidR="00D74F42">
              <w:rPr>
                <w:rFonts w:ascii="仿宋_GB2312" w:hAnsi="宋体" w:cs="宋体" w:hint="eastAsia"/>
                <w:b/>
                <w:kern w:val="0"/>
                <w:sz w:val="24"/>
                <w:szCs w:val="24"/>
              </w:rPr>
              <w:t xml:space="preserve">  </w:t>
            </w:r>
            <w:bookmarkStart w:id="0" w:name="_GoBack"/>
            <w:bookmarkEnd w:id="0"/>
            <w:r w:rsidRPr="00A71275">
              <w:rPr>
                <w:rFonts w:ascii="仿宋_GB2312" w:hAnsi="宋体" w:cs="宋体" w:hint="eastAsia"/>
                <w:b/>
                <w:kern w:val="0"/>
                <w:sz w:val="24"/>
                <w:szCs w:val="24"/>
              </w:rPr>
              <w:t xml:space="preserve"> 注</w:t>
            </w:r>
          </w:p>
        </w:tc>
      </w:tr>
      <w:tr w:rsidR="00A71275" w:rsidRPr="00A71275" w:rsidTr="00A71275">
        <w:trPr>
          <w:trHeight w:val="693"/>
          <w:jc w:val="center"/>
        </w:trPr>
        <w:tc>
          <w:tcPr>
            <w:tcW w:w="1135" w:type="dxa"/>
            <w:tcBorders>
              <w:top w:val="single" w:sz="4" w:space="0" w:color="000000"/>
              <w:left w:val="single" w:sz="4" w:space="0" w:color="000000"/>
              <w:right w:val="single" w:sz="4" w:space="0" w:color="auto"/>
            </w:tcBorders>
            <w:shd w:val="clear" w:color="auto" w:fill="auto"/>
            <w:vAlign w:val="center"/>
            <w:hideMark/>
          </w:tcPr>
          <w:p w:rsidR="00A71275" w:rsidRPr="00A71275" w:rsidRDefault="00A71275" w:rsidP="00A71275">
            <w:pPr>
              <w:widowControl/>
              <w:jc w:val="center"/>
              <w:rPr>
                <w:rFonts w:ascii="仿宋_GB2312" w:hAnsi="宋体" w:cs="宋体"/>
                <w:kern w:val="0"/>
                <w:sz w:val="24"/>
                <w:szCs w:val="24"/>
              </w:rPr>
            </w:pPr>
          </w:p>
        </w:tc>
        <w:tc>
          <w:tcPr>
            <w:tcW w:w="4220" w:type="dxa"/>
            <w:tcBorders>
              <w:top w:val="single" w:sz="4" w:space="0" w:color="000000"/>
              <w:left w:val="single" w:sz="4" w:space="0" w:color="auto"/>
              <w:right w:val="single" w:sz="4" w:space="0" w:color="000000"/>
            </w:tcBorders>
            <w:shd w:val="clear" w:color="auto" w:fill="auto"/>
            <w:vAlign w:val="center"/>
          </w:tcPr>
          <w:p w:rsidR="00A71275" w:rsidRPr="00A71275" w:rsidRDefault="00A71275" w:rsidP="00A71275">
            <w:pPr>
              <w:jc w:val="left"/>
              <w:rPr>
                <w:rFonts w:ascii="仿宋_GB2312" w:hAnsi="宋体" w:cs="宋体"/>
                <w:kern w:val="0"/>
                <w:sz w:val="24"/>
                <w:szCs w:val="24"/>
              </w:rPr>
            </w:pPr>
            <w:r w:rsidRPr="00A71275">
              <w:rPr>
                <w:rFonts w:ascii="仿宋_GB2312" w:hAnsi="宋体" w:cs="宋体" w:hint="eastAsia"/>
                <w:kern w:val="0"/>
                <w:sz w:val="24"/>
                <w:szCs w:val="24"/>
              </w:rPr>
              <w:t>二轮摩托车</w:t>
            </w:r>
          </w:p>
        </w:tc>
        <w:tc>
          <w:tcPr>
            <w:tcW w:w="1640" w:type="dxa"/>
            <w:tcBorders>
              <w:top w:val="nil"/>
              <w:left w:val="single" w:sz="4" w:space="0" w:color="auto"/>
              <w:bottom w:val="single" w:sz="4" w:space="0" w:color="auto"/>
              <w:right w:val="single" w:sz="4" w:space="0" w:color="000000"/>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100</w:t>
            </w:r>
          </w:p>
        </w:tc>
        <w:tc>
          <w:tcPr>
            <w:tcW w:w="8068" w:type="dxa"/>
            <w:vMerge w:val="restart"/>
            <w:tcBorders>
              <w:top w:val="single" w:sz="4" w:space="0" w:color="auto"/>
              <w:left w:val="single" w:sz="4" w:space="0" w:color="000000"/>
              <w:right w:val="single" w:sz="4" w:space="0" w:color="000000"/>
            </w:tcBorders>
            <w:shd w:val="clear" w:color="auto" w:fill="auto"/>
            <w:vAlign w:val="center"/>
            <w:hideMark/>
          </w:tcPr>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1、吊车服务包括在事故或故障现场将被吊车辆吊运至拖车以及将被吊车辆从拖车吊运至卸载场地两环节，仅完成一个环节的，按规定标准的70%收费。</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2、拖吊一体的救援车辆，未使用拖车的不得收取拖车费，未使用吊车的不得收取吊车费，拖、</w:t>
            </w:r>
            <w:proofErr w:type="gramStart"/>
            <w:r w:rsidRPr="00A71275">
              <w:rPr>
                <w:rFonts w:ascii="仿宋_GB2312" w:hAnsi="宋体" w:cs="宋体" w:hint="eastAsia"/>
                <w:kern w:val="0"/>
                <w:sz w:val="24"/>
                <w:szCs w:val="24"/>
              </w:rPr>
              <w:t>吊同时</w:t>
            </w:r>
            <w:proofErr w:type="gramEnd"/>
            <w:r w:rsidRPr="00A71275">
              <w:rPr>
                <w:rFonts w:ascii="仿宋_GB2312" w:hAnsi="宋体" w:cs="宋体" w:hint="eastAsia"/>
                <w:kern w:val="0"/>
                <w:sz w:val="24"/>
                <w:szCs w:val="24"/>
              </w:rPr>
              <w:t>使用的，拖车按规定标准收费，吊车按规定标准的70%收费。</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3、在一次车辆救援服务过程中，出动一台吊车吊运两辆以上事故或故障车辆，对每台被</w:t>
            </w:r>
            <w:proofErr w:type="gramStart"/>
            <w:r w:rsidRPr="00A71275">
              <w:rPr>
                <w:rFonts w:ascii="仿宋_GB2312" w:hAnsi="宋体" w:cs="宋体" w:hint="eastAsia"/>
                <w:kern w:val="0"/>
                <w:sz w:val="24"/>
                <w:szCs w:val="24"/>
              </w:rPr>
              <w:t>吊车辆均只能</w:t>
            </w:r>
            <w:proofErr w:type="gramEnd"/>
            <w:r w:rsidRPr="00A71275">
              <w:rPr>
                <w:rFonts w:ascii="仿宋_GB2312" w:hAnsi="宋体" w:cs="宋体" w:hint="eastAsia"/>
                <w:kern w:val="0"/>
                <w:sz w:val="24"/>
                <w:szCs w:val="24"/>
              </w:rPr>
              <w:t>按规定标准的80%收费。被吊车</w:t>
            </w:r>
            <w:proofErr w:type="gramStart"/>
            <w:r w:rsidRPr="00A71275">
              <w:rPr>
                <w:rFonts w:ascii="仿宋_GB2312" w:hAnsi="宋体" w:cs="宋体" w:hint="eastAsia"/>
                <w:kern w:val="0"/>
                <w:sz w:val="24"/>
                <w:szCs w:val="24"/>
              </w:rPr>
              <w:t>辆超过</w:t>
            </w:r>
            <w:proofErr w:type="gramEnd"/>
            <w:r w:rsidRPr="00A71275">
              <w:rPr>
                <w:rFonts w:ascii="仿宋_GB2312" w:hAnsi="宋体" w:cs="宋体" w:hint="eastAsia"/>
                <w:kern w:val="0"/>
                <w:sz w:val="24"/>
                <w:szCs w:val="24"/>
              </w:rPr>
              <w:t>1台吊车施救能力，经公安交警确认必须使用两台吊车配合施救的，吊车总费用不得超过被吊车</w:t>
            </w:r>
            <w:proofErr w:type="gramStart"/>
            <w:r w:rsidRPr="00A71275">
              <w:rPr>
                <w:rFonts w:ascii="仿宋_GB2312" w:hAnsi="宋体" w:cs="宋体" w:hint="eastAsia"/>
                <w:kern w:val="0"/>
                <w:sz w:val="24"/>
                <w:szCs w:val="24"/>
              </w:rPr>
              <w:t>辆规定</w:t>
            </w:r>
            <w:proofErr w:type="gramEnd"/>
            <w:r w:rsidRPr="00A71275">
              <w:rPr>
                <w:rFonts w:ascii="仿宋_GB2312" w:hAnsi="宋体" w:cs="宋体" w:hint="eastAsia"/>
                <w:kern w:val="0"/>
                <w:sz w:val="24"/>
                <w:szCs w:val="24"/>
              </w:rPr>
              <w:t>标准的150%。</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4、由于车主故意隐瞒实际装载吨位，造成二次出动吊车的，按被吊车</w:t>
            </w:r>
            <w:proofErr w:type="gramStart"/>
            <w:r w:rsidRPr="00A71275">
              <w:rPr>
                <w:rFonts w:ascii="仿宋_GB2312" w:hAnsi="宋体" w:cs="宋体" w:hint="eastAsia"/>
                <w:kern w:val="0"/>
                <w:sz w:val="24"/>
                <w:szCs w:val="24"/>
              </w:rPr>
              <w:t>辆规定</w:t>
            </w:r>
            <w:proofErr w:type="gramEnd"/>
            <w:r w:rsidRPr="00A71275">
              <w:rPr>
                <w:rFonts w:ascii="仿宋_GB2312" w:hAnsi="宋体" w:cs="宋体" w:hint="eastAsia"/>
                <w:kern w:val="0"/>
                <w:sz w:val="24"/>
                <w:szCs w:val="24"/>
              </w:rPr>
              <w:t>标准的30%收取空驶费。</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5、被吊货车凭行驶证核定的额定载质量（千克）进行分类；客车凭行驶证核定的座位数进行分类，其中卧铺客车每1铺位折合1.5个座位。</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6、对拖挂一体车辆，按照高于主车一个车型分类标准计费。未标明载重吨位的特种车辆按实际运载吨数对应车型的收费标准计费。</w:t>
            </w:r>
          </w:p>
          <w:p w:rsidR="00A71275" w:rsidRPr="00A71275" w:rsidRDefault="00A71275" w:rsidP="00A71275">
            <w:pPr>
              <w:widowControl/>
              <w:ind w:firstLineChars="150" w:firstLine="360"/>
              <w:rPr>
                <w:rFonts w:ascii="仿宋_GB2312" w:hAnsi="宋体" w:cs="宋体"/>
                <w:kern w:val="0"/>
                <w:sz w:val="24"/>
                <w:szCs w:val="24"/>
              </w:rPr>
            </w:pPr>
            <w:r w:rsidRPr="00A71275">
              <w:rPr>
                <w:rFonts w:ascii="仿宋_GB2312" w:hAnsi="宋体" w:cs="宋体" w:hint="eastAsia"/>
                <w:kern w:val="0"/>
                <w:sz w:val="24"/>
                <w:szCs w:val="24"/>
              </w:rPr>
              <w:t>7、吊车的车辆通行费由救援方负担。</w:t>
            </w:r>
          </w:p>
        </w:tc>
      </w:tr>
      <w:tr w:rsidR="00A71275" w:rsidRPr="00A71275" w:rsidTr="00A71275">
        <w:trPr>
          <w:trHeight w:val="712"/>
          <w:jc w:val="center"/>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三轮摩托车（含残疾人车）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150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970"/>
          <w:jc w:val="center"/>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一类车</w:t>
            </w: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7座以下（含7座）客车、2吨</w:t>
            </w:r>
          </w:p>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（含2吨）以下货车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800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984"/>
          <w:jc w:val="center"/>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二类车</w:t>
            </w: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8座以上至19座（含19座）以下客车、2吨以上至5吨（含5吨）货车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1300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969"/>
          <w:jc w:val="center"/>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三类车</w:t>
            </w: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20座以上至39座（含39座）以下客车、5吨以上至10吨（含10吨）货车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1700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997"/>
          <w:jc w:val="center"/>
        </w:trPr>
        <w:tc>
          <w:tcPr>
            <w:tcW w:w="11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四类车</w:t>
            </w: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40座（含40座）以上客车、10吨以上至15吨（含15吨）货车、20英尺集装箱车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2300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984"/>
          <w:jc w:val="center"/>
        </w:trPr>
        <w:tc>
          <w:tcPr>
            <w:tcW w:w="11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五类车</w:t>
            </w: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15吨以上至35吨（含35吨）</w:t>
            </w:r>
          </w:p>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货车、40英尺集装箱车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2800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r w:rsidR="00A71275" w:rsidRPr="00A71275" w:rsidTr="00A71275">
        <w:trPr>
          <w:trHeight w:val="700"/>
          <w:jc w:val="center"/>
        </w:trPr>
        <w:tc>
          <w:tcPr>
            <w:tcW w:w="1135"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center"/>
              <w:rPr>
                <w:rFonts w:ascii="仿宋_GB2312" w:hAnsi="宋体" w:cs="宋体"/>
                <w:kern w:val="0"/>
                <w:sz w:val="24"/>
                <w:szCs w:val="24"/>
              </w:rPr>
            </w:pPr>
          </w:p>
        </w:tc>
        <w:tc>
          <w:tcPr>
            <w:tcW w:w="4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A71275">
            <w:pPr>
              <w:widowControl/>
              <w:jc w:val="left"/>
              <w:rPr>
                <w:rFonts w:ascii="仿宋_GB2312" w:hAnsi="宋体" w:cs="宋体"/>
                <w:kern w:val="0"/>
                <w:sz w:val="24"/>
                <w:szCs w:val="24"/>
              </w:rPr>
            </w:pPr>
            <w:r w:rsidRPr="00A71275">
              <w:rPr>
                <w:rFonts w:ascii="仿宋_GB2312" w:hAnsi="宋体" w:cs="宋体" w:hint="eastAsia"/>
                <w:kern w:val="0"/>
                <w:sz w:val="24"/>
                <w:szCs w:val="24"/>
              </w:rPr>
              <w:t>35吨以上货车</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1275" w:rsidRPr="00A71275" w:rsidRDefault="00A71275" w:rsidP="00452185">
            <w:pPr>
              <w:widowControl/>
              <w:jc w:val="center"/>
              <w:rPr>
                <w:rFonts w:ascii="仿宋_GB2312" w:hAnsi="宋体" w:cs="宋体"/>
                <w:kern w:val="0"/>
                <w:sz w:val="24"/>
                <w:szCs w:val="24"/>
              </w:rPr>
            </w:pPr>
            <w:r w:rsidRPr="00A71275">
              <w:rPr>
                <w:rFonts w:ascii="仿宋_GB2312" w:hAnsi="宋体" w:cs="宋体" w:hint="eastAsia"/>
                <w:kern w:val="0"/>
                <w:sz w:val="24"/>
                <w:szCs w:val="24"/>
              </w:rPr>
              <w:t>3800</w:t>
            </w:r>
          </w:p>
        </w:tc>
        <w:tc>
          <w:tcPr>
            <w:tcW w:w="8068" w:type="dxa"/>
            <w:vMerge/>
            <w:tcBorders>
              <w:top w:val="single" w:sz="4" w:space="0" w:color="auto"/>
              <w:left w:val="single" w:sz="4" w:space="0" w:color="auto"/>
              <w:bottom w:val="single" w:sz="4" w:space="0" w:color="auto"/>
              <w:right w:val="single" w:sz="4" w:space="0" w:color="auto"/>
            </w:tcBorders>
            <w:vAlign w:val="center"/>
            <w:hideMark/>
          </w:tcPr>
          <w:p w:rsidR="00A71275" w:rsidRPr="00A71275" w:rsidRDefault="00A71275" w:rsidP="00452185">
            <w:pPr>
              <w:widowControl/>
              <w:jc w:val="left"/>
              <w:rPr>
                <w:rFonts w:ascii="仿宋_GB2312" w:hAnsi="宋体" w:cs="宋体"/>
                <w:kern w:val="0"/>
                <w:sz w:val="24"/>
                <w:szCs w:val="24"/>
              </w:rPr>
            </w:pPr>
          </w:p>
        </w:tc>
      </w:tr>
    </w:tbl>
    <w:p w:rsidR="003A7061" w:rsidRDefault="003A7061"/>
    <w:sectPr w:rsidR="003A7061" w:rsidSect="003A7061">
      <w:pgSz w:w="16838" w:h="11906" w:orient="landscape" w:code="9"/>
      <w:pgMar w:top="851" w:right="794" w:bottom="851" w:left="794" w:header="851" w:footer="794" w:gutter="0"/>
      <w:cols w:space="425"/>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061"/>
    <w:rsid w:val="000C7971"/>
    <w:rsid w:val="003A7061"/>
    <w:rsid w:val="009C4611"/>
    <w:rsid w:val="00A71275"/>
    <w:rsid w:val="00D74F42"/>
    <w:rsid w:val="00DF19E8"/>
    <w:rsid w:val="00E25924"/>
    <w:rsid w:val="00EC2C7C"/>
    <w:rsid w:val="00F54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_GB2312" w:eastAsia="仿宋_GB2312" w:hAnsiTheme="minorHAnsi" w:cstheme="minorBidi"/>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61"/>
    <w:pPr>
      <w:widowControl w:val="0"/>
      <w:jc w:val="both"/>
    </w:pPr>
    <w:rPr>
      <w:rFonts w:asciiTheme="minorHAnsi"/>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_GB2312" w:eastAsia="仿宋_GB2312" w:hAnsiTheme="minorHAnsi" w:cstheme="minorBidi"/>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61"/>
    <w:pPr>
      <w:widowControl w:val="0"/>
      <w:jc w:val="both"/>
    </w:pPr>
    <w:rPr>
      <w:rFonts w:asciiTheme="minorHAnsi"/>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115</Words>
  <Characters>659</Characters>
  <Application>Microsoft Office Word</Application>
  <DocSecurity>0</DocSecurity>
  <Lines>5</Lines>
  <Paragraphs>1</Paragraphs>
  <ScaleCrop>false</ScaleCrop>
  <Company>微软中国</Company>
  <LinksUpToDate>false</LinksUpToDate>
  <CharactersWithSpaces>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dcterms:created xsi:type="dcterms:W3CDTF">2014-05-19T02:00:00Z</dcterms:created>
  <dcterms:modified xsi:type="dcterms:W3CDTF">2014-05-20T02:55:00Z</dcterms:modified>
</cp:coreProperties>
</file>